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6FCFB" w14:textId="77777777" w:rsidR="00C02282" w:rsidRPr="006A67B4" w:rsidRDefault="00C02282" w:rsidP="00C02282">
      <w:pPr>
        <w:spacing w:after="0" w:line="240" w:lineRule="auto"/>
        <w:ind w:left="708" w:hanging="708"/>
        <w:jc w:val="center"/>
        <w:rPr>
          <w:rFonts w:ascii="Arial" w:eastAsia="Calibri" w:hAnsi="Arial" w:cs="Arial"/>
          <w:b/>
        </w:rPr>
      </w:pPr>
      <w:r w:rsidRPr="006A67B4">
        <w:rPr>
          <w:rFonts w:ascii="Arial" w:eastAsia="Calibri" w:hAnsi="Arial" w:cs="Arial"/>
          <w:b/>
        </w:rPr>
        <w:t xml:space="preserve">INFORME DE GESTIÓN PRESUPUESTAL </w:t>
      </w:r>
    </w:p>
    <w:p w14:paraId="2C542498" w14:textId="77777777" w:rsidR="00C02282" w:rsidRPr="006A67B4" w:rsidRDefault="00C02282" w:rsidP="00C02282">
      <w:pPr>
        <w:spacing w:after="0" w:line="240" w:lineRule="auto"/>
        <w:ind w:left="708" w:hanging="708"/>
        <w:jc w:val="center"/>
        <w:rPr>
          <w:rFonts w:ascii="Arial" w:eastAsia="Calibri" w:hAnsi="Arial" w:cs="Arial"/>
          <w:b/>
        </w:rPr>
      </w:pPr>
      <w:r w:rsidRPr="006A67B4">
        <w:rPr>
          <w:rFonts w:ascii="Arial" w:eastAsia="Calibri" w:hAnsi="Arial" w:cs="Arial"/>
          <w:b/>
        </w:rPr>
        <w:t>DEL</w:t>
      </w:r>
    </w:p>
    <w:p w14:paraId="330C94EA" w14:textId="77777777" w:rsidR="00C02282" w:rsidRPr="006A67B4" w:rsidRDefault="00C02282" w:rsidP="00C02282">
      <w:pPr>
        <w:spacing w:after="0" w:line="240" w:lineRule="auto"/>
        <w:ind w:left="708" w:hanging="708"/>
        <w:jc w:val="center"/>
        <w:rPr>
          <w:rFonts w:ascii="Arial" w:eastAsia="Calibri" w:hAnsi="Arial" w:cs="Arial"/>
          <w:b/>
        </w:rPr>
      </w:pPr>
      <w:r w:rsidRPr="006A67B4">
        <w:rPr>
          <w:rFonts w:ascii="Arial" w:eastAsia="Calibri" w:hAnsi="Arial" w:cs="Arial"/>
          <w:b/>
        </w:rPr>
        <w:t>SECTOR MINAS Y ENERGÍA.</w:t>
      </w:r>
    </w:p>
    <w:p w14:paraId="04B9A99B" w14:textId="77777777" w:rsidR="00C02282" w:rsidRPr="006A67B4" w:rsidRDefault="00C02282" w:rsidP="00C02282">
      <w:pPr>
        <w:spacing w:after="0" w:line="240" w:lineRule="auto"/>
        <w:jc w:val="center"/>
        <w:rPr>
          <w:rFonts w:ascii="Arial" w:eastAsia="Calibri" w:hAnsi="Arial" w:cs="Arial"/>
          <w:b/>
        </w:rPr>
      </w:pPr>
    </w:p>
    <w:p w14:paraId="61AC558E" w14:textId="77777777" w:rsidR="00C02282" w:rsidRPr="006A67B4" w:rsidRDefault="00C02282" w:rsidP="00C02282">
      <w:pPr>
        <w:spacing w:after="0" w:line="240" w:lineRule="auto"/>
        <w:jc w:val="center"/>
        <w:rPr>
          <w:rFonts w:ascii="Arial" w:eastAsia="Calibri" w:hAnsi="Arial" w:cs="Arial"/>
          <w:b/>
        </w:rPr>
      </w:pPr>
    </w:p>
    <w:p w14:paraId="2B5B15E8" w14:textId="77777777" w:rsidR="00C02282" w:rsidRPr="006A67B4" w:rsidRDefault="00C02282" w:rsidP="00C02282">
      <w:pPr>
        <w:spacing w:after="0" w:line="240" w:lineRule="auto"/>
        <w:jc w:val="center"/>
        <w:rPr>
          <w:rFonts w:ascii="Arial" w:eastAsia="Calibri" w:hAnsi="Arial" w:cs="Arial"/>
          <w:b/>
        </w:rPr>
      </w:pPr>
    </w:p>
    <w:p w14:paraId="60643FA5" w14:textId="77777777" w:rsidR="00C02282" w:rsidRPr="006A67B4" w:rsidRDefault="00C02282" w:rsidP="00C02282">
      <w:pPr>
        <w:spacing w:after="0" w:line="240" w:lineRule="auto"/>
        <w:jc w:val="center"/>
        <w:rPr>
          <w:rFonts w:ascii="Arial" w:eastAsia="Calibri" w:hAnsi="Arial" w:cs="Arial"/>
          <w:b/>
        </w:rPr>
      </w:pPr>
    </w:p>
    <w:p w14:paraId="00EA7908" w14:textId="77777777" w:rsidR="00C02282" w:rsidRPr="006A67B4" w:rsidRDefault="00C02282" w:rsidP="00C02282">
      <w:pPr>
        <w:spacing w:after="0" w:line="240" w:lineRule="auto"/>
        <w:jc w:val="center"/>
        <w:rPr>
          <w:rFonts w:ascii="Arial" w:eastAsia="Calibri" w:hAnsi="Arial" w:cs="Arial"/>
          <w:b/>
        </w:rPr>
      </w:pPr>
    </w:p>
    <w:p w14:paraId="3E31E473" w14:textId="77777777" w:rsidR="00C02282" w:rsidRPr="006A67B4" w:rsidRDefault="00C02282" w:rsidP="00C02282">
      <w:pPr>
        <w:spacing w:after="0" w:line="240" w:lineRule="auto"/>
        <w:jc w:val="center"/>
        <w:rPr>
          <w:rFonts w:ascii="Arial" w:eastAsia="Calibri" w:hAnsi="Arial" w:cs="Arial"/>
          <w:b/>
        </w:rPr>
      </w:pPr>
    </w:p>
    <w:p w14:paraId="1B15E0A1" w14:textId="10188367" w:rsidR="00C02282" w:rsidRPr="006A67B4" w:rsidRDefault="00C02282" w:rsidP="00C02282">
      <w:pPr>
        <w:spacing w:after="0" w:line="240" w:lineRule="auto"/>
        <w:jc w:val="center"/>
        <w:rPr>
          <w:rFonts w:ascii="Arial" w:eastAsia="Calibri" w:hAnsi="Arial" w:cs="Arial"/>
          <w:b/>
        </w:rPr>
      </w:pPr>
      <w:r w:rsidRPr="006A67B4">
        <w:rPr>
          <w:rFonts w:ascii="Arial" w:eastAsia="Calibri" w:hAnsi="Arial" w:cs="Arial"/>
          <w:b/>
        </w:rPr>
        <w:t>I</w:t>
      </w:r>
      <w:r w:rsidR="006A67B4" w:rsidRPr="006A67B4">
        <w:rPr>
          <w:rFonts w:ascii="Arial" w:eastAsia="Calibri" w:hAnsi="Arial" w:cs="Arial"/>
          <w:b/>
        </w:rPr>
        <w:t>I</w:t>
      </w:r>
      <w:r w:rsidRPr="006A67B4">
        <w:rPr>
          <w:rFonts w:ascii="Arial" w:eastAsia="Calibri" w:hAnsi="Arial" w:cs="Arial"/>
          <w:b/>
        </w:rPr>
        <w:t xml:space="preserve"> Trimestre 2018</w:t>
      </w:r>
    </w:p>
    <w:p w14:paraId="31573F0E" w14:textId="77777777" w:rsidR="00C02282" w:rsidRPr="006A67B4" w:rsidRDefault="00C02282" w:rsidP="00C02282">
      <w:pPr>
        <w:spacing w:after="0" w:line="240" w:lineRule="auto"/>
        <w:jc w:val="center"/>
        <w:rPr>
          <w:rFonts w:ascii="Arial" w:eastAsia="Calibri" w:hAnsi="Arial" w:cs="Arial"/>
          <w:b/>
        </w:rPr>
      </w:pPr>
    </w:p>
    <w:p w14:paraId="7B1AC942" w14:textId="77777777" w:rsidR="00C02282" w:rsidRPr="006A67B4" w:rsidRDefault="00C02282" w:rsidP="00C02282">
      <w:pPr>
        <w:spacing w:after="0" w:line="240" w:lineRule="auto"/>
        <w:jc w:val="center"/>
        <w:rPr>
          <w:rFonts w:ascii="Arial" w:eastAsia="Calibri" w:hAnsi="Arial" w:cs="Arial"/>
          <w:b/>
        </w:rPr>
      </w:pPr>
    </w:p>
    <w:p w14:paraId="4DA7ECA0" w14:textId="77777777" w:rsidR="00C02282" w:rsidRPr="006A67B4" w:rsidRDefault="00C02282" w:rsidP="00C02282">
      <w:pPr>
        <w:spacing w:after="0" w:line="240" w:lineRule="auto"/>
        <w:jc w:val="center"/>
        <w:rPr>
          <w:rFonts w:ascii="Arial" w:eastAsia="Calibri" w:hAnsi="Arial" w:cs="Arial"/>
          <w:b/>
        </w:rPr>
      </w:pPr>
    </w:p>
    <w:p w14:paraId="3E2D9582" w14:textId="77777777" w:rsidR="00C02282" w:rsidRPr="006A67B4" w:rsidRDefault="00C02282" w:rsidP="00C02282">
      <w:pPr>
        <w:spacing w:after="0" w:line="240" w:lineRule="auto"/>
        <w:jc w:val="center"/>
        <w:rPr>
          <w:rFonts w:ascii="Arial" w:eastAsia="Calibri" w:hAnsi="Arial" w:cs="Arial"/>
          <w:b/>
        </w:rPr>
      </w:pPr>
    </w:p>
    <w:p w14:paraId="75CD7ED4" w14:textId="77777777" w:rsidR="00C02282" w:rsidRPr="006A67B4" w:rsidRDefault="00C02282" w:rsidP="00C02282">
      <w:pPr>
        <w:spacing w:after="0" w:line="240" w:lineRule="auto"/>
        <w:jc w:val="center"/>
        <w:rPr>
          <w:rFonts w:ascii="Arial" w:eastAsia="Calibri" w:hAnsi="Arial" w:cs="Arial"/>
          <w:b/>
        </w:rPr>
      </w:pPr>
    </w:p>
    <w:p w14:paraId="67878CB7" w14:textId="77777777" w:rsidR="00C02282" w:rsidRPr="006A67B4" w:rsidRDefault="00C02282" w:rsidP="00C02282">
      <w:pPr>
        <w:spacing w:after="0" w:line="240" w:lineRule="auto"/>
        <w:jc w:val="center"/>
        <w:rPr>
          <w:rFonts w:ascii="Arial" w:eastAsia="Calibri" w:hAnsi="Arial" w:cs="Arial"/>
          <w:b/>
        </w:rPr>
      </w:pPr>
    </w:p>
    <w:p w14:paraId="562E3281" w14:textId="77777777" w:rsidR="00C02282" w:rsidRPr="006A67B4" w:rsidRDefault="00C02282" w:rsidP="00C02282">
      <w:pPr>
        <w:spacing w:after="0" w:line="240" w:lineRule="auto"/>
        <w:jc w:val="center"/>
        <w:rPr>
          <w:rFonts w:ascii="Arial" w:eastAsia="Calibri" w:hAnsi="Arial" w:cs="Arial"/>
          <w:b/>
        </w:rPr>
      </w:pPr>
    </w:p>
    <w:p w14:paraId="45545987" w14:textId="77777777" w:rsidR="00C02282" w:rsidRPr="006A67B4" w:rsidRDefault="00C02282" w:rsidP="00C02282">
      <w:pPr>
        <w:spacing w:after="0" w:line="240" w:lineRule="auto"/>
        <w:jc w:val="center"/>
        <w:rPr>
          <w:rFonts w:ascii="Arial" w:eastAsia="Calibri" w:hAnsi="Arial" w:cs="Arial"/>
          <w:b/>
        </w:rPr>
      </w:pPr>
    </w:p>
    <w:p w14:paraId="4FFB61A4" w14:textId="77777777" w:rsidR="00C02282" w:rsidRPr="006A67B4" w:rsidRDefault="00C02282" w:rsidP="00C02282">
      <w:pPr>
        <w:spacing w:after="0" w:line="240" w:lineRule="auto"/>
        <w:jc w:val="center"/>
        <w:rPr>
          <w:rFonts w:ascii="Arial" w:eastAsia="Calibri" w:hAnsi="Arial" w:cs="Arial"/>
          <w:b/>
        </w:rPr>
      </w:pPr>
    </w:p>
    <w:p w14:paraId="79DDA2FF" w14:textId="77777777" w:rsidR="00C02282" w:rsidRPr="006A67B4" w:rsidRDefault="00C02282" w:rsidP="00C02282">
      <w:pPr>
        <w:spacing w:after="0" w:line="240" w:lineRule="auto"/>
        <w:jc w:val="center"/>
        <w:rPr>
          <w:rFonts w:ascii="Arial" w:eastAsia="Calibri" w:hAnsi="Arial" w:cs="Arial"/>
          <w:b/>
        </w:rPr>
      </w:pPr>
    </w:p>
    <w:p w14:paraId="46C30959" w14:textId="77777777" w:rsidR="00C02282" w:rsidRPr="006A67B4" w:rsidRDefault="00C02282" w:rsidP="00C02282">
      <w:pPr>
        <w:spacing w:after="0" w:line="240" w:lineRule="auto"/>
        <w:jc w:val="center"/>
        <w:rPr>
          <w:rFonts w:ascii="Arial" w:eastAsia="Calibri" w:hAnsi="Arial" w:cs="Arial"/>
          <w:b/>
        </w:rPr>
      </w:pPr>
    </w:p>
    <w:p w14:paraId="434A66C9" w14:textId="77777777" w:rsidR="00C02282" w:rsidRPr="006A67B4" w:rsidRDefault="00C02282" w:rsidP="00C02282">
      <w:pPr>
        <w:spacing w:after="0" w:line="240" w:lineRule="auto"/>
        <w:jc w:val="center"/>
        <w:rPr>
          <w:rFonts w:ascii="Arial" w:eastAsia="Calibri" w:hAnsi="Arial" w:cs="Arial"/>
          <w:b/>
          <w:sz w:val="20"/>
          <w:szCs w:val="20"/>
        </w:rPr>
      </w:pPr>
    </w:p>
    <w:p w14:paraId="1856037D" w14:textId="77777777" w:rsidR="00C02282" w:rsidRPr="006A67B4" w:rsidRDefault="00C02282" w:rsidP="00C02282">
      <w:pPr>
        <w:spacing w:after="0" w:line="240" w:lineRule="auto"/>
        <w:jc w:val="center"/>
        <w:rPr>
          <w:rFonts w:ascii="Arial" w:eastAsia="Calibri" w:hAnsi="Arial" w:cs="Arial"/>
          <w:b/>
          <w:sz w:val="20"/>
          <w:szCs w:val="20"/>
        </w:rPr>
      </w:pPr>
      <w:r w:rsidRPr="006A67B4">
        <w:rPr>
          <w:rFonts w:ascii="Arial" w:eastAsia="Calibri" w:hAnsi="Arial" w:cs="Arial"/>
          <w:b/>
          <w:sz w:val="20"/>
          <w:szCs w:val="20"/>
        </w:rPr>
        <w:t>MINISTERIO DE MINAS Y ENERGÍA</w:t>
      </w:r>
    </w:p>
    <w:p w14:paraId="36D09D6A" w14:textId="77777777" w:rsidR="00C02282" w:rsidRPr="006A67B4" w:rsidRDefault="00C02282" w:rsidP="00C02282">
      <w:pPr>
        <w:spacing w:after="0" w:line="240" w:lineRule="auto"/>
        <w:jc w:val="center"/>
        <w:rPr>
          <w:rFonts w:ascii="Arial" w:eastAsia="Calibri" w:hAnsi="Arial" w:cs="Arial"/>
          <w:b/>
          <w:sz w:val="20"/>
          <w:szCs w:val="20"/>
        </w:rPr>
      </w:pPr>
      <w:r w:rsidRPr="006A67B4">
        <w:rPr>
          <w:rFonts w:ascii="Arial" w:eastAsia="Calibri" w:hAnsi="Arial" w:cs="Arial"/>
          <w:b/>
          <w:sz w:val="20"/>
          <w:szCs w:val="20"/>
        </w:rPr>
        <w:t>OFICINA DE PLANEACIÓN Y GESTIÓN INTERNACIONAL</w:t>
      </w:r>
    </w:p>
    <w:p w14:paraId="7C33BE86" w14:textId="77777777" w:rsidR="00C02282" w:rsidRPr="006A67B4" w:rsidRDefault="00C02282" w:rsidP="00C02282">
      <w:pPr>
        <w:spacing w:after="0" w:line="240" w:lineRule="auto"/>
        <w:jc w:val="center"/>
        <w:rPr>
          <w:rFonts w:ascii="Arial" w:eastAsia="Calibri" w:hAnsi="Arial" w:cs="Arial"/>
          <w:b/>
          <w:sz w:val="20"/>
          <w:szCs w:val="20"/>
          <w:lang w:val="es-ES"/>
        </w:rPr>
      </w:pPr>
      <w:r w:rsidRPr="006A67B4">
        <w:rPr>
          <w:rFonts w:ascii="Arial" w:eastAsia="Calibri" w:hAnsi="Arial" w:cs="Arial"/>
          <w:b/>
          <w:sz w:val="20"/>
          <w:szCs w:val="20"/>
          <w:lang w:val="es-ES"/>
        </w:rPr>
        <w:t>SUBDIRECCIÓN ADMINISTRATIVA Y FINANCIERA</w:t>
      </w:r>
    </w:p>
    <w:p w14:paraId="682124C5" w14:textId="77777777" w:rsidR="00C02282" w:rsidRPr="006A67B4" w:rsidRDefault="00C02282" w:rsidP="00C02282">
      <w:pPr>
        <w:spacing w:after="0" w:line="240" w:lineRule="auto"/>
        <w:jc w:val="center"/>
        <w:rPr>
          <w:rFonts w:ascii="Arial" w:eastAsia="Calibri" w:hAnsi="Arial" w:cs="Arial"/>
          <w:b/>
        </w:rPr>
      </w:pPr>
    </w:p>
    <w:p w14:paraId="5A8C90C7" w14:textId="77777777" w:rsidR="00C02282" w:rsidRPr="006A67B4" w:rsidRDefault="00C02282" w:rsidP="00C02282">
      <w:pPr>
        <w:spacing w:after="0" w:line="240" w:lineRule="auto"/>
        <w:jc w:val="center"/>
        <w:rPr>
          <w:rFonts w:ascii="Arial" w:eastAsia="Calibri" w:hAnsi="Arial" w:cs="Arial"/>
          <w:b/>
        </w:rPr>
      </w:pPr>
    </w:p>
    <w:p w14:paraId="5D9AFBC2" w14:textId="77777777" w:rsidR="00C02282" w:rsidRPr="006A67B4" w:rsidRDefault="00C02282" w:rsidP="00C02282">
      <w:pPr>
        <w:spacing w:after="0" w:line="240" w:lineRule="auto"/>
        <w:jc w:val="center"/>
        <w:rPr>
          <w:rFonts w:ascii="Arial" w:eastAsia="Calibri" w:hAnsi="Arial" w:cs="Arial"/>
          <w:b/>
        </w:rPr>
      </w:pPr>
    </w:p>
    <w:p w14:paraId="1DB916AC" w14:textId="77777777" w:rsidR="00C02282" w:rsidRPr="006A67B4" w:rsidRDefault="00C02282" w:rsidP="00C02282">
      <w:pPr>
        <w:spacing w:after="0" w:line="240" w:lineRule="auto"/>
        <w:jc w:val="center"/>
        <w:rPr>
          <w:rFonts w:ascii="Arial" w:eastAsia="Calibri" w:hAnsi="Arial" w:cs="Arial"/>
          <w:b/>
        </w:rPr>
      </w:pPr>
    </w:p>
    <w:p w14:paraId="60A78C1D" w14:textId="77777777" w:rsidR="00C02282" w:rsidRPr="006A67B4" w:rsidRDefault="00C02282" w:rsidP="00C02282">
      <w:pPr>
        <w:spacing w:after="0" w:line="240" w:lineRule="auto"/>
        <w:jc w:val="center"/>
        <w:rPr>
          <w:rFonts w:ascii="Arial" w:eastAsia="Calibri" w:hAnsi="Arial" w:cs="Arial"/>
          <w:b/>
        </w:rPr>
      </w:pPr>
    </w:p>
    <w:p w14:paraId="16B72741" w14:textId="77777777" w:rsidR="00C02282" w:rsidRPr="006A67B4" w:rsidRDefault="00C02282" w:rsidP="00C02282">
      <w:pPr>
        <w:spacing w:after="0" w:line="240" w:lineRule="auto"/>
        <w:jc w:val="center"/>
        <w:rPr>
          <w:rFonts w:ascii="Arial" w:eastAsia="Calibri" w:hAnsi="Arial" w:cs="Arial"/>
          <w:b/>
        </w:rPr>
      </w:pPr>
    </w:p>
    <w:p w14:paraId="0B699F9D" w14:textId="77777777" w:rsidR="00C02282" w:rsidRPr="006A67B4" w:rsidRDefault="00C02282" w:rsidP="00C02282">
      <w:pPr>
        <w:spacing w:after="0" w:line="240" w:lineRule="auto"/>
        <w:jc w:val="center"/>
        <w:rPr>
          <w:rFonts w:ascii="Arial" w:eastAsia="Calibri" w:hAnsi="Arial" w:cs="Arial"/>
          <w:b/>
        </w:rPr>
      </w:pPr>
    </w:p>
    <w:p w14:paraId="6E1D09F2" w14:textId="77777777" w:rsidR="00C02282" w:rsidRPr="006A67B4" w:rsidRDefault="00C02282" w:rsidP="00C02282">
      <w:pPr>
        <w:spacing w:after="0" w:line="240" w:lineRule="auto"/>
        <w:jc w:val="center"/>
        <w:rPr>
          <w:rFonts w:ascii="Arial" w:eastAsia="Calibri" w:hAnsi="Arial" w:cs="Arial"/>
          <w:b/>
        </w:rPr>
      </w:pPr>
    </w:p>
    <w:p w14:paraId="6B1386CB" w14:textId="77777777" w:rsidR="00C02282" w:rsidRPr="006A67B4" w:rsidRDefault="00C02282" w:rsidP="00C02282">
      <w:pPr>
        <w:spacing w:after="0" w:line="240" w:lineRule="auto"/>
        <w:jc w:val="center"/>
        <w:rPr>
          <w:rFonts w:ascii="Arial" w:eastAsia="Calibri" w:hAnsi="Arial" w:cs="Arial"/>
          <w:b/>
        </w:rPr>
      </w:pPr>
    </w:p>
    <w:p w14:paraId="6726F994" w14:textId="77777777" w:rsidR="00C02282" w:rsidRPr="006A67B4" w:rsidRDefault="00C02282" w:rsidP="00C02282">
      <w:pPr>
        <w:spacing w:after="0" w:line="240" w:lineRule="auto"/>
        <w:jc w:val="center"/>
        <w:rPr>
          <w:rFonts w:ascii="Arial" w:eastAsia="Calibri" w:hAnsi="Arial" w:cs="Arial"/>
          <w:b/>
        </w:rPr>
      </w:pPr>
    </w:p>
    <w:p w14:paraId="5D4188E4" w14:textId="77777777" w:rsidR="00C02282" w:rsidRPr="006A67B4" w:rsidRDefault="00C02282" w:rsidP="00C02282">
      <w:pPr>
        <w:spacing w:after="0" w:line="240" w:lineRule="auto"/>
        <w:jc w:val="center"/>
        <w:rPr>
          <w:rFonts w:ascii="Arial" w:eastAsia="Calibri" w:hAnsi="Arial" w:cs="Arial"/>
          <w:b/>
        </w:rPr>
      </w:pPr>
    </w:p>
    <w:p w14:paraId="362D82C6" w14:textId="77777777" w:rsidR="00C02282" w:rsidRPr="006A67B4" w:rsidRDefault="00C02282" w:rsidP="00C02282">
      <w:pPr>
        <w:spacing w:after="0" w:line="240" w:lineRule="auto"/>
        <w:jc w:val="center"/>
        <w:rPr>
          <w:rFonts w:ascii="Arial" w:eastAsia="Calibri" w:hAnsi="Arial" w:cs="Arial"/>
          <w:b/>
        </w:rPr>
      </w:pPr>
    </w:p>
    <w:p w14:paraId="0AFEA7A5" w14:textId="77777777" w:rsidR="00C02282" w:rsidRPr="006A67B4" w:rsidRDefault="00C02282" w:rsidP="00C02282">
      <w:pPr>
        <w:spacing w:after="0" w:line="240" w:lineRule="auto"/>
        <w:jc w:val="center"/>
        <w:rPr>
          <w:rFonts w:ascii="Arial" w:eastAsia="Calibri" w:hAnsi="Arial" w:cs="Arial"/>
          <w:b/>
        </w:rPr>
      </w:pPr>
    </w:p>
    <w:p w14:paraId="667223E1" w14:textId="77777777" w:rsidR="00C02282" w:rsidRPr="006A67B4" w:rsidRDefault="00C02282" w:rsidP="00C02282">
      <w:pPr>
        <w:spacing w:after="0" w:line="240" w:lineRule="auto"/>
        <w:jc w:val="center"/>
        <w:rPr>
          <w:rFonts w:ascii="Arial" w:eastAsia="Calibri" w:hAnsi="Arial" w:cs="Arial"/>
          <w:b/>
        </w:rPr>
      </w:pPr>
    </w:p>
    <w:p w14:paraId="43D75EC2" w14:textId="77777777" w:rsidR="00C02282" w:rsidRPr="006A67B4" w:rsidRDefault="00C02282" w:rsidP="00C02282">
      <w:pPr>
        <w:spacing w:after="0" w:line="240" w:lineRule="auto"/>
        <w:jc w:val="center"/>
        <w:rPr>
          <w:rFonts w:ascii="Arial" w:eastAsia="Calibri" w:hAnsi="Arial" w:cs="Arial"/>
          <w:b/>
        </w:rPr>
      </w:pPr>
    </w:p>
    <w:p w14:paraId="385B0128" w14:textId="77777777" w:rsidR="00C02282" w:rsidRPr="006A67B4" w:rsidRDefault="00C02282" w:rsidP="00C02282">
      <w:pPr>
        <w:spacing w:after="0" w:line="240" w:lineRule="auto"/>
        <w:jc w:val="center"/>
        <w:rPr>
          <w:rFonts w:ascii="Arial" w:eastAsia="Calibri" w:hAnsi="Arial" w:cs="Arial"/>
          <w:b/>
        </w:rPr>
      </w:pPr>
    </w:p>
    <w:p w14:paraId="16483CB7" w14:textId="77777777" w:rsidR="00C02282" w:rsidRPr="006A67B4" w:rsidRDefault="00C02282" w:rsidP="00C02282">
      <w:pPr>
        <w:spacing w:after="0" w:line="240" w:lineRule="auto"/>
        <w:jc w:val="center"/>
        <w:rPr>
          <w:rFonts w:ascii="Arial" w:eastAsia="Calibri" w:hAnsi="Arial" w:cs="Arial"/>
          <w:b/>
        </w:rPr>
      </w:pPr>
    </w:p>
    <w:p w14:paraId="6C4E0282" w14:textId="77777777" w:rsidR="00C02282" w:rsidRPr="006A67B4" w:rsidRDefault="00C02282" w:rsidP="00C02282">
      <w:pPr>
        <w:spacing w:after="0" w:line="240" w:lineRule="auto"/>
        <w:jc w:val="center"/>
        <w:rPr>
          <w:rFonts w:ascii="Arial" w:eastAsia="Calibri" w:hAnsi="Arial" w:cs="Arial"/>
          <w:b/>
        </w:rPr>
      </w:pPr>
    </w:p>
    <w:p w14:paraId="07C320C1" w14:textId="755684FA" w:rsidR="00C02282" w:rsidRPr="006A67B4" w:rsidRDefault="00C02282" w:rsidP="00C02282">
      <w:pPr>
        <w:spacing w:after="0" w:line="240" w:lineRule="auto"/>
        <w:jc w:val="center"/>
        <w:rPr>
          <w:rFonts w:ascii="Arial" w:eastAsia="Calibri" w:hAnsi="Arial" w:cs="Arial"/>
          <w:b/>
        </w:rPr>
      </w:pPr>
      <w:r w:rsidRPr="006A67B4">
        <w:rPr>
          <w:rFonts w:ascii="Arial" w:eastAsia="Calibri" w:hAnsi="Arial" w:cs="Arial"/>
          <w:b/>
        </w:rPr>
        <w:t xml:space="preserve">BOGOTÁ – </w:t>
      </w:r>
      <w:r w:rsidR="006A67B4" w:rsidRPr="006A67B4">
        <w:rPr>
          <w:rFonts w:ascii="Arial" w:eastAsia="Calibri" w:hAnsi="Arial" w:cs="Arial"/>
          <w:b/>
        </w:rPr>
        <w:t>Julio</w:t>
      </w:r>
      <w:r w:rsidRPr="006A67B4">
        <w:rPr>
          <w:rFonts w:ascii="Arial" w:eastAsia="Calibri" w:hAnsi="Arial" w:cs="Arial"/>
          <w:b/>
        </w:rPr>
        <w:t xml:space="preserve"> 2018</w:t>
      </w:r>
    </w:p>
    <w:p w14:paraId="63CC3266" w14:textId="77777777" w:rsidR="00C02282" w:rsidRPr="006A67B4" w:rsidRDefault="00C02282" w:rsidP="00C02282">
      <w:pPr>
        <w:spacing w:after="0" w:line="240" w:lineRule="auto"/>
        <w:jc w:val="center"/>
        <w:rPr>
          <w:rFonts w:ascii="Arial" w:eastAsia="Calibri" w:hAnsi="Arial" w:cs="Arial"/>
          <w:b/>
        </w:rPr>
      </w:pPr>
    </w:p>
    <w:p w14:paraId="2BB66C4A" w14:textId="77777777" w:rsidR="00C02282" w:rsidRPr="006A67B4" w:rsidRDefault="00C02282" w:rsidP="00C02282">
      <w:pPr>
        <w:spacing w:after="0" w:line="240" w:lineRule="auto"/>
        <w:jc w:val="center"/>
        <w:rPr>
          <w:rFonts w:ascii="Arial" w:eastAsia="Calibri" w:hAnsi="Arial" w:cs="Arial"/>
          <w:b/>
          <w:highlight w:val="yellow"/>
        </w:rPr>
      </w:pPr>
    </w:p>
    <w:p w14:paraId="106528AE" w14:textId="77777777" w:rsidR="00C02282" w:rsidRPr="00D625DE" w:rsidRDefault="00C02282" w:rsidP="00C02282">
      <w:pPr>
        <w:spacing w:after="0" w:line="240" w:lineRule="auto"/>
        <w:jc w:val="center"/>
        <w:rPr>
          <w:rFonts w:ascii="Arial" w:eastAsia="Calibri" w:hAnsi="Arial" w:cs="Arial"/>
          <w:b/>
          <w:sz w:val="20"/>
          <w:szCs w:val="20"/>
        </w:rPr>
      </w:pPr>
      <w:r w:rsidRPr="00D625DE">
        <w:rPr>
          <w:rFonts w:ascii="Arial" w:eastAsia="Calibri" w:hAnsi="Arial" w:cs="Arial"/>
          <w:b/>
          <w:sz w:val="20"/>
          <w:szCs w:val="20"/>
        </w:rPr>
        <w:lastRenderedPageBreak/>
        <w:t>INTRODUCCIÓN</w:t>
      </w:r>
    </w:p>
    <w:p w14:paraId="13D64DDE" w14:textId="77777777" w:rsidR="00C02282" w:rsidRPr="00D625DE" w:rsidRDefault="00C02282" w:rsidP="00C02282">
      <w:pPr>
        <w:spacing w:after="0" w:line="240" w:lineRule="auto"/>
        <w:jc w:val="center"/>
        <w:rPr>
          <w:rFonts w:ascii="Arial" w:eastAsia="Calibri" w:hAnsi="Arial" w:cs="Arial"/>
          <w:b/>
          <w:sz w:val="20"/>
          <w:szCs w:val="20"/>
        </w:rPr>
      </w:pPr>
    </w:p>
    <w:p w14:paraId="1F75E909" w14:textId="77777777" w:rsidR="00C02282" w:rsidRPr="00D625DE" w:rsidRDefault="00C02282" w:rsidP="00C02282">
      <w:pPr>
        <w:spacing w:after="0" w:line="240" w:lineRule="auto"/>
        <w:jc w:val="center"/>
        <w:rPr>
          <w:rFonts w:ascii="Arial" w:eastAsia="Calibri" w:hAnsi="Arial" w:cs="Arial"/>
          <w:b/>
          <w:sz w:val="20"/>
          <w:szCs w:val="20"/>
        </w:rPr>
      </w:pPr>
    </w:p>
    <w:p w14:paraId="0979B845" w14:textId="77777777" w:rsidR="00C02282" w:rsidRPr="00D625DE" w:rsidRDefault="00C02282" w:rsidP="00C02282">
      <w:pPr>
        <w:spacing w:after="0" w:line="240" w:lineRule="auto"/>
        <w:jc w:val="both"/>
        <w:rPr>
          <w:rFonts w:ascii="Arial" w:eastAsia="Calibri" w:hAnsi="Arial" w:cs="Arial"/>
          <w:sz w:val="20"/>
          <w:szCs w:val="20"/>
        </w:rPr>
      </w:pPr>
      <w:r w:rsidRPr="00D625DE">
        <w:rPr>
          <w:rFonts w:ascii="Arial" w:eastAsia="Calibri" w:hAnsi="Arial" w:cs="Arial"/>
          <w:sz w:val="20"/>
          <w:szCs w:val="20"/>
        </w:rPr>
        <w:t xml:space="preserve">La Oficina de Planeación y Gestión Internacional del Ministerio de Minas y Energía de conformidad con la competencia asignada en el artículo 9 del Decreto 0381 de 2012, relacionada con </w:t>
      </w:r>
      <w:r w:rsidRPr="00D625DE">
        <w:rPr>
          <w:rFonts w:ascii="Arial" w:eastAsia="Calibri" w:hAnsi="Arial" w:cs="Arial"/>
          <w:i/>
          <w:sz w:val="20"/>
          <w:szCs w:val="20"/>
        </w:rPr>
        <w:t xml:space="preserve">“controlar y evaluar periódicamente la ejecución y el cumplimiento de los planes, programas y proyectos de las entidades del sector, proponiendo los ajustes que se consideren necesarios”, </w:t>
      </w:r>
      <w:r w:rsidRPr="00D625DE">
        <w:rPr>
          <w:rFonts w:ascii="Arial" w:eastAsia="Calibri" w:hAnsi="Arial" w:cs="Arial"/>
          <w:sz w:val="20"/>
          <w:szCs w:val="20"/>
        </w:rPr>
        <w:t>y de conformidad con lo establecido en el artículo 28 del Decreto 2844 de 2010</w:t>
      </w:r>
      <w:r w:rsidRPr="00D625DE">
        <w:rPr>
          <w:rFonts w:ascii="Arial" w:eastAsia="Calibri" w:hAnsi="Arial" w:cs="Arial"/>
          <w:i/>
          <w:sz w:val="20"/>
          <w:szCs w:val="20"/>
        </w:rPr>
        <w:t xml:space="preserve"> "… Las Oficinas de Planeación de las entidades ejecutoras, serán los responsables de verificar la oportunidad y calidad de la información registrada en el Sistema", </w:t>
      </w:r>
      <w:r w:rsidRPr="00D625DE">
        <w:rPr>
          <w:rFonts w:ascii="Arial" w:eastAsia="Calibri" w:hAnsi="Arial" w:cs="Arial"/>
          <w:sz w:val="20"/>
          <w:szCs w:val="20"/>
        </w:rPr>
        <w:t>realiza el presente informe con el fin de dar a conocer los resultados obtenidos en la ejecución del presupuesto tanto de funcionamiento como de inversión del sector minas y energía, el cual contiene la información registrada por cada gerente de proyecto, indicando el nivel de avance en el SPI (Seguimiento Proyectos de Inversión), y la ejecución de las reservas presupuestales, Vigencia 2017.</w:t>
      </w:r>
    </w:p>
    <w:p w14:paraId="1D9ED2CF" w14:textId="77777777" w:rsidR="00C02282" w:rsidRPr="00D625DE" w:rsidRDefault="00C02282" w:rsidP="00C02282">
      <w:pPr>
        <w:spacing w:after="0" w:line="240" w:lineRule="auto"/>
        <w:jc w:val="both"/>
        <w:rPr>
          <w:rFonts w:ascii="Arial" w:eastAsia="Calibri" w:hAnsi="Arial" w:cs="Arial"/>
          <w:color w:val="FF0000"/>
          <w:sz w:val="20"/>
          <w:szCs w:val="20"/>
        </w:rPr>
      </w:pPr>
    </w:p>
    <w:p w14:paraId="710A1B53" w14:textId="27B5D817" w:rsidR="00C02282" w:rsidRPr="00D625DE" w:rsidRDefault="00C02282" w:rsidP="00C02282">
      <w:pPr>
        <w:spacing w:after="0" w:line="240" w:lineRule="auto"/>
        <w:jc w:val="both"/>
        <w:rPr>
          <w:rFonts w:ascii="Arial" w:eastAsia="Calibri" w:hAnsi="Arial" w:cs="Arial"/>
          <w:sz w:val="20"/>
          <w:szCs w:val="20"/>
        </w:rPr>
      </w:pPr>
      <w:r w:rsidRPr="00D625DE">
        <w:rPr>
          <w:rFonts w:ascii="Arial" w:eastAsia="Calibri" w:hAnsi="Arial" w:cs="Arial"/>
          <w:sz w:val="20"/>
          <w:szCs w:val="20"/>
        </w:rPr>
        <w:t xml:space="preserve">El Informe presenta los avances en ejecución presupuestal de los proyectos de inversión, para el periodo comprendido entre </w:t>
      </w:r>
      <w:r w:rsidR="00D625DE" w:rsidRPr="00D625DE">
        <w:rPr>
          <w:rFonts w:ascii="Arial" w:eastAsia="Calibri" w:hAnsi="Arial" w:cs="Arial"/>
          <w:sz w:val="20"/>
          <w:szCs w:val="20"/>
        </w:rPr>
        <w:t>abril a junio</w:t>
      </w:r>
      <w:r w:rsidRPr="00D625DE">
        <w:rPr>
          <w:rFonts w:ascii="Arial" w:eastAsia="Calibri" w:hAnsi="Arial" w:cs="Arial"/>
          <w:sz w:val="20"/>
          <w:szCs w:val="20"/>
        </w:rPr>
        <w:t xml:space="preserve"> de 2018 del Sector Administrativo de Minas y Energía, el cual está integrado por el Ministerio de Minas y Energía y las entidades adscritas: Agencia Nacional de Hidrocarburos – ANH, Agencia Nacional de Minería – ANM, Comisión de Regulación de Energía, Gas y Combustibles – CREG, Instituto de Planificación y Promoción de Soluciones Energéticas para las Zonas no Interconectadas – IPSE, Servicio Geológico Colombiano – SGC y la Unidad de Planeación Minero Energética – UPME.</w:t>
      </w:r>
    </w:p>
    <w:p w14:paraId="2BC72DF9" w14:textId="77777777" w:rsidR="00C02282" w:rsidRPr="006A67B4" w:rsidRDefault="00C02282" w:rsidP="00C02282">
      <w:pPr>
        <w:spacing w:after="0" w:line="240" w:lineRule="auto"/>
        <w:jc w:val="both"/>
        <w:rPr>
          <w:rFonts w:ascii="Arial" w:eastAsia="Calibri" w:hAnsi="Arial" w:cs="Arial"/>
          <w:color w:val="FF0000"/>
          <w:sz w:val="20"/>
          <w:szCs w:val="20"/>
          <w:highlight w:val="yellow"/>
        </w:rPr>
      </w:pPr>
    </w:p>
    <w:p w14:paraId="133B75D0" w14:textId="77777777" w:rsidR="00C02282" w:rsidRPr="00D625DE" w:rsidRDefault="00C02282" w:rsidP="00C02282">
      <w:pPr>
        <w:spacing w:after="0" w:line="240" w:lineRule="auto"/>
        <w:jc w:val="both"/>
        <w:rPr>
          <w:rFonts w:ascii="Arial" w:eastAsia="Calibri" w:hAnsi="Arial" w:cs="Arial"/>
          <w:sz w:val="20"/>
          <w:szCs w:val="20"/>
        </w:rPr>
      </w:pPr>
      <w:r w:rsidRPr="00D625DE">
        <w:rPr>
          <w:rFonts w:ascii="Arial" w:eastAsia="Calibri" w:hAnsi="Arial" w:cs="Arial"/>
          <w:sz w:val="20"/>
          <w:szCs w:val="20"/>
        </w:rPr>
        <w:t xml:space="preserve">Las herramientas utilizadas para la elaboración corresponden a los reportes del Sistema Integrado de Información Financiera – SIIF del Ministerio de Hacienda y Crédito Público, del Sistema de información del Departamento Nacional de Planeación de Seguimiento a los Proyectos de Inversión – SPI e información enviada por las entidades. </w:t>
      </w:r>
    </w:p>
    <w:p w14:paraId="6B23638F" w14:textId="77777777" w:rsidR="00C02282" w:rsidRPr="006A67B4" w:rsidRDefault="00C02282" w:rsidP="00C02282">
      <w:pPr>
        <w:spacing w:after="0" w:line="240" w:lineRule="auto"/>
        <w:jc w:val="center"/>
        <w:rPr>
          <w:rFonts w:ascii="Arial" w:eastAsia="Calibri" w:hAnsi="Arial" w:cs="Arial"/>
          <w:b/>
          <w:highlight w:val="yellow"/>
        </w:rPr>
      </w:pPr>
    </w:p>
    <w:p w14:paraId="47AF4B3A" w14:textId="77777777" w:rsidR="00C02282" w:rsidRPr="006A67B4" w:rsidRDefault="00C02282" w:rsidP="00C02282">
      <w:pPr>
        <w:spacing w:after="0" w:line="240" w:lineRule="auto"/>
        <w:jc w:val="center"/>
        <w:rPr>
          <w:rFonts w:ascii="Arial" w:eastAsia="Calibri" w:hAnsi="Arial" w:cs="Arial"/>
          <w:b/>
          <w:highlight w:val="yellow"/>
        </w:rPr>
      </w:pPr>
    </w:p>
    <w:p w14:paraId="2AE5C7AA" w14:textId="77777777" w:rsidR="00C02282" w:rsidRPr="006A67B4" w:rsidRDefault="00C02282" w:rsidP="00C02282">
      <w:pPr>
        <w:spacing w:after="0" w:line="240" w:lineRule="auto"/>
        <w:jc w:val="center"/>
        <w:rPr>
          <w:rFonts w:ascii="Arial" w:eastAsia="Calibri" w:hAnsi="Arial" w:cs="Arial"/>
          <w:b/>
          <w:highlight w:val="yellow"/>
        </w:rPr>
      </w:pPr>
    </w:p>
    <w:p w14:paraId="4C298532" w14:textId="77777777" w:rsidR="00C02282" w:rsidRPr="006A67B4" w:rsidRDefault="00C02282" w:rsidP="00C02282">
      <w:pPr>
        <w:spacing w:after="0" w:line="240" w:lineRule="auto"/>
        <w:jc w:val="center"/>
        <w:rPr>
          <w:rFonts w:ascii="Arial" w:eastAsia="Calibri" w:hAnsi="Arial" w:cs="Arial"/>
          <w:b/>
          <w:highlight w:val="yellow"/>
        </w:rPr>
      </w:pPr>
    </w:p>
    <w:p w14:paraId="6FE7B118" w14:textId="77777777" w:rsidR="00C02282" w:rsidRPr="006A67B4" w:rsidRDefault="00C02282" w:rsidP="00C02282">
      <w:pPr>
        <w:spacing w:after="0" w:line="240" w:lineRule="auto"/>
        <w:jc w:val="center"/>
        <w:rPr>
          <w:rFonts w:ascii="Arial" w:eastAsia="Calibri" w:hAnsi="Arial" w:cs="Arial"/>
          <w:b/>
          <w:highlight w:val="yellow"/>
        </w:rPr>
      </w:pPr>
    </w:p>
    <w:p w14:paraId="2681CF12" w14:textId="77777777" w:rsidR="00C02282" w:rsidRPr="006A67B4" w:rsidRDefault="00C02282" w:rsidP="00C02282">
      <w:pPr>
        <w:spacing w:after="0" w:line="240" w:lineRule="auto"/>
        <w:jc w:val="center"/>
        <w:rPr>
          <w:rFonts w:ascii="Arial" w:eastAsia="Calibri" w:hAnsi="Arial" w:cs="Arial"/>
          <w:b/>
          <w:highlight w:val="yellow"/>
        </w:rPr>
      </w:pPr>
    </w:p>
    <w:p w14:paraId="5CF1A7D9" w14:textId="77777777" w:rsidR="00C02282" w:rsidRPr="006A67B4" w:rsidRDefault="00C02282" w:rsidP="00C02282">
      <w:pPr>
        <w:spacing w:after="0" w:line="240" w:lineRule="auto"/>
        <w:jc w:val="center"/>
        <w:rPr>
          <w:rFonts w:ascii="Arial" w:eastAsia="Calibri" w:hAnsi="Arial" w:cs="Arial"/>
          <w:b/>
          <w:highlight w:val="yellow"/>
        </w:rPr>
      </w:pPr>
    </w:p>
    <w:p w14:paraId="3DC12685" w14:textId="77777777" w:rsidR="00C02282" w:rsidRPr="006A67B4" w:rsidRDefault="00C02282" w:rsidP="00C02282">
      <w:pPr>
        <w:spacing w:after="0" w:line="240" w:lineRule="auto"/>
        <w:jc w:val="center"/>
        <w:rPr>
          <w:rFonts w:ascii="Arial" w:eastAsia="Calibri" w:hAnsi="Arial" w:cs="Arial"/>
          <w:b/>
          <w:highlight w:val="yellow"/>
        </w:rPr>
      </w:pPr>
    </w:p>
    <w:p w14:paraId="35EF8B5E" w14:textId="77777777" w:rsidR="00C02282" w:rsidRPr="006A67B4" w:rsidRDefault="00C02282" w:rsidP="00C02282">
      <w:pPr>
        <w:spacing w:after="0" w:line="240" w:lineRule="auto"/>
        <w:jc w:val="center"/>
        <w:rPr>
          <w:rFonts w:ascii="Arial" w:eastAsia="Calibri" w:hAnsi="Arial" w:cs="Arial"/>
          <w:b/>
          <w:highlight w:val="yellow"/>
        </w:rPr>
      </w:pPr>
    </w:p>
    <w:p w14:paraId="41C260D4" w14:textId="77777777" w:rsidR="00C02282" w:rsidRPr="006A67B4" w:rsidRDefault="00C02282" w:rsidP="00C02282">
      <w:pPr>
        <w:spacing w:after="0" w:line="240" w:lineRule="auto"/>
        <w:jc w:val="center"/>
        <w:rPr>
          <w:rFonts w:ascii="Arial" w:eastAsia="Calibri" w:hAnsi="Arial" w:cs="Arial"/>
          <w:b/>
          <w:highlight w:val="yellow"/>
        </w:rPr>
      </w:pPr>
    </w:p>
    <w:p w14:paraId="59096A06" w14:textId="77777777" w:rsidR="00C02282" w:rsidRPr="006A67B4" w:rsidRDefault="00C02282" w:rsidP="00C02282">
      <w:pPr>
        <w:spacing w:after="0" w:line="240" w:lineRule="auto"/>
        <w:jc w:val="center"/>
        <w:rPr>
          <w:rFonts w:ascii="Arial" w:eastAsia="Calibri" w:hAnsi="Arial" w:cs="Arial"/>
          <w:b/>
          <w:highlight w:val="yellow"/>
        </w:rPr>
      </w:pPr>
    </w:p>
    <w:p w14:paraId="59354D2F" w14:textId="77777777" w:rsidR="00C02282" w:rsidRPr="006A67B4" w:rsidRDefault="00C02282" w:rsidP="00C02282">
      <w:pPr>
        <w:spacing w:after="0" w:line="240" w:lineRule="auto"/>
        <w:jc w:val="center"/>
        <w:rPr>
          <w:rFonts w:ascii="Arial" w:eastAsia="Calibri" w:hAnsi="Arial" w:cs="Arial"/>
          <w:b/>
          <w:highlight w:val="yellow"/>
        </w:rPr>
      </w:pPr>
    </w:p>
    <w:p w14:paraId="6CDED837" w14:textId="77777777" w:rsidR="00C02282" w:rsidRPr="006A67B4" w:rsidRDefault="00C02282" w:rsidP="00C02282">
      <w:pPr>
        <w:spacing w:after="0" w:line="240" w:lineRule="auto"/>
        <w:jc w:val="center"/>
        <w:rPr>
          <w:rFonts w:ascii="Arial" w:eastAsia="Calibri" w:hAnsi="Arial" w:cs="Arial"/>
          <w:b/>
          <w:highlight w:val="yellow"/>
        </w:rPr>
      </w:pPr>
    </w:p>
    <w:p w14:paraId="3C19B582" w14:textId="77777777" w:rsidR="00C02282" w:rsidRPr="006A67B4" w:rsidRDefault="00C02282" w:rsidP="00C02282">
      <w:pPr>
        <w:spacing w:after="0" w:line="240" w:lineRule="auto"/>
        <w:jc w:val="center"/>
        <w:rPr>
          <w:rFonts w:ascii="Arial" w:eastAsia="Calibri" w:hAnsi="Arial" w:cs="Arial"/>
          <w:b/>
          <w:highlight w:val="yellow"/>
        </w:rPr>
      </w:pPr>
    </w:p>
    <w:p w14:paraId="41551BE9" w14:textId="77777777" w:rsidR="00C02282" w:rsidRPr="006A67B4" w:rsidRDefault="00C02282" w:rsidP="00C02282">
      <w:pPr>
        <w:spacing w:after="0" w:line="240" w:lineRule="auto"/>
        <w:jc w:val="center"/>
        <w:rPr>
          <w:rFonts w:ascii="Arial" w:eastAsia="Calibri" w:hAnsi="Arial" w:cs="Arial"/>
          <w:b/>
          <w:highlight w:val="yellow"/>
        </w:rPr>
      </w:pPr>
    </w:p>
    <w:p w14:paraId="791C91C2" w14:textId="77777777" w:rsidR="00C02282" w:rsidRPr="006A67B4" w:rsidRDefault="00C02282" w:rsidP="00C02282">
      <w:pPr>
        <w:spacing w:after="0" w:line="240" w:lineRule="auto"/>
        <w:jc w:val="center"/>
        <w:rPr>
          <w:rFonts w:ascii="Arial" w:eastAsia="Calibri" w:hAnsi="Arial" w:cs="Arial"/>
          <w:b/>
          <w:highlight w:val="yellow"/>
        </w:rPr>
      </w:pPr>
    </w:p>
    <w:p w14:paraId="5810B0B1" w14:textId="77777777" w:rsidR="00C02282" w:rsidRPr="006A67B4" w:rsidRDefault="00C02282" w:rsidP="00C02282">
      <w:pPr>
        <w:spacing w:after="0" w:line="240" w:lineRule="auto"/>
        <w:jc w:val="center"/>
        <w:rPr>
          <w:rFonts w:ascii="Arial" w:eastAsia="Calibri" w:hAnsi="Arial" w:cs="Arial"/>
          <w:b/>
          <w:highlight w:val="yellow"/>
        </w:rPr>
      </w:pPr>
    </w:p>
    <w:p w14:paraId="135761D3" w14:textId="77777777" w:rsidR="00C02282" w:rsidRPr="006A67B4" w:rsidRDefault="00C02282" w:rsidP="00C02282">
      <w:pPr>
        <w:spacing w:after="0" w:line="240" w:lineRule="auto"/>
        <w:jc w:val="center"/>
        <w:rPr>
          <w:rFonts w:ascii="Arial" w:eastAsia="Calibri" w:hAnsi="Arial" w:cs="Arial"/>
          <w:b/>
          <w:highlight w:val="yellow"/>
        </w:rPr>
      </w:pPr>
    </w:p>
    <w:p w14:paraId="1A50A83B" w14:textId="27A53C92" w:rsidR="00C02282" w:rsidRDefault="00C02282" w:rsidP="00C02282">
      <w:pPr>
        <w:spacing w:after="0" w:line="240" w:lineRule="auto"/>
        <w:jc w:val="center"/>
        <w:rPr>
          <w:rFonts w:ascii="Arial" w:eastAsia="Calibri" w:hAnsi="Arial" w:cs="Arial"/>
          <w:b/>
          <w:highlight w:val="yellow"/>
        </w:rPr>
      </w:pPr>
    </w:p>
    <w:p w14:paraId="09117C18" w14:textId="77777777" w:rsidR="00124680" w:rsidRPr="006A67B4" w:rsidRDefault="00124680" w:rsidP="00C02282">
      <w:pPr>
        <w:spacing w:after="0" w:line="240" w:lineRule="auto"/>
        <w:jc w:val="center"/>
        <w:rPr>
          <w:rFonts w:ascii="Arial" w:eastAsia="Calibri" w:hAnsi="Arial" w:cs="Arial"/>
          <w:b/>
          <w:highlight w:val="yellow"/>
        </w:rPr>
      </w:pPr>
    </w:p>
    <w:p w14:paraId="2352AB57" w14:textId="77777777" w:rsidR="00C02282" w:rsidRPr="006A67B4" w:rsidRDefault="00C02282" w:rsidP="00C02282">
      <w:pPr>
        <w:spacing w:after="0"/>
        <w:rPr>
          <w:rFonts w:ascii="Arial" w:eastAsia="Calibri" w:hAnsi="Arial" w:cs="Arial"/>
          <w:color w:val="FF0000"/>
          <w:highlight w:val="yellow"/>
        </w:rPr>
      </w:pPr>
    </w:p>
    <w:sdt>
      <w:sdtPr>
        <w:rPr>
          <w:rFonts w:asciiTheme="minorHAnsi" w:eastAsiaTheme="minorHAnsi" w:hAnsiTheme="minorHAnsi" w:cstheme="minorBidi"/>
          <w:color w:val="auto"/>
          <w:sz w:val="22"/>
          <w:szCs w:val="22"/>
          <w:highlight w:val="yellow"/>
          <w:lang w:val="es-ES" w:eastAsia="en-US"/>
        </w:rPr>
        <w:id w:val="-126397923"/>
        <w:docPartObj>
          <w:docPartGallery w:val="Table of Contents"/>
          <w:docPartUnique/>
        </w:docPartObj>
      </w:sdtPr>
      <w:sdtEndPr>
        <w:rPr>
          <w:b/>
          <w:bCs/>
        </w:rPr>
      </w:sdtEndPr>
      <w:sdtContent>
        <w:p w14:paraId="3583DC28" w14:textId="77777777" w:rsidR="00C02282" w:rsidRPr="00124680" w:rsidRDefault="00C02282" w:rsidP="00C02282">
          <w:pPr>
            <w:pStyle w:val="TtuloTDC"/>
            <w:jc w:val="center"/>
            <w:rPr>
              <w:rStyle w:val="Hipervnculo"/>
              <w:rFonts w:ascii="Arial" w:eastAsia="Arial" w:hAnsi="Arial" w:cs="Arial"/>
              <w:b/>
              <w:noProof/>
              <w:color w:val="auto"/>
              <w:sz w:val="22"/>
              <w:szCs w:val="22"/>
              <w:u w:val="none"/>
            </w:rPr>
          </w:pPr>
          <w:r w:rsidRPr="00124680">
            <w:rPr>
              <w:rStyle w:val="Hipervnculo"/>
              <w:rFonts w:ascii="Arial" w:eastAsia="Arial" w:hAnsi="Arial" w:cs="Arial"/>
              <w:b/>
              <w:noProof/>
              <w:color w:val="auto"/>
              <w:sz w:val="22"/>
              <w:szCs w:val="22"/>
              <w:u w:val="none"/>
            </w:rPr>
            <w:t>TABLA DE CONTENIDO</w:t>
          </w:r>
        </w:p>
        <w:p w14:paraId="1EA1C32C" w14:textId="77777777" w:rsidR="00C02282" w:rsidRPr="00124680" w:rsidRDefault="00C02282" w:rsidP="00C02282">
          <w:pPr>
            <w:rPr>
              <w:lang w:eastAsia="es-CO"/>
            </w:rPr>
          </w:pPr>
        </w:p>
        <w:p w14:paraId="4CC93CBB" w14:textId="77777777" w:rsidR="003C1D99" w:rsidRPr="00124680" w:rsidRDefault="00C02282">
          <w:pPr>
            <w:pStyle w:val="TDC1"/>
            <w:tabs>
              <w:tab w:val="right" w:leader="dot" w:pos="9394"/>
            </w:tabs>
            <w:rPr>
              <w:rFonts w:eastAsiaTheme="minorEastAsia"/>
              <w:noProof/>
              <w:lang w:val="es-ES" w:eastAsia="es-ES"/>
            </w:rPr>
          </w:pPr>
          <w:r w:rsidRPr="00124680">
            <w:fldChar w:fldCharType="begin"/>
          </w:r>
          <w:r w:rsidRPr="00124680">
            <w:instrText xml:space="preserve"> TOC \o "1-3" \h \z \u </w:instrText>
          </w:r>
          <w:r w:rsidRPr="00124680">
            <w:fldChar w:fldCharType="separate"/>
          </w:r>
          <w:hyperlink w:anchor="_Toc525652001" w:history="1">
            <w:r w:rsidR="003C1D99" w:rsidRPr="00124680">
              <w:rPr>
                <w:rStyle w:val="Hipervnculo"/>
                <w:rFonts w:ascii="Arial" w:eastAsia="Arial" w:hAnsi="Arial" w:cs="Arial"/>
                <w:b/>
                <w:noProof/>
                <w:lang w:eastAsia="es-CO"/>
              </w:rPr>
              <w:t>SECTOR MINAS Y ENERGÍA 2018</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_Toc525652001 \h </w:instrText>
            </w:r>
            <w:r w:rsidR="003C1D99" w:rsidRPr="00124680">
              <w:rPr>
                <w:noProof/>
                <w:webHidden/>
              </w:rPr>
            </w:r>
            <w:r w:rsidR="003C1D99" w:rsidRPr="00124680">
              <w:rPr>
                <w:noProof/>
                <w:webHidden/>
              </w:rPr>
              <w:fldChar w:fldCharType="separate"/>
            </w:r>
            <w:r w:rsidR="003C1D99" w:rsidRPr="00124680">
              <w:rPr>
                <w:noProof/>
                <w:webHidden/>
              </w:rPr>
              <w:t>6</w:t>
            </w:r>
            <w:r w:rsidR="003C1D99" w:rsidRPr="00124680">
              <w:rPr>
                <w:noProof/>
                <w:webHidden/>
              </w:rPr>
              <w:fldChar w:fldCharType="end"/>
            </w:r>
          </w:hyperlink>
        </w:p>
        <w:p w14:paraId="5F2BBE0E"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02" w:history="1">
            <w:r w:rsidR="003C1D99" w:rsidRPr="00124680">
              <w:rPr>
                <w:rStyle w:val="Hipervnculo"/>
                <w:rFonts w:ascii="Arial" w:eastAsia="Arial" w:hAnsi="Arial" w:cs="Arial"/>
                <w:b/>
                <w:noProof/>
                <w:lang w:eastAsia="es-CO"/>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DEL SECTOR 2018</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_Toc525652002 \h </w:instrText>
            </w:r>
            <w:r w:rsidR="003C1D99" w:rsidRPr="00124680">
              <w:rPr>
                <w:noProof/>
                <w:webHidden/>
              </w:rPr>
            </w:r>
            <w:r w:rsidR="003C1D99" w:rsidRPr="00124680">
              <w:rPr>
                <w:noProof/>
                <w:webHidden/>
              </w:rPr>
              <w:fldChar w:fldCharType="separate"/>
            </w:r>
            <w:r w:rsidR="003C1D99" w:rsidRPr="00124680">
              <w:rPr>
                <w:noProof/>
                <w:webHidden/>
              </w:rPr>
              <w:t>7</w:t>
            </w:r>
            <w:r w:rsidR="003C1D99" w:rsidRPr="00124680">
              <w:rPr>
                <w:noProof/>
                <w:webHidden/>
              </w:rPr>
              <w:fldChar w:fldCharType="end"/>
            </w:r>
          </w:hyperlink>
        </w:p>
        <w:p w14:paraId="2C26FD0C" w14:textId="77777777" w:rsidR="003C1D99" w:rsidRPr="00124680" w:rsidRDefault="008B5E15">
          <w:pPr>
            <w:pStyle w:val="TDC2"/>
            <w:tabs>
              <w:tab w:val="left" w:pos="880"/>
              <w:tab w:val="right" w:leader="dot" w:pos="9394"/>
            </w:tabs>
            <w:rPr>
              <w:rFonts w:cstheme="minorBidi"/>
              <w:noProof/>
              <w:lang w:val="es-ES" w:eastAsia="es-ES"/>
            </w:rPr>
          </w:pPr>
          <w:hyperlink w:anchor="_Toc525652003"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del Sector 2018</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_Toc525652003 \h </w:instrText>
            </w:r>
            <w:r w:rsidR="003C1D99" w:rsidRPr="00124680">
              <w:rPr>
                <w:noProof/>
                <w:webHidden/>
              </w:rPr>
            </w:r>
            <w:r w:rsidR="003C1D99" w:rsidRPr="00124680">
              <w:rPr>
                <w:noProof/>
                <w:webHidden/>
              </w:rPr>
              <w:fldChar w:fldCharType="separate"/>
            </w:r>
            <w:r w:rsidR="003C1D99" w:rsidRPr="00124680">
              <w:rPr>
                <w:noProof/>
                <w:webHidden/>
              </w:rPr>
              <w:t>9</w:t>
            </w:r>
            <w:r w:rsidR="003C1D99" w:rsidRPr="00124680">
              <w:rPr>
                <w:noProof/>
                <w:webHidden/>
              </w:rPr>
              <w:fldChar w:fldCharType="end"/>
            </w:r>
          </w:hyperlink>
        </w:p>
        <w:p w14:paraId="6EC686A7" w14:textId="77777777" w:rsidR="003C1D99" w:rsidRPr="00124680" w:rsidRDefault="008B5E15">
          <w:pPr>
            <w:pStyle w:val="TDC2"/>
            <w:tabs>
              <w:tab w:val="left" w:pos="880"/>
              <w:tab w:val="right" w:leader="dot" w:pos="9394"/>
            </w:tabs>
            <w:rPr>
              <w:rFonts w:cstheme="minorBidi"/>
              <w:noProof/>
              <w:lang w:val="es-ES" w:eastAsia="es-ES"/>
            </w:rPr>
          </w:pPr>
          <w:hyperlink w:anchor="_Toc525652004"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del Sector 2018</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_Toc525652004 \h </w:instrText>
            </w:r>
            <w:r w:rsidR="003C1D99" w:rsidRPr="00124680">
              <w:rPr>
                <w:noProof/>
                <w:webHidden/>
              </w:rPr>
            </w:r>
            <w:r w:rsidR="003C1D99" w:rsidRPr="00124680">
              <w:rPr>
                <w:noProof/>
                <w:webHidden/>
              </w:rPr>
              <w:fldChar w:fldCharType="separate"/>
            </w:r>
            <w:r w:rsidR="003C1D99" w:rsidRPr="00124680">
              <w:rPr>
                <w:noProof/>
                <w:webHidden/>
              </w:rPr>
              <w:t>10</w:t>
            </w:r>
            <w:r w:rsidR="003C1D99" w:rsidRPr="00124680">
              <w:rPr>
                <w:noProof/>
                <w:webHidden/>
              </w:rPr>
              <w:fldChar w:fldCharType="end"/>
            </w:r>
          </w:hyperlink>
        </w:p>
        <w:p w14:paraId="5128B7F1"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05"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EJECUCIÓN PRESUPUESTAL SECTOR MINAS Y ENERGÍA</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_Toc525652005 \h </w:instrText>
            </w:r>
            <w:r w:rsidR="003C1D99" w:rsidRPr="00124680">
              <w:rPr>
                <w:noProof/>
                <w:webHidden/>
              </w:rPr>
            </w:r>
            <w:r w:rsidR="003C1D99" w:rsidRPr="00124680">
              <w:rPr>
                <w:noProof/>
                <w:webHidden/>
              </w:rPr>
              <w:fldChar w:fldCharType="separate"/>
            </w:r>
            <w:r w:rsidR="003C1D99" w:rsidRPr="00124680">
              <w:rPr>
                <w:noProof/>
                <w:webHidden/>
              </w:rPr>
              <w:t>11</w:t>
            </w:r>
            <w:r w:rsidR="003C1D99" w:rsidRPr="00124680">
              <w:rPr>
                <w:noProof/>
                <w:webHidden/>
              </w:rPr>
              <w:fldChar w:fldCharType="end"/>
            </w:r>
          </w:hyperlink>
        </w:p>
        <w:p w14:paraId="22257B62" w14:textId="77777777" w:rsidR="003C1D99" w:rsidRPr="00124680" w:rsidRDefault="008B5E15">
          <w:pPr>
            <w:pStyle w:val="TDC2"/>
            <w:tabs>
              <w:tab w:val="left" w:pos="880"/>
              <w:tab w:val="right" w:leader="dot" w:pos="9394"/>
            </w:tabs>
            <w:rPr>
              <w:rFonts w:cstheme="minorBidi"/>
              <w:noProof/>
              <w:lang w:val="es-ES" w:eastAsia="es-ES"/>
            </w:rPr>
          </w:pPr>
          <w:hyperlink w:anchor="_Toc525652006"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 – Sector Minas y Energía</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_Toc525652006 \h </w:instrText>
            </w:r>
            <w:r w:rsidR="003C1D99" w:rsidRPr="00124680">
              <w:rPr>
                <w:noProof/>
                <w:webHidden/>
              </w:rPr>
            </w:r>
            <w:r w:rsidR="003C1D99" w:rsidRPr="00124680">
              <w:rPr>
                <w:noProof/>
                <w:webHidden/>
              </w:rPr>
              <w:fldChar w:fldCharType="separate"/>
            </w:r>
            <w:r w:rsidR="003C1D99" w:rsidRPr="00124680">
              <w:rPr>
                <w:noProof/>
                <w:webHidden/>
              </w:rPr>
              <w:t>12</w:t>
            </w:r>
            <w:r w:rsidR="003C1D99" w:rsidRPr="00124680">
              <w:rPr>
                <w:noProof/>
                <w:webHidden/>
              </w:rPr>
              <w:fldChar w:fldCharType="end"/>
            </w:r>
          </w:hyperlink>
        </w:p>
        <w:p w14:paraId="12FB287C" w14:textId="77777777" w:rsidR="003C1D99" w:rsidRPr="00124680" w:rsidRDefault="008B5E15">
          <w:pPr>
            <w:pStyle w:val="TDC2"/>
            <w:tabs>
              <w:tab w:val="left" w:pos="880"/>
              <w:tab w:val="right" w:leader="dot" w:pos="9394"/>
            </w:tabs>
            <w:rPr>
              <w:rFonts w:cstheme="minorBidi"/>
              <w:noProof/>
              <w:lang w:val="es-ES" w:eastAsia="es-ES"/>
            </w:rPr>
          </w:pPr>
          <w:hyperlink w:anchor="_Toc525652007"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Inversión  – Sector Minas y Energía</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_Toc525652007 \h </w:instrText>
            </w:r>
            <w:r w:rsidR="003C1D99" w:rsidRPr="00124680">
              <w:rPr>
                <w:noProof/>
                <w:webHidden/>
              </w:rPr>
            </w:r>
            <w:r w:rsidR="003C1D99" w:rsidRPr="00124680">
              <w:rPr>
                <w:noProof/>
                <w:webHidden/>
              </w:rPr>
              <w:fldChar w:fldCharType="separate"/>
            </w:r>
            <w:r w:rsidR="003C1D99" w:rsidRPr="00124680">
              <w:rPr>
                <w:noProof/>
                <w:webHidden/>
              </w:rPr>
              <w:t>13</w:t>
            </w:r>
            <w:r w:rsidR="003C1D99" w:rsidRPr="00124680">
              <w:rPr>
                <w:noProof/>
                <w:webHidden/>
              </w:rPr>
              <w:fldChar w:fldCharType="end"/>
            </w:r>
          </w:hyperlink>
        </w:p>
        <w:p w14:paraId="484CD445" w14:textId="77777777" w:rsidR="003C1D99" w:rsidRPr="00124680" w:rsidRDefault="008B5E15">
          <w:pPr>
            <w:pStyle w:val="TDC1"/>
            <w:tabs>
              <w:tab w:val="left" w:pos="660"/>
              <w:tab w:val="right" w:leader="dot" w:pos="9394"/>
            </w:tabs>
            <w:rPr>
              <w:rFonts w:eastAsiaTheme="minorEastAsia"/>
              <w:noProof/>
              <w:lang w:val="es-ES" w:eastAsia="es-ES"/>
            </w:rPr>
          </w:pPr>
          <w:hyperlink w:anchor="_Toc525652008" w:history="1">
            <w:r w:rsidR="003C1D99" w:rsidRPr="00124680">
              <w:rPr>
                <w:rStyle w:val="Hipervnculo"/>
                <w:rFonts w:ascii="Arial" w:eastAsia="Arial" w:hAnsi="Arial" w:cs="Arial"/>
                <w:b/>
                <w:noProof/>
                <w:lang w:eastAsia="es-CO"/>
              </w:rPr>
              <w:t>A.</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MINISTERIO DE MINAS Y ENERGÍA-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_Toc525652008 \h </w:instrText>
            </w:r>
            <w:r w:rsidR="003C1D99" w:rsidRPr="00124680">
              <w:rPr>
                <w:noProof/>
                <w:webHidden/>
              </w:rPr>
            </w:r>
            <w:r w:rsidR="003C1D99" w:rsidRPr="00124680">
              <w:rPr>
                <w:noProof/>
                <w:webHidden/>
              </w:rPr>
              <w:fldChar w:fldCharType="separate"/>
            </w:r>
            <w:r w:rsidR="003C1D99" w:rsidRPr="00124680">
              <w:rPr>
                <w:noProof/>
                <w:webHidden/>
              </w:rPr>
              <w:t>14</w:t>
            </w:r>
            <w:r w:rsidR="003C1D99" w:rsidRPr="00124680">
              <w:rPr>
                <w:noProof/>
                <w:webHidden/>
              </w:rPr>
              <w:fldChar w:fldCharType="end"/>
            </w:r>
          </w:hyperlink>
        </w:p>
        <w:p w14:paraId="46782FE3"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09" w:history="1">
            <w:r w:rsidR="003C1D99" w:rsidRPr="00124680">
              <w:rPr>
                <w:rStyle w:val="Hipervnculo"/>
                <w:rFonts w:ascii="Arial" w:eastAsia="Arial" w:hAnsi="Arial" w:cs="Arial"/>
                <w:b/>
                <w:noProof/>
                <w:lang w:eastAsia="es-CO"/>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w:t>
            </w:r>
            <w:r w:rsidR="003C1D99" w:rsidRPr="00124680">
              <w:rPr>
                <w:rStyle w:val="Hipervnculo"/>
                <w:rFonts w:ascii="Arial" w:hAnsi="Arial" w:cs="Arial"/>
                <w:b/>
                <w:noProof/>
                <w:lang w:eastAsia="es-CO"/>
              </w:rPr>
              <w:t>L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_Toc525652009 \h </w:instrText>
            </w:r>
            <w:r w:rsidR="003C1D99" w:rsidRPr="00124680">
              <w:rPr>
                <w:noProof/>
                <w:webHidden/>
              </w:rPr>
            </w:r>
            <w:r w:rsidR="003C1D99" w:rsidRPr="00124680">
              <w:rPr>
                <w:noProof/>
                <w:webHidden/>
              </w:rPr>
              <w:fldChar w:fldCharType="separate"/>
            </w:r>
            <w:r w:rsidR="003C1D99" w:rsidRPr="00124680">
              <w:rPr>
                <w:noProof/>
                <w:webHidden/>
              </w:rPr>
              <w:t>14</w:t>
            </w:r>
            <w:r w:rsidR="003C1D99" w:rsidRPr="00124680">
              <w:rPr>
                <w:noProof/>
                <w:webHidden/>
              </w:rPr>
              <w:fldChar w:fldCharType="end"/>
            </w:r>
          </w:hyperlink>
        </w:p>
        <w:p w14:paraId="0BD1E29F" w14:textId="0A1A7A67" w:rsidR="003C1D99" w:rsidRPr="00124680" w:rsidRDefault="008B5E15">
          <w:pPr>
            <w:pStyle w:val="TDC2"/>
            <w:tabs>
              <w:tab w:val="left" w:pos="880"/>
              <w:tab w:val="right" w:leader="dot" w:pos="9394"/>
            </w:tabs>
            <w:rPr>
              <w:rFonts w:cstheme="minorBidi"/>
              <w:noProof/>
              <w:lang w:val="es-ES" w:eastAsia="es-ES"/>
            </w:rPr>
          </w:pPr>
          <w:hyperlink w:anchor="_Toc525652010"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 Asignación Presupuestal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_Toc525652010 \h </w:instrText>
            </w:r>
            <w:r w:rsidR="003C1D99" w:rsidRPr="00124680">
              <w:rPr>
                <w:noProof/>
                <w:webHidden/>
              </w:rPr>
            </w:r>
            <w:r w:rsidR="003C1D99" w:rsidRPr="00124680">
              <w:rPr>
                <w:noProof/>
                <w:webHidden/>
              </w:rPr>
              <w:fldChar w:fldCharType="separate"/>
            </w:r>
            <w:r w:rsidR="003C1D99" w:rsidRPr="00124680">
              <w:rPr>
                <w:noProof/>
                <w:webHidden/>
              </w:rPr>
              <w:t>15</w:t>
            </w:r>
            <w:r w:rsidR="003C1D99" w:rsidRPr="00124680">
              <w:rPr>
                <w:noProof/>
                <w:webHidden/>
              </w:rPr>
              <w:fldChar w:fldCharType="end"/>
            </w:r>
          </w:hyperlink>
        </w:p>
        <w:p w14:paraId="0DEFA85C" w14:textId="77777777" w:rsidR="003C1D99" w:rsidRPr="00124680" w:rsidRDefault="008B5E15">
          <w:pPr>
            <w:pStyle w:val="TDC2"/>
            <w:tabs>
              <w:tab w:val="left" w:pos="880"/>
              <w:tab w:val="right" w:leader="dot" w:pos="9394"/>
            </w:tabs>
            <w:rPr>
              <w:rFonts w:cstheme="minorBidi"/>
              <w:noProof/>
              <w:lang w:val="es-ES" w:eastAsia="es-ES"/>
            </w:rPr>
          </w:pPr>
          <w:hyperlink w:anchor="_Toc525652011"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del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_Toc525652011 \h </w:instrText>
            </w:r>
            <w:r w:rsidR="003C1D99" w:rsidRPr="00124680">
              <w:rPr>
                <w:noProof/>
                <w:webHidden/>
              </w:rPr>
            </w:r>
            <w:r w:rsidR="003C1D99" w:rsidRPr="00124680">
              <w:rPr>
                <w:noProof/>
                <w:webHidden/>
              </w:rPr>
              <w:fldChar w:fldCharType="separate"/>
            </w:r>
            <w:r w:rsidR="003C1D99" w:rsidRPr="00124680">
              <w:rPr>
                <w:noProof/>
                <w:webHidden/>
              </w:rPr>
              <w:t>16</w:t>
            </w:r>
            <w:r w:rsidR="003C1D99" w:rsidRPr="00124680">
              <w:rPr>
                <w:noProof/>
                <w:webHidden/>
              </w:rPr>
              <w:fldChar w:fldCharType="end"/>
            </w:r>
          </w:hyperlink>
        </w:p>
        <w:p w14:paraId="3E1A868C"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12"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INGRESOS Y GASTOS DEL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_Toc525652012 \h </w:instrText>
            </w:r>
            <w:r w:rsidR="003C1D99" w:rsidRPr="00124680">
              <w:rPr>
                <w:noProof/>
                <w:webHidden/>
              </w:rPr>
            </w:r>
            <w:r w:rsidR="003C1D99" w:rsidRPr="00124680">
              <w:rPr>
                <w:noProof/>
                <w:webHidden/>
              </w:rPr>
              <w:fldChar w:fldCharType="separate"/>
            </w:r>
            <w:r w:rsidR="003C1D99" w:rsidRPr="00124680">
              <w:rPr>
                <w:noProof/>
                <w:webHidden/>
              </w:rPr>
              <w:t>22</w:t>
            </w:r>
            <w:r w:rsidR="003C1D99" w:rsidRPr="00124680">
              <w:rPr>
                <w:noProof/>
                <w:webHidden/>
              </w:rPr>
              <w:fldChar w:fldCharType="end"/>
            </w:r>
          </w:hyperlink>
        </w:p>
        <w:p w14:paraId="1AA87A62" w14:textId="77777777" w:rsidR="003C1D99" w:rsidRPr="00124680" w:rsidRDefault="008B5E15">
          <w:pPr>
            <w:pStyle w:val="TDC2"/>
            <w:tabs>
              <w:tab w:val="left" w:pos="880"/>
              <w:tab w:val="right" w:leader="dot" w:pos="9394"/>
            </w:tabs>
            <w:rPr>
              <w:rFonts w:cstheme="minorBidi"/>
              <w:noProof/>
              <w:lang w:val="es-ES" w:eastAsia="es-ES"/>
            </w:rPr>
          </w:pPr>
          <w:hyperlink w:anchor="_Toc525652013"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Ingresos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_Toc525652013 \h </w:instrText>
            </w:r>
            <w:r w:rsidR="003C1D99" w:rsidRPr="00124680">
              <w:rPr>
                <w:noProof/>
                <w:webHidden/>
              </w:rPr>
            </w:r>
            <w:r w:rsidR="003C1D99" w:rsidRPr="00124680">
              <w:rPr>
                <w:noProof/>
                <w:webHidden/>
              </w:rPr>
              <w:fldChar w:fldCharType="separate"/>
            </w:r>
            <w:r w:rsidR="003C1D99" w:rsidRPr="00124680">
              <w:rPr>
                <w:noProof/>
                <w:webHidden/>
              </w:rPr>
              <w:t>22</w:t>
            </w:r>
            <w:r w:rsidR="003C1D99" w:rsidRPr="00124680">
              <w:rPr>
                <w:noProof/>
                <w:webHidden/>
              </w:rPr>
              <w:fldChar w:fldCharType="end"/>
            </w:r>
          </w:hyperlink>
        </w:p>
        <w:p w14:paraId="4C6BCD0E" w14:textId="77777777" w:rsidR="003C1D99" w:rsidRPr="00124680" w:rsidRDefault="008B5E15">
          <w:pPr>
            <w:pStyle w:val="TDC2"/>
            <w:tabs>
              <w:tab w:val="left" w:pos="880"/>
              <w:tab w:val="right" w:leader="dot" w:pos="9394"/>
            </w:tabs>
            <w:rPr>
              <w:rFonts w:cstheme="minorBidi"/>
              <w:noProof/>
              <w:lang w:val="es-ES" w:eastAsia="es-ES"/>
            </w:rPr>
          </w:pPr>
          <w:hyperlink w:anchor="_Toc525652014"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Gastos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_Toc525652014 \h </w:instrText>
            </w:r>
            <w:r w:rsidR="003C1D99" w:rsidRPr="00124680">
              <w:rPr>
                <w:noProof/>
                <w:webHidden/>
              </w:rPr>
            </w:r>
            <w:r w:rsidR="003C1D99" w:rsidRPr="00124680">
              <w:rPr>
                <w:noProof/>
                <w:webHidden/>
              </w:rPr>
              <w:fldChar w:fldCharType="separate"/>
            </w:r>
            <w:r w:rsidR="003C1D99" w:rsidRPr="00124680">
              <w:rPr>
                <w:noProof/>
                <w:webHidden/>
              </w:rPr>
              <w:t>24</w:t>
            </w:r>
            <w:r w:rsidR="003C1D99" w:rsidRPr="00124680">
              <w:rPr>
                <w:noProof/>
                <w:webHidden/>
              </w:rPr>
              <w:fldChar w:fldCharType="end"/>
            </w:r>
          </w:hyperlink>
        </w:p>
        <w:p w14:paraId="5EA6688D" w14:textId="77777777" w:rsidR="003C1D99" w:rsidRPr="00124680" w:rsidRDefault="008B5E15">
          <w:pPr>
            <w:pStyle w:val="TDC1"/>
            <w:tabs>
              <w:tab w:val="right" w:leader="dot" w:pos="9394"/>
            </w:tabs>
            <w:rPr>
              <w:rFonts w:eastAsiaTheme="minorEastAsia"/>
              <w:noProof/>
              <w:lang w:val="es-ES" w:eastAsia="es-ES"/>
            </w:rPr>
          </w:pPr>
          <w:hyperlink w:anchor="_Toc525652015" w:history="1">
            <w:r w:rsidR="003C1D99" w:rsidRPr="00124680">
              <w:rPr>
                <w:rStyle w:val="Hipervnculo"/>
                <w:rFonts w:ascii="Arial" w:eastAsia="Arial" w:hAnsi="Arial" w:cs="Arial"/>
                <w:noProof/>
              </w:rPr>
              <w:t>La ejecución presupuestal correspondiente al segundo trimestre de 2018 se detalla a continuación:</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_Toc525652015 \h </w:instrText>
            </w:r>
            <w:r w:rsidR="003C1D99" w:rsidRPr="00124680">
              <w:rPr>
                <w:noProof/>
                <w:webHidden/>
              </w:rPr>
            </w:r>
            <w:r w:rsidR="003C1D99" w:rsidRPr="00124680">
              <w:rPr>
                <w:noProof/>
                <w:webHidden/>
              </w:rPr>
              <w:fldChar w:fldCharType="separate"/>
            </w:r>
            <w:r w:rsidR="003C1D99" w:rsidRPr="00124680">
              <w:rPr>
                <w:noProof/>
                <w:webHidden/>
              </w:rPr>
              <w:t>24</w:t>
            </w:r>
            <w:r w:rsidR="003C1D99" w:rsidRPr="00124680">
              <w:rPr>
                <w:noProof/>
                <w:webHidden/>
              </w:rPr>
              <w:fldChar w:fldCharType="end"/>
            </w:r>
          </w:hyperlink>
        </w:p>
        <w:p w14:paraId="3105DA97" w14:textId="77777777" w:rsidR="003C1D99" w:rsidRPr="00124680" w:rsidRDefault="008B5E15">
          <w:pPr>
            <w:pStyle w:val="TDC3"/>
            <w:tabs>
              <w:tab w:val="left" w:pos="1320"/>
              <w:tab w:val="right" w:leader="dot" w:pos="9394"/>
            </w:tabs>
            <w:rPr>
              <w:rFonts w:cstheme="minorBidi"/>
              <w:noProof/>
              <w:lang w:val="es-ES" w:eastAsia="es-ES"/>
            </w:rPr>
          </w:pPr>
          <w:hyperlink w:anchor="_Toc525652016" w:history="1">
            <w:r w:rsidR="003C1D99" w:rsidRPr="00124680">
              <w:rPr>
                <w:rStyle w:val="Hipervnculo"/>
                <w:rFonts w:ascii="Arial" w:eastAsia="Calibri" w:hAnsi="Arial" w:cs="Arial"/>
                <w:noProof/>
              </w:rPr>
              <w:t>2.2.1.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_Toc525652016 \h </w:instrText>
            </w:r>
            <w:r w:rsidR="003C1D99" w:rsidRPr="00124680">
              <w:rPr>
                <w:noProof/>
                <w:webHidden/>
              </w:rPr>
            </w:r>
            <w:r w:rsidR="003C1D99" w:rsidRPr="00124680">
              <w:rPr>
                <w:noProof/>
                <w:webHidden/>
              </w:rPr>
              <w:fldChar w:fldCharType="separate"/>
            </w:r>
            <w:r w:rsidR="003C1D99" w:rsidRPr="00124680">
              <w:rPr>
                <w:noProof/>
                <w:webHidden/>
              </w:rPr>
              <w:t>24</w:t>
            </w:r>
            <w:r w:rsidR="003C1D99" w:rsidRPr="00124680">
              <w:rPr>
                <w:noProof/>
                <w:webHidden/>
              </w:rPr>
              <w:fldChar w:fldCharType="end"/>
            </w:r>
          </w:hyperlink>
        </w:p>
        <w:p w14:paraId="489FA5E0" w14:textId="77777777" w:rsidR="003C1D99" w:rsidRPr="00124680" w:rsidRDefault="008B5E15">
          <w:pPr>
            <w:pStyle w:val="TDC3"/>
            <w:tabs>
              <w:tab w:val="left" w:pos="1320"/>
              <w:tab w:val="right" w:leader="dot" w:pos="9394"/>
            </w:tabs>
            <w:rPr>
              <w:rFonts w:cstheme="minorBidi"/>
              <w:noProof/>
              <w:lang w:val="es-ES" w:eastAsia="es-ES"/>
            </w:rPr>
          </w:pPr>
          <w:hyperlink w:anchor="_Toc525652017" w:history="1">
            <w:r w:rsidR="003C1D99" w:rsidRPr="00124680">
              <w:rPr>
                <w:rStyle w:val="Hipervnculo"/>
                <w:rFonts w:ascii="Arial" w:eastAsia="Calibri" w:hAnsi="Arial" w:cs="Arial"/>
                <w:noProof/>
              </w:rPr>
              <w:t>2.2.2.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_Toc525652017 \h </w:instrText>
            </w:r>
            <w:r w:rsidR="003C1D99" w:rsidRPr="00124680">
              <w:rPr>
                <w:noProof/>
                <w:webHidden/>
              </w:rPr>
            </w:r>
            <w:r w:rsidR="003C1D99" w:rsidRPr="00124680">
              <w:rPr>
                <w:noProof/>
                <w:webHidden/>
              </w:rPr>
              <w:fldChar w:fldCharType="separate"/>
            </w:r>
            <w:r w:rsidR="003C1D99" w:rsidRPr="00124680">
              <w:rPr>
                <w:noProof/>
                <w:webHidden/>
              </w:rPr>
              <w:t>28</w:t>
            </w:r>
            <w:r w:rsidR="003C1D99" w:rsidRPr="00124680">
              <w:rPr>
                <w:noProof/>
                <w:webHidden/>
              </w:rPr>
              <w:fldChar w:fldCharType="end"/>
            </w:r>
          </w:hyperlink>
        </w:p>
        <w:p w14:paraId="2FAB661B"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18"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DEL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_Toc525652018 \h </w:instrText>
            </w:r>
            <w:r w:rsidR="003C1D99" w:rsidRPr="00124680">
              <w:rPr>
                <w:noProof/>
                <w:webHidden/>
              </w:rPr>
            </w:r>
            <w:r w:rsidR="003C1D99" w:rsidRPr="00124680">
              <w:rPr>
                <w:noProof/>
                <w:webHidden/>
              </w:rPr>
              <w:fldChar w:fldCharType="separate"/>
            </w:r>
            <w:r w:rsidR="003C1D99" w:rsidRPr="00124680">
              <w:rPr>
                <w:noProof/>
                <w:webHidden/>
              </w:rPr>
              <w:t>58</w:t>
            </w:r>
            <w:r w:rsidR="003C1D99" w:rsidRPr="00124680">
              <w:rPr>
                <w:noProof/>
                <w:webHidden/>
              </w:rPr>
              <w:fldChar w:fldCharType="end"/>
            </w:r>
          </w:hyperlink>
        </w:p>
        <w:p w14:paraId="5D78EA94" w14:textId="77777777" w:rsidR="003C1D99" w:rsidRPr="00124680" w:rsidRDefault="008B5E15">
          <w:pPr>
            <w:pStyle w:val="TDC2"/>
            <w:tabs>
              <w:tab w:val="left" w:pos="880"/>
              <w:tab w:val="right" w:leader="dot" w:pos="9394"/>
            </w:tabs>
            <w:rPr>
              <w:rFonts w:cstheme="minorBidi"/>
              <w:noProof/>
              <w:lang w:val="es-ES" w:eastAsia="es-ES"/>
            </w:rPr>
          </w:pPr>
          <w:hyperlink w:anchor="_Toc525652019" w:history="1">
            <w:r w:rsidR="003C1D99" w:rsidRPr="00124680">
              <w:rPr>
                <w:rStyle w:val="Hipervnculo"/>
                <w:rFonts w:ascii="Arial" w:eastAsia="Calibri" w:hAnsi="Arial" w:cs="Arial"/>
                <w:noProof/>
              </w:rPr>
              <w:t>3.1.</w:t>
            </w:r>
            <w:r w:rsidR="003C1D99" w:rsidRPr="00124680">
              <w:rPr>
                <w:rFonts w:cstheme="minorBidi"/>
                <w:noProof/>
                <w:lang w:val="es-ES" w:eastAsia="es-ES"/>
              </w:rPr>
              <w:tab/>
            </w:r>
            <w:r w:rsidR="003C1D99" w:rsidRPr="00124680">
              <w:rPr>
                <w:rStyle w:val="Hipervnculo"/>
                <w:rFonts w:ascii="Arial" w:eastAsia="Calibri" w:hAnsi="Arial" w:cs="Arial"/>
                <w:noProof/>
              </w:rPr>
              <w:t>Ejecución reservas presupuestales MME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_Toc525652019 \h </w:instrText>
            </w:r>
            <w:r w:rsidR="003C1D99" w:rsidRPr="00124680">
              <w:rPr>
                <w:noProof/>
                <w:webHidden/>
              </w:rPr>
            </w:r>
            <w:r w:rsidR="003C1D99" w:rsidRPr="00124680">
              <w:rPr>
                <w:noProof/>
                <w:webHidden/>
              </w:rPr>
              <w:fldChar w:fldCharType="separate"/>
            </w:r>
            <w:r w:rsidR="003C1D99" w:rsidRPr="00124680">
              <w:rPr>
                <w:noProof/>
                <w:webHidden/>
              </w:rPr>
              <w:t>58</w:t>
            </w:r>
            <w:r w:rsidR="003C1D99" w:rsidRPr="00124680">
              <w:rPr>
                <w:noProof/>
                <w:webHidden/>
              </w:rPr>
              <w:fldChar w:fldCharType="end"/>
            </w:r>
          </w:hyperlink>
        </w:p>
        <w:p w14:paraId="02CC28A1" w14:textId="77777777" w:rsidR="003C1D99" w:rsidRPr="00124680" w:rsidRDefault="008B5E15">
          <w:pPr>
            <w:pStyle w:val="TDC2"/>
            <w:tabs>
              <w:tab w:val="left" w:pos="1100"/>
              <w:tab w:val="right" w:leader="dot" w:pos="9394"/>
            </w:tabs>
            <w:rPr>
              <w:rFonts w:cstheme="minorBidi"/>
              <w:noProof/>
              <w:lang w:val="es-ES" w:eastAsia="es-ES"/>
            </w:rPr>
          </w:pPr>
          <w:hyperlink w:anchor="_Toc525652020" w:history="1">
            <w:r w:rsidR="003C1D99" w:rsidRPr="00124680">
              <w:rPr>
                <w:rStyle w:val="Hipervnculo"/>
                <w:rFonts w:eastAsia="Calibri" w:cs="Arial"/>
                <w:b/>
                <w:bCs/>
                <w:noProof/>
              </w:rPr>
              <w:t>3.1.1.</w:t>
            </w:r>
            <w:r w:rsidR="003C1D99" w:rsidRPr="00124680">
              <w:rPr>
                <w:rFonts w:cstheme="minorBidi"/>
                <w:noProof/>
                <w:lang w:val="es-ES" w:eastAsia="es-ES"/>
              </w:rPr>
              <w:tab/>
            </w:r>
            <w:r w:rsidR="003C1D99" w:rsidRPr="00124680">
              <w:rPr>
                <w:rStyle w:val="Hipervnculo"/>
                <w:rFonts w:eastAsia="Calibri" w:cs="Arial"/>
                <w:b/>
                <w:bCs/>
                <w:noProof/>
              </w:rPr>
              <w:t>Ejecución reservas presupuestales en Inversión por proyecto</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_Toc525652020 \h </w:instrText>
            </w:r>
            <w:r w:rsidR="003C1D99" w:rsidRPr="00124680">
              <w:rPr>
                <w:noProof/>
                <w:webHidden/>
              </w:rPr>
            </w:r>
            <w:r w:rsidR="003C1D99" w:rsidRPr="00124680">
              <w:rPr>
                <w:noProof/>
                <w:webHidden/>
              </w:rPr>
              <w:fldChar w:fldCharType="separate"/>
            </w:r>
            <w:r w:rsidR="003C1D99" w:rsidRPr="00124680">
              <w:rPr>
                <w:noProof/>
                <w:webHidden/>
              </w:rPr>
              <w:t>59</w:t>
            </w:r>
            <w:r w:rsidR="003C1D99" w:rsidRPr="00124680">
              <w:rPr>
                <w:noProof/>
                <w:webHidden/>
              </w:rPr>
              <w:fldChar w:fldCharType="end"/>
            </w:r>
          </w:hyperlink>
        </w:p>
        <w:p w14:paraId="6D3F5B70" w14:textId="77777777" w:rsidR="003C1D99" w:rsidRPr="00124680" w:rsidRDefault="008B5E15">
          <w:pPr>
            <w:pStyle w:val="TDC2"/>
            <w:tabs>
              <w:tab w:val="left" w:pos="880"/>
              <w:tab w:val="right" w:leader="dot" w:pos="9394"/>
            </w:tabs>
            <w:rPr>
              <w:rFonts w:cstheme="minorBidi"/>
              <w:noProof/>
              <w:lang w:val="es-ES" w:eastAsia="es-ES"/>
            </w:rPr>
          </w:pPr>
          <w:hyperlink w:anchor="_Toc525652021" w:history="1">
            <w:r w:rsidR="003C1D99" w:rsidRPr="00124680">
              <w:rPr>
                <w:rStyle w:val="Hipervnculo"/>
                <w:rFonts w:ascii="Arial" w:eastAsia="Calibri" w:hAnsi="Arial" w:cs="Arial"/>
                <w:noProof/>
              </w:rPr>
              <w:t>3.2.</w:t>
            </w:r>
            <w:r w:rsidR="003C1D99" w:rsidRPr="00124680">
              <w:rPr>
                <w:rFonts w:cstheme="minorBidi"/>
                <w:noProof/>
                <w:lang w:val="es-ES" w:eastAsia="es-ES"/>
              </w:rPr>
              <w:tab/>
            </w:r>
            <w:r w:rsidR="003C1D99" w:rsidRPr="00124680">
              <w:rPr>
                <w:rStyle w:val="Hipervnculo"/>
                <w:rFonts w:ascii="Arial" w:eastAsia="Calibri" w:hAnsi="Arial" w:cs="Arial"/>
                <w:noProof/>
              </w:rPr>
              <w:t>Ejecución cuentas por pagar 2017.</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_Toc525652021 \h </w:instrText>
            </w:r>
            <w:r w:rsidR="003C1D99" w:rsidRPr="00124680">
              <w:rPr>
                <w:noProof/>
                <w:webHidden/>
              </w:rPr>
            </w:r>
            <w:r w:rsidR="003C1D99" w:rsidRPr="00124680">
              <w:rPr>
                <w:noProof/>
                <w:webHidden/>
              </w:rPr>
              <w:fldChar w:fldCharType="separate"/>
            </w:r>
            <w:r w:rsidR="003C1D99" w:rsidRPr="00124680">
              <w:rPr>
                <w:noProof/>
                <w:webHidden/>
              </w:rPr>
              <w:t>64</w:t>
            </w:r>
            <w:r w:rsidR="003C1D99" w:rsidRPr="00124680">
              <w:rPr>
                <w:noProof/>
                <w:webHidden/>
              </w:rPr>
              <w:fldChar w:fldCharType="end"/>
            </w:r>
          </w:hyperlink>
        </w:p>
        <w:p w14:paraId="32A3C550"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22"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CONCLUSIONES Y RECOMENDACIONES</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_Toc525652022 \h </w:instrText>
            </w:r>
            <w:r w:rsidR="003C1D99" w:rsidRPr="00124680">
              <w:rPr>
                <w:noProof/>
                <w:webHidden/>
              </w:rPr>
            </w:r>
            <w:r w:rsidR="003C1D99" w:rsidRPr="00124680">
              <w:rPr>
                <w:noProof/>
                <w:webHidden/>
              </w:rPr>
              <w:fldChar w:fldCharType="separate"/>
            </w:r>
            <w:r w:rsidR="003C1D99" w:rsidRPr="00124680">
              <w:rPr>
                <w:noProof/>
                <w:webHidden/>
              </w:rPr>
              <w:t>64</w:t>
            </w:r>
            <w:r w:rsidR="003C1D99" w:rsidRPr="00124680">
              <w:rPr>
                <w:noProof/>
                <w:webHidden/>
              </w:rPr>
              <w:fldChar w:fldCharType="end"/>
            </w:r>
          </w:hyperlink>
        </w:p>
        <w:p w14:paraId="4FD54E93" w14:textId="77777777" w:rsidR="003C1D99" w:rsidRPr="00124680" w:rsidRDefault="008B5E15">
          <w:pPr>
            <w:pStyle w:val="TDC1"/>
            <w:tabs>
              <w:tab w:val="right" w:leader="dot" w:pos="9394"/>
            </w:tabs>
            <w:rPr>
              <w:rFonts w:eastAsiaTheme="minorEastAsia"/>
              <w:noProof/>
              <w:lang w:val="es-ES" w:eastAsia="es-ES"/>
            </w:rPr>
          </w:pPr>
          <w:hyperlink w:anchor="_Toc525652023" w:history="1">
            <w:r w:rsidR="003C1D99" w:rsidRPr="00124680">
              <w:rPr>
                <w:rStyle w:val="Hipervnculo"/>
                <w:rFonts w:ascii="Arial" w:eastAsia="Arial" w:hAnsi="Arial" w:cs="Arial"/>
                <w:b/>
                <w:noProof/>
                <w:lang w:eastAsia="es-CO"/>
              </w:rPr>
              <w:t>B. INSTITUTO DE PLANIFICACIÓN Y PROMOCIÓN DE SOLUCIONES ENERGÉTICAS PARA LAS ZONAS NO INTERCONECTADAS –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_Toc525652023 \h </w:instrText>
            </w:r>
            <w:r w:rsidR="003C1D99" w:rsidRPr="00124680">
              <w:rPr>
                <w:noProof/>
                <w:webHidden/>
              </w:rPr>
            </w:r>
            <w:r w:rsidR="003C1D99" w:rsidRPr="00124680">
              <w:rPr>
                <w:noProof/>
                <w:webHidden/>
              </w:rPr>
              <w:fldChar w:fldCharType="separate"/>
            </w:r>
            <w:r w:rsidR="003C1D99" w:rsidRPr="00124680">
              <w:rPr>
                <w:noProof/>
                <w:webHidden/>
              </w:rPr>
              <w:t>65</w:t>
            </w:r>
            <w:r w:rsidR="003C1D99" w:rsidRPr="00124680">
              <w:rPr>
                <w:noProof/>
                <w:webHidden/>
              </w:rPr>
              <w:fldChar w:fldCharType="end"/>
            </w:r>
          </w:hyperlink>
        </w:p>
        <w:p w14:paraId="4534464D"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24" w:history="1">
            <w:r w:rsidR="003C1D99" w:rsidRPr="00124680">
              <w:rPr>
                <w:rStyle w:val="Hipervnculo"/>
                <w:rFonts w:ascii="Arial" w:eastAsia="Arial" w:hAnsi="Arial" w:cs="Arial"/>
                <w:b/>
                <w:noProof/>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DEL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_Toc525652024 \h </w:instrText>
            </w:r>
            <w:r w:rsidR="003C1D99" w:rsidRPr="00124680">
              <w:rPr>
                <w:noProof/>
                <w:webHidden/>
              </w:rPr>
            </w:r>
            <w:r w:rsidR="003C1D99" w:rsidRPr="00124680">
              <w:rPr>
                <w:noProof/>
                <w:webHidden/>
              </w:rPr>
              <w:fldChar w:fldCharType="separate"/>
            </w:r>
            <w:r w:rsidR="003C1D99" w:rsidRPr="00124680">
              <w:rPr>
                <w:noProof/>
                <w:webHidden/>
              </w:rPr>
              <w:t>65</w:t>
            </w:r>
            <w:r w:rsidR="003C1D99" w:rsidRPr="00124680">
              <w:rPr>
                <w:noProof/>
                <w:webHidden/>
              </w:rPr>
              <w:fldChar w:fldCharType="end"/>
            </w:r>
          </w:hyperlink>
        </w:p>
        <w:p w14:paraId="0179DD34" w14:textId="77777777" w:rsidR="003C1D99" w:rsidRPr="00124680" w:rsidRDefault="008B5E15">
          <w:pPr>
            <w:pStyle w:val="TDC2"/>
            <w:tabs>
              <w:tab w:val="left" w:pos="880"/>
              <w:tab w:val="right" w:leader="dot" w:pos="9394"/>
            </w:tabs>
            <w:rPr>
              <w:rFonts w:cstheme="minorBidi"/>
              <w:noProof/>
              <w:lang w:val="es-ES" w:eastAsia="es-ES"/>
            </w:rPr>
          </w:pPr>
          <w:hyperlink w:anchor="_Toc525652025"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del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_Toc525652025 \h </w:instrText>
            </w:r>
            <w:r w:rsidR="003C1D99" w:rsidRPr="00124680">
              <w:rPr>
                <w:noProof/>
                <w:webHidden/>
              </w:rPr>
            </w:r>
            <w:r w:rsidR="003C1D99" w:rsidRPr="00124680">
              <w:rPr>
                <w:noProof/>
                <w:webHidden/>
              </w:rPr>
              <w:fldChar w:fldCharType="separate"/>
            </w:r>
            <w:r w:rsidR="003C1D99" w:rsidRPr="00124680">
              <w:rPr>
                <w:noProof/>
                <w:webHidden/>
              </w:rPr>
              <w:t>65</w:t>
            </w:r>
            <w:r w:rsidR="003C1D99" w:rsidRPr="00124680">
              <w:rPr>
                <w:noProof/>
                <w:webHidden/>
              </w:rPr>
              <w:fldChar w:fldCharType="end"/>
            </w:r>
          </w:hyperlink>
        </w:p>
        <w:p w14:paraId="3B27D694" w14:textId="77777777" w:rsidR="003C1D99" w:rsidRPr="00124680" w:rsidRDefault="008B5E15">
          <w:pPr>
            <w:pStyle w:val="TDC2"/>
            <w:tabs>
              <w:tab w:val="left" w:pos="880"/>
              <w:tab w:val="right" w:leader="dot" w:pos="9394"/>
            </w:tabs>
            <w:rPr>
              <w:rFonts w:cstheme="minorBidi"/>
              <w:noProof/>
              <w:lang w:val="es-ES" w:eastAsia="es-ES"/>
            </w:rPr>
          </w:pPr>
          <w:hyperlink w:anchor="_Toc525652026"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del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_Toc525652026 \h </w:instrText>
            </w:r>
            <w:r w:rsidR="003C1D99" w:rsidRPr="00124680">
              <w:rPr>
                <w:noProof/>
                <w:webHidden/>
              </w:rPr>
            </w:r>
            <w:r w:rsidR="003C1D99" w:rsidRPr="00124680">
              <w:rPr>
                <w:noProof/>
                <w:webHidden/>
              </w:rPr>
              <w:fldChar w:fldCharType="separate"/>
            </w:r>
            <w:r w:rsidR="003C1D99" w:rsidRPr="00124680">
              <w:rPr>
                <w:noProof/>
                <w:webHidden/>
              </w:rPr>
              <w:t>66</w:t>
            </w:r>
            <w:r w:rsidR="003C1D99" w:rsidRPr="00124680">
              <w:rPr>
                <w:noProof/>
                <w:webHidden/>
              </w:rPr>
              <w:fldChar w:fldCharType="end"/>
            </w:r>
          </w:hyperlink>
        </w:p>
        <w:p w14:paraId="025FB893"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27"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INGRESOS Y GASTOS DEL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_Toc525652027 \h </w:instrText>
            </w:r>
            <w:r w:rsidR="003C1D99" w:rsidRPr="00124680">
              <w:rPr>
                <w:noProof/>
                <w:webHidden/>
              </w:rPr>
            </w:r>
            <w:r w:rsidR="003C1D99" w:rsidRPr="00124680">
              <w:rPr>
                <w:noProof/>
                <w:webHidden/>
              </w:rPr>
              <w:fldChar w:fldCharType="separate"/>
            </w:r>
            <w:r w:rsidR="003C1D99" w:rsidRPr="00124680">
              <w:rPr>
                <w:noProof/>
                <w:webHidden/>
              </w:rPr>
              <w:t>67</w:t>
            </w:r>
            <w:r w:rsidR="003C1D99" w:rsidRPr="00124680">
              <w:rPr>
                <w:noProof/>
                <w:webHidden/>
              </w:rPr>
              <w:fldChar w:fldCharType="end"/>
            </w:r>
          </w:hyperlink>
        </w:p>
        <w:p w14:paraId="2D387EF3" w14:textId="77777777" w:rsidR="003C1D99" w:rsidRPr="00124680" w:rsidRDefault="008B5E15">
          <w:pPr>
            <w:pStyle w:val="TDC2"/>
            <w:tabs>
              <w:tab w:val="left" w:pos="880"/>
              <w:tab w:val="right" w:leader="dot" w:pos="9394"/>
            </w:tabs>
            <w:rPr>
              <w:rFonts w:cstheme="minorBidi"/>
              <w:noProof/>
              <w:lang w:val="es-ES" w:eastAsia="es-ES"/>
            </w:rPr>
          </w:pPr>
          <w:hyperlink w:anchor="_Toc525652028"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Ingresos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_Toc525652028 \h </w:instrText>
            </w:r>
            <w:r w:rsidR="003C1D99" w:rsidRPr="00124680">
              <w:rPr>
                <w:noProof/>
                <w:webHidden/>
              </w:rPr>
            </w:r>
            <w:r w:rsidR="003C1D99" w:rsidRPr="00124680">
              <w:rPr>
                <w:noProof/>
                <w:webHidden/>
              </w:rPr>
              <w:fldChar w:fldCharType="separate"/>
            </w:r>
            <w:r w:rsidR="003C1D99" w:rsidRPr="00124680">
              <w:rPr>
                <w:noProof/>
                <w:webHidden/>
              </w:rPr>
              <w:t>67</w:t>
            </w:r>
            <w:r w:rsidR="003C1D99" w:rsidRPr="00124680">
              <w:rPr>
                <w:noProof/>
                <w:webHidden/>
              </w:rPr>
              <w:fldChar w:fldCharType="end"/>
            </w:r>
          </w:hyperlink>
        </w:p>
        <w:p w14:paraId="6B6AF5D0" w14:textId="77777777" w:rsidR="003C1D99" w:rsidRPr="00124680" w:rsidRDefault="008B5E15">
          <w:pPr>
            <w:pStyle w:val="TDC2"/>
            <w:tabs>
              <w:tab w:val="left" w:pos="880"/>
              <w:tab w:val="right" w:leader="dot" w:pos="9394"/>
            </w:tabs>
            <w:rPr>
              <w:rFonts w:cstheme="minorBidi"/>
              <w:noProof/>
              <w:lang w:val="es-ES" w:eastAsia="es-ES"/>
            </w:rPr>
          </w:pPr>
          <w:hyperlink w:anchor="_Toc525652029"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Gastos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_Toc525652029 \h </w:instrText>
            </w:r>
            <w:r w:rsidR="003C1D99" w:rsidRPr="00124680">
              <w:rPr>
                <w:noProof/>
                <w:webHidden/>
              </w:rPr>
            </w:r>
            <w:r w:rsidR="003C1D99" w:rsidRPr="00124680">
              <w:rPr>
                <w:noProof/>
                <w:webHidden/>
              </w:rPr>
              <w:fldChar w:fldCharType="separate"/>
            </w:r>
            <w:r w:rsidR="003C1D99" w:rsidRPr="00124680">
              <w:rPr>
                <w:noProof/>
                <w:webHidden/>
              </w:rPr>
              <w:t>67</w:t>
            </w:r>
            <w:r w:rsidR="003C1D99" w:rsidRPr="00124680">
              <w:rPr>
                <w:noProof/>
                <w:webHidden/>
              </w:rPr>
              <w:fldChar w:fldCharType="end"/>
            </w:r>
          </w:hyperlink>
        </w:p>
        <w:p w14:paraId="01650CA0" w14:textId="77777777" w:rsidR="003C1D99" w:rsidRPr="00124680" w:rsidRDefault="008B5E15">
          <w:pPr>
            <w:pStyle w:val="TDC3"/>
            <w:tabs>
              <w:tab w:val="left" w:pos="1320"/>
              <w:tab w:val="right" w:leader="dot" w:pos="9394"/>
            </w:tabs>
            <w:rPr>
              <w:rFonts w:cstheme="minorBidi"/>
              <w:noProof/>
              <w:lang w:val="es-ES" w:eastAsia="es-ES"/>
            </w:rPr>
          </w:pPr>
          <w:hyperlink w:anchor="_Toc525652030" w:history="1">
            <w:r w:rsidR="003C1D99" w:rsidRPr="00124680">
              <w:rPr>
                <w:rStyle w:val="Hipervnculo"/>
                <w:rFonts w:ascii="Arial" w:eastAsia="Calibri" w:hAnsi="Arial" w:cs="Arial"/>
                <w:noProof/>
              </w:rPr>
              <w:t>2.2.1.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_Toc525652030 \h </w:instrText>
            </w:r>
            <w:r w:rsidR="003C1D99" w:rsidRPr="00124680">
              <w:rPr>
                <w:noProof/>
                <w:webHidden/>
              </w:rPr>
            </w:r>
            <w:r w:rsidR="003C1D99" w:rsidRPr="00124680">
              <w:rPr>
                <w:noProof/>
                <w:webHidden/>
              </w:rPr>
              <w:fldChar w:fldCharType="separate"/>
            </w:r>
            <w:r w:rsidR="003C1D99" w:rsidRPr="00124680">
              <w:rPr>
                <w:noProof/>
                <w:webHidden/>
              </w:rPr>
              <w:t>67</w:t>
            </w:r>
            <w:r w:rsidR="003C1D99" w:rsidRPr="00124680">
              <w:rPr>
                <w:noProof/>
                <w:webHidden/>
              </w:rPr>
              <w:fldChar w:fldCharType="end"/>
            </w:r>
          </w:hyperlink>
        </w:p>
        <w:p w14:paraId="1CA20482" w14:textId="77777777" w:rsidR="003C1D99" w:rsidRPr="00124680" w:rsidRDefault="008B5E15">
          <w:pPr>
            <w:pStyle w:val="TDC3"/>
            <w:tabs>
              <w:tab w:val="left" w:pos="1320"/>
              <w:tab w:val="right" w:leader="dot" w:pos="9394"/>
            </w:tabs>
            <w:rPr>
              <w:rFonts w:cstheme="minorBidi"/>
              <w:noProof/>
              <w:lang w:val="es-ES" w:eastAsia="es-ES"/>
            </w:rPr>
          </w:pPr>
          <w:hyperlink w:anchor="_Toc525652031" w:history="1">
            <w:r w:rsidR="003C1D99" w:rsidRPr="00124680">
              <w:rPr>
                <w:rStyle w:val="Hipervnculo"/>
                <w:rFonts w:ascii="Arial" w:eastAsia="Calibri" w:hAnsi="Arial" w:cs="Arial"/>
                <w:noProof/>
              </w:rPr>
              <w:t>2.2.2.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_Toc525652031 \h </w:instrText>
            </w:r>
            <w:r w:rsidR="003C1D99" w:rsidRPr="00124680">
              <w:rPr>
                <w:noProof/>
                <w:webHidden/>
              </w:rPr>
            </w:r>
            <w:r w:rsidR="003C1D99" w:rsidRPr="00124680">
              <w:rPr>
                <w:noProof/>
                <w:webHidden/>
              </w:rPr>
              <w:fldChar w:fldCharType="separate"/>
            </w:r>
            <w:r w:rsidR="003C1D99" w:rsidRPr="00124680">
              <w:rPr>
                <w:noProof/>
                <w:webHidden/>
              </w:rPr>
              <w:t>69</w:t>
            </w:r>
            <w:r w:rsidR="003C1D99" w:rsidRPr="00124680">
              <w:rPr>
                <w:noProof/>
                <w:webHidden/>
              </w:rPr>
              <w:fldChar w:fldCharType="end"/>
            </w:r>
          </w:hyperlink>
        </w:p>
        <w:p w14:paraId="0E93B36A"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32"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DEL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_Toc525652032 \h </w:instrText>
            </w:r>
            <w:r w:rsidR="003C1D99" w:rsidRPr="00124680">
              <w:rPr>
                <w:noProof/>
                <w:webHidden/>
              </w:rPr>
            </w:r>
            <w:r w:rsidR="003C1D99" w:rsidRPr="00124680">
              <w:rPr>
                <w:noProof/>
                <w:webHidden/>
              </w:rPr>
              <w:fldChar w:fldCharType="separate"/>
            </w:r>
            <w:r w:rsidR="003C1D99" w:rsidRPr="00124680">
              <w:rPr>
                <w:noProof/>
                <w:webHidden/>
              </w:rPr>
              <w:t>69</w:t>
            </w:r>
            <w:r w:rsidR="003C1D99" w:rsidRPr="00124680">
              <w:rPr>
                <w:noProof/>
                <w:webHidden/>
              </w:rPr>
              <w:fldChar w:fldCharType="end"/>
            </w:r>
          </w:hyperlink>
        </w:p>
        <w:p w14:paraId="5356B3B9" w14:textId="77777777" w:rsidR="003C1D99" w:rsidRPr="00124680" w:rsidRDefault="008B5E15">
          <w:pPr>
            <w:pStyle w:val="TDC2"/>
            <w:tabs>
              <w:tab w:val="left" w:pos="880"/>
              <w:tab w:val="right" w:leader="dot" w:pos="9394"/>
            </w:tabs>
            <w:rPr>
              <w:rFonts w:cstheme="minorBidi"/>
              <w:noProof/>
              <w:lang w:val="es-ES" w:eastAsia="es-ES"/>
            </w:rPr>
          </w:pPr>
          <w:hyperlink w:anchor="_Toc525652033" w:history="1">
            <w:r w:rsidR="003C1D99" w:rsidRPr="00124680">
              <w:rPr>
                <w:rStyle w:val="Hipervnculo"/>
                <w:rFonts w:ascii="Arial" w:eastAsia="Calibri" w:hAnsi="Arial" w:cs="Arial"/>
                <w:noProof/>
              </w:rPr>
              <w:t>3.1.</w:t>
            </w:r>
            <w:r w:rsidR="003C1D99" w:rsidRPr="00124680">
              <w:rPr>
                <w:rFonts w:cstheme="minorBidi"/>
                <w:noProof/>
                <w:lang w:val="es-ES" w:eastAsia="es-ES"/>
              </w:rPr>
              <w:tab/>
            </w:r>
            <w:r w:rsidR="003C1D99" w:rsidRPr="00124680">
              <w:rPr>
                <w:rStyle w:val="Hipervnculo"/>
                <w:rFonts w:ascii="Arial" w:eastAsia="Calibri" w:hAnsi="Arial" w:cs="Arial"/>
                <w:noProof/>
              </w:rPr>
              <w:t>Ejecución reservas presupuestales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_Toc525652033 \h </w:instrText>
            </w:r>
            <w:r w:rsidR="003C1D99" w:rsidRPr="00124680">
              <w:rPr>
                <w:noProof/>
                <w:webHidden/>
              </w:rPr>
            </w:r>
            <w:r w:rsidR="003C1D99" w:rsidRPr="00124680">
              <w:rPr>
                <w:noProof/>
                <w:webHidden/>
              </w:rPr>
              <w:fldChar w:fldCharType="separate"/>
            </w:r>
            <w:r w:rsidR="003C1D99" w:rsidRPr="00124680">
              <w:rPr>
                <w:noProof/>
                <w:webHidden/>
              </w:rPr>
              <w:t>69</w:t>
            </w:r>
            <w:r w:rsidR="003C1D99" w:rsidRPr="00124680">
              <w:rPr>
                <w:noProof/>
                <w:webHidden/>
              </w:rPr>
              <w:fldChar w:fldCharType="end"/>
            </w:r>
          </w:hyperlink>
        </w:p>
        <w:p w14:paraId="4039A9F8" w14:textId="77777777" w:rsidR="003C1D99" w:rsidRPr="00124680" w:rsidRDefault="008B5E15">
          <w:pPr>
            <w:pStyle w:val="TDC2"/>
            <w:tabs>
              <w:tab w:val="left" w:pos="880"/>
              <w:tab w:val="right" w:leader="dot" w:pos="9394"/>
            </w:tabs>
            <w:rPr>
              <w:rFonts w:cstheme="minorBidi"/>
              <w:noProof/>
              <w:lang w:val="es-ES" w:eastAsia="es-ES"/>
            </w:rPr>
          </w:pPr>
          <w:hyperlink w:anchor="_Toc525652034"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Ejecución cuentas por pagar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_Toc525652034 \h </w:instrText>
            </w:r>
            <w:r w:rsidR="003C1D99" w:rsidRPr="00124680">
              <w:rPr>
                <w:noProof/>
                <w:webHidden/>
              </w:rPr>
            </w:r>
            <w:r w:rsidR="003C1D99" w:rsidRPr="00124680">
              <w:rPr>
                <w:noProof/>
                <w:webHidden/>
              </w:rPr>
              <w:fldChar w:fldCharType="separate"/>
            </w:r>
            <w:r w:rsidR="003C1D99" w:rsidRPr="00124680">
              <w:rPr>
                <w:noProof/>
                <w:webHidden/>
              </w:rPr>
              <w:t>70</w:t>
            </w:r>
            <w:r w:rsidR="003C1D99" w:rsidRPr="00124680">
              <w:rPr>
                <w:noProof/>
                <w:webHidden/>
              </w:rPr>
              <w:fldChar w:fldCharType="end"/>
            </w:r>
          </w:hyperlink>
        </w:p>
        <w:p w14:paraId="7F3A6482"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35"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CONCLUSIONES Y /O COMENTARIOS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_Toc525652035 \h </w:instrText>
            </w:r>
            <w:r w:rsidR="003C1D99" w:rsidRPr="00124680">
              <w:rPr>
                <w:noProof/>
                <w:webHidden/>
              </w:rPr>
            </w:r>
            <w:r w:rsidR="003C1D99" w:rsidRPr="00124680">
              <w:rPr>
                <w:noProof/>
                <w:webHidden/>
              </w:rPr>
              <w:fldChar w:fldCharType="separate"/>
            </w:r>
            <w:r w:rsidR="003C1D99" w:rsidRPr="00124680">
              <w:rPr>
                <w:noProof/>
                <w:webHidden/>
              </w:rPr>
              <w:t>71</w:t>
            </w:r>
            <w:r w:rsidR="003C1D99" w:rsidRPr="00124680">
              <w:rPr>
                <w:noProof/>
                <w:webHidden/>
              </w:rPr>
              <w:fldChar w:fldCharType="end"/>
            </w:r>
          </w:hyperlink>
        </w:p>
        <w:p w14:paraId="7E2ED21F" w14:textId="77777777" w:rsidR="003C1D99" w:rsidRPr="00124680" w:rsidRDefault="008B5E15">
          <w:pPr>
            <w:pStyle w:val="TDC1"/>
            <w:tabs>
              <w:tab w:val="right" w:leader="dot" w:pos="9394"/>
            </w:tabs>
            <w:rPr>
              <w:rFonts w:eastAsiaTheme="minorEastAsia"/>
              <w:noProof/>
              <w:lang w:val="es-ES" w:eastAsia="es-ES"/>
            </w:rPr>
          </w:pPr>
          <w:hyperlink w:anchor="_Toc525652036" w:history="1">
            <w:r w:rsidR="003C1D99" w:rsidRPr="00124680">
              <w:rPr>
                <w:rStyle w:val="Hipervnculo"/>
                <w:rFonts w:ascii="Arial" w:eastAsia="Arial" w:hAnsi="Arial" w:cs="Arial"/>
                <w:b/>
                <w:noProof/>
                <w:lang w:eastAsia="es-CO"/>
              </w:rPr>
              <w:t>C. AGENCIA NACIONAL DE HIDROCARBUROS -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_Toc525652036 \h </w:instrText>
            </w:r>
            <w:r w:rsidR="003C1D99" w:rsidRPr="00124680">
              <w:rPr>
                <w:noProof/>
                <w:webHidden/>
              </w:rPr>
            </w:r>
            <w:r w:rsidR="003C1D99" w:rsidRPr="00124680">
              <w:rPr>
                <w:noProof/>
                <w:webHidden/>
              </w:rPr>
              <w:fldChar w:fldCharType="separate"/>
            </w:r>
            <w:r w:rsidR="003C1D99" w:rsidRPr="00124680">
              <w:rPr>
                <w:noProof/>
                <w:webHidden/>
              </w:rPr>
              <w:t>74</w:t>
            </w:r>
            <w:r w:rsidR="003C1D99" w:rsidRPr="00124680">
              <w:rPr>
                <w:noProof/>
                <w:webHidden/>
              </w:rPr>
              <w:fldChar w:fldCharType="end"/>
            </w:r>
          </w:hyperlink>
        </w:p>
        <w:p w14:paraId="653FFC0D"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37" w:history="1">
            <w:r w:rsidR="003C1D99" w:rsidRPr="00124680">
              <w:rPr>
                <w:rStyle w:val="Hipervnculo"/>
                <w:rFonts w:ascii="Arial" w:eastAsia="Arial" w:hAnsi="Arial" w:cs="Arial"/>
                <w:b/>
                <w:noProof/>
                <w:lang w:eastAsia="es-CO"/>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 LA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_Toc525652037 \h </w:instrText>
            </w:r>
            <w:r w:rsidR="003C1D99" w:rsidRPr="00124680">
              <w:rPr>
                <w:noProof/>
                <w:webHidden/>
              </w:rPr>
            </w:r>
            <w:r w:rsidR="003C1D99" w:rsidRPr="00124680">
              <w:rPr>
                <w:noProof/>
                <w:webHidden/>
              </w:rPr>
              <w:fldChar w:fldCharType="separate"/>
            </w:r>
            <w:r w:rsidR="003C1D99" w:rsidRPr="00124680">
              <w:rPr>
                <w:noProof/>
                <w:webHidden/>
              </w:rPr>
              <w:t>74</w:t>
            </w:r>
            <w:r w:rsidR="003C1D99" w:rsidRPr="00124680">
              <w:rPr>
                <w:noProof/>
                <w:webHidden/>
              </w:rPr>
              <w:fldChar w:fldCharType="end"/>
            </w:r>
          </w:hyperlink>
        </w:p>
        <w:p w14:paraId="62B56440" w14:textId="77777777" w:rsidR="003C1D99" w:rsidRPr="00124680" w:rsidRDefault="008B5E15">
          <w:pPr>
            <w:pStyle w:val="TDC2"/>
            <w:tabs>
              <w:tab w:val="left" w:pos="880"/>
              <w:tab w:val="right" w:leader="dot" w:pos="9394"/>
            </w:tabs>
            <w:rPr>
              <w:rFonts w:cstheme="minorBidi"/>
              <w:noProof/>
              <w:lang w:val="es-ES" w:eastAsia="es-ES"/>
            </w:rPr>
          </w:pPr>
          <w:hyperlink w:anchor="_Toc525652038"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 la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_Toc525652038 \h </w:instrText>
            </w:r>
            <w:r w:rsidR="003C1D99" w:rsidRPr="00124680">
              <w:rPr>
                <w:noProof/>
                <w:webHidden/>
              </w:rPr>
            </w:r>
            <w:r w:rsidR="003C1D99" w:rsidRPr="00124680">
              <w:rPr>
                <w:noProof/>
                <w:webHidden/>
              </w:rPr>
              <w:fldChar w:fldCharType="separate"/>
            </w:r>
            <w:r w:rsidR="003C1D99" w:rsidRPr="00124680">
              <w:rPr>
                <w:noProof/>
                <w:webHidden/>
              </w:rPr>
              <w:t>74</w:t>
            </w:r>
            <w:r w:rsidR="003C1D99" w:rsidRPr="00124680">
              <w:rPr>
                <w:noProof/>
                <w:webHidden/>
              </w:rPr>
              <w:fldChar w:fldCharType="end"/>
            </w:r>
          </w:hyperlink>
        </w:p>
        <w:p w14:paraId="63D3C9CF" w14:textId="77777777" w:rsidR="003C1D99" w:rsidRPr="00124680" w:rsidRDefault="008B5E15">
          <w:pPr>
            <w:pStyle w:val="TDC2"/>
            <w:tabs>
              <w:tab w:val="left" w:pos="880"/>
              <w:tab w:val="right" w:leader="dot" w:pos="9394"/>
            </w:tabs>
            <w:rPr>
              <w:rFonts w:cstheme="minorBidi"/>
              <w:noProof/>
              <w:lang w:val="es-ES" w:eastAsia="es-ES"/>
            </w:rPr>
          </w:pPr>
          <w:hyperlink w:anchor="_Toc525652039"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 la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_Toc525652039 \h </w:instrText>
            </w:r>
            <w:r w:rsidR="003C1D99" w:rsidRPr="00124680">
              <w:rPr>
                <w:noProof/>
                <w:webHidden/>
              </w:rPr>
            </w:r>
            <w:r w:rsidR="003C1D99" w:rsidRPr="00124680">
              <w:rPr>
                <w:noProof/>
                <w:webHidden/>
              </w:rPr>
              <w:fldChar w:fldCharType="separate"/>
            </w:r>
            <w:r w:rsidR="003C1D99" w:rsidRPr="00124680">
              <w:rPr>
                <w:noProof/>
                <w:webHidden/>
              </w:rPr>
              <w:t>75</w:t>
            </w:r>
            <w:r w:rsidR="003C1D99" w:rsidRPr="00124680">
              <w:rPr>
                <w:noProof/>
                <w:webHidden/>
              </w:rPr>
              <w:fldChar w:fldCharType="end"/>
            </w:r>
          </w:hyperlink>
        </w:p>
        <w:p w14:paraId="4EF1ECE1"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40"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INGRESOS Y GASTOS DE LA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_Toc525652040 \h </w:instrText>
            </w:r>
            <w:r w:rsidR="003C1D99" w:rsidRPr="00124680">
              <w:rPr>
                <w:noProof/>
                <w:webHidden/>
              </w:rPr>
            </w:r>
            <w:r w:rsidR="003C1D99" w:rsidRPr="00124680">
              <w:rPr>
                <w:noProof/>
                <w:webHidden/>
              </w:rPr>
              <w:fldChar w:fldCharType="separate"/>
            </w:r>
            <w:r w:rsidR="003C1D99" w:rsidRPr="00124680">
              <w:rPr>
                <w:noProof/>
                <w:webHidden/>
              </w:rPr>
              <w:t>76</w:t>
            </w:r>
            <w:r w:rsidR="003C1D99" w:rsidRPr="00124680">
              <w:rPr>
                <w:noProof/>
                <w:webHidden/>
              </w:rPr>
              <w:fldChar w:fldCharType="end"/>
            </w:r>
          </w:hyperlink>
        </w:p>
        <w:p w14:paraId="3219560C" w14:textId="77777777" w:rsidR="003C1D99" w:rsidRPr="00124680" w:rsidRDefault="008B5E15">
          <w:pPr>
            <w:pStyle w:val="TDC2"/>
            <w:tabs>
              <w:tab w:val="left" w:pos="880"/>
              <w:tab w:val="right" w:leader="dot" w:pos="9394"/>
            </w:tabs>
            <w:rPr>
              <w:rFonts w:cstheme="minorBidi"/>
              <w:noProof/>
              <w:lang w:val="es-ES" w:eastAsia="es-ES"/>
            </w:rPr>
          </w:pPr>
          <w:hyperlink w:anchor="_Toc525652041"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Ingreso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_Toc525652041 \h </w:instrText>
            </w:r>
            <w:r w:rsidR="003C1D99" w:rsidRPr="00124680">
              <w:rPr>
                <w:noProof/>
                <w:webHidden/>
              </w:rPr>
            </w:r>
            <w:r w:rsidR="003C1D99" w:rsidRPr="00124680">
              <w:rPr>
                <w:noProof/>
                <w:webHidden/>
              </w:rPr>
              <w:fldChar w:fldCharType="separate"/>
            </w:r>
            <w:r w:rsidR="003C1D99" w:rsidRPr="00124680">
              <w:rPr>
                <w:noProof/>
                <w:webHidden/>
              </w:rPr>
              <w:t>76</w:t>
            </w:r>
            <w:r w:rsidR="003C1D99" w:rsidRPr="00124680">
              <w:rPr>
                <w:noProof/>
                <w:webHidden/>
              </w:rPr>
              <w:fldChar w:fldCharType="end"/>
            </w:r>
          </w:hyperlink>
        </w:p>
        <w:p w14:paraId="1106C9D4" w14:textId="77777777" w:rsidR="003C1D99" w:rsidRPr="00124680" w:rsidRDefault="008B5E15">
          <w:pPr>
            <w:pStyle w:val="TDC2"/>
            <w:tabs>
              <w:tab w:val="left" w:pos="880"/>
              <w:tab w:val="right" w:leader="dot" w:pos="9394"/>
            </w:tabs>
            <w:rPr>
              <w:rFonts w:cstheme="minorBidi"/>
              <w:noProof/>
              <w:lang w:val="es-ES" w:eastAsia="es-ES"/>
            </w:rPr>
          </w:pPr>
          <w:hyperlink w:anchor="_Toc525652042"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Gastos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_Toc525652042 \h </w:instrText>
            </w:r>
            <w:r w:rsidR="003C1D99" w:rsidRPr="00124680">
              <w:rPr>
                <w:noProof/>
                <w:webHidden/>
              </w:rPr>
            </w:r>
            <w:r w:rsidR="003C1D99" w:rsidRPr="00124680">
              <w:rPr>
                <w:noProof/>
                <w:webHidden/>
              </w:rPr>
              <w:fldChar w:fldCharType="separate"/>
            </w:r>
            <w:r w:rsidR="003C1D99" w:rsidRPr="00124680">
              <w:rPr>
                <w:noProof/>
                <w:webHidden/>
              </w:rPr>
              <w:t>80</w:t>
            </w:r>
            <w:r w:rsidR="003C1D99" w:rsidRPr="00124680">
              <w:rPr>
                <w:noProof/>
                <w:webHidden/>
              </w:rPr>
              <w:fldChar w:fldCharType="end"/>
            </w:r>
          </w:hyperlink>
        </w:p>
        <w:p w14:paraId="4C7977B9" w14:textId="77777777" w:rsidR="003C1D99" w:rsidRPr="00124680" w:rsidRDefault="008B5E15">
          <w:pPr>
            <w:pStyle w:val="TDC3"/>
            <w:tabs>
              <w:tab w:val="left" w:pos="1320"/>
              <w:tab w:val="right" w:leader="dot" w:pos="9394"/>
            </w:tabs>
            <w:rPr>
              <w:rFonts w:cstheme="minorBidi"/>
              <w:noProof/>
              <w:lang w:val="es-ES" w:eastAsia="es-ES"/>
            </w:rPr>
          </w:pPr>
          <w:hyperlink w:anchor="_Toc525652043" w:history="1">
            <w:r w:rsidR="003C1D99" w:rsidRPr="00124680">
              <w:rPr>
                <w:rStyle w:val="Hipervnculo"/>
                <w:rFonts w:ascii="Arial" w:eastAsia="Calibri" w:hAnsi="Arial" w:cs="Arial"/>
                <w:noProof/>
              </w:rPr>
              <w:t>2.2.1.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w:t>
            </w:r>
            <w:r w:rsidR="003C1D99" w:rsidRPr="00124680">
              <w:rPr>
                <w:rStyle w:val="Hipervnculo"/>
                <w:rFonts w:ascii="Arial" w:eastAsia="Calibri" w:hAnsi="Arial" w:cs="Arial"/>
                <w:noProof/>
              </w:rPr>
              <w:t>o</w:t>
            </w:r>
            <w:r w:rsidR="003C1D99" w:rsidRPr="00124680">
              <w:rPr>
                <w:rStyle w:val="Hipervnculo"/>
                <w:rFonts w:ascii="Arial" w:eastAsia="Calibri" w:hAnsi="Arial" w:cs="Arial"/>
                <w:noProof/>
              </w:rPr>
              <w:t>namiento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_Toc525652043 \h </w:instrText>
            </w:r>
            <w:r w:rsidR="003C1D99" w:rsidRPr="00124680">
              <w:rPr>
                <w:noProof/>
                <w:webHidden/>
              </w:rPr>
            </w:r>
            <w:r w:rsidR="003C1D99" w:rsidRPr="00124680">
              <w:rPr>
                <w:noProof/>
                <w:webHidden/>
              </w:rPr>
              <w:fldChar w:fldCharType="separate"/>
            </w:r>
            <w:r w:rsidR="003C1D99" w:rsidRPr="00124680">
              <w:rPr>
                <w:noProof/>
                <w:webHidden/>
              </w:rPr>
              <w:t>80</w:t>
            </w:r>
            <w:r w:rsidR="003C1D99" w:rsidRPr="00124680">
              <w:rPr>
                <w:noProof/>
                <w:webHidden/>
              </w:rPr>
              <w:fldChar w:fldCharType="end"/>
            </w:r>
          </w:hyperlink>
        </w:p>
        <w:p w14:paraId="6AF2C667" w14:textId="77777777" w:rsidR="003C1D99" w:rsidRPr="00124680" w:rsidRDefault="008B5E15">
          <w:pPr>
            <w:pStyle w:val="TDC3"/>
            <w:tabs>
              <w:tab w:val="left" w:pos="1320"/>
              <w:tab w:val="right" w:leader="dot" w:pos="9394"/>
            </w:tabs>
            <w:rPr>
              <w:rFonts w:cstheme="minorBidi"/>
              <w:noProof/>
              <w:lang w:val="es-ES" w:eastAsia="es-ES"/>
            </w:rPr>
          </w:pPr>
          <w:hyperlink w:anchor="_Toc525652044" w:history="1">
            <w:r w:rsidR="003C1D99" w:rsidRPr="00124680">
              <w:rPr>
                <w:rStyle w:val="Hipervnculo"/>
                <w:rFonts w:ascii="Arial" w:eastAsia="Calibri" w:hAnsi="Arial" w:cs="Arial"/>
                <w:noProof/>
              </w:rPr>
              <w:t>2.2.2.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_Toc525652044 \h </w:instrText>
            </w:r>
            <w:r w:rsidR="003C1D99" w:rsidRPr="00124680">
              <w:rPr>
                <w:noProof/>
                <w:webHidden/>
              </w:rPr>
            </w:r>
            <w:r w:rsidR="003C1D99" w:rsidRPr="00124680">
              <w:rPr>
                <w:noProof/>
                <w:webHidden/>
              </w:rPr>
              <w:fldChar w:fldCharType="separate"/>
            </w:r>
            <w:r w:rsidR="003C1D99" w:rsidRPr="00124680">
              <w:rPr>
                <w:noProof/>
                <w:webHidden/>
              </w:rPr>
              <w:t>115</w:t>
            </w:r>
            <w:r w:rsidR="003C1D99" w:rsidRPr="00124680">
              <w:rPr>
                <w:noProof/>
                <w:webHidden/>
              </w:rPr>
              <w:fldChar w:fldCharType="end"/>
            </w:r>
          </w:hyperlink>
        </w:p>
        <w:p w14:paraId="7EB24138"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45"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 LA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_Toc525652045 \h </w:instrText>
            </w:r>
            <w:r w:rsidR="003C1D99" w:rsidRPr="00124680">
              <w:rPr>
                <w:noProof/>
                <w:webHidden/>
              </w:rPr>
            </w:r>
            <w:r w:rsidR="003C1D99" w:rsidRPr="00124680">
              <w:rPr>
                <w:noProof/>
                <w:webHidden/>
              </w:rPr>
              <w:fldChar w:fldCharType="separate"/>
            </w:r>
            <w:r w:rsidR="003C1D99" w:rsidRPr="00124680">
              <w:rPr>
                <w:noProof/>
                <w:webHidden/>
              </w:rPr>
              <w:t>129</w:t>
            </w:r>
            <w:r w:rsidR="003C1D99" w:rsidRPr="00124680">
              <w:rPr>
                <w:noProof/>
                <w:webHidden/>
              </w:rPr>
              <w:fldChar w:fldCharType="end"/>
            </w:r>
          </w:hyperlink>
        </w:p>
        <w:p w14:paraId="177CFF73" w14:textId="77777777" w:rsidR="003C1D99" w:rsidRPr="00124680" w:rsidRDefault="008B5E15">
          <w:pPr>
            <w:pStyle w:val="TDC2"/>
            <w:tabs>
              <w:tab w:val="right" w:leader="dot" w:pos="9394"/>
            </w:tabs>
            <w:rPr>
              <w:rFonts w:cstheme="minorBidi"/>
              <w:noProof/>
              <w:lang w:val="es-ES" w:eastAsia="es-ES"/>
            </w:rPr>
          </w:pPr>
          <w:hyperlink w:anchor="_Toc525652046" w:history="1">
            <w:r w:rsidR="003C1D99" w:rsidRPr="00124680">
              <w:rPr>
                <w:rStyle w:val="Hipervnculo"/>
                <w:rFonts w:ascii="Arial" w:eastAsia="Calibri" w:hAnsi="Arial" w:cs="Arial"/>
                <w:noProof/>
              </w:rPr>
              <w:t>3.1 Ejecución reservas presupuestales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_Toc525652046 \h </w:instrText>
            </w:r>
            <w:r w:rsidR="003C1D99" w:rsidRPr="00124680">
              <w:rPr>
                <w:noProof/>
                <w:webHidden/>
              </w:rPr>
            </w:r>
            <w:r w:rsidR="003C1D99" w:rsidRPr="00124680">
              <w:rPr>
                <w:noProof/>
                <w:webHidden/>
              </w:rPr>
              <w:fldChar w:fldCharType="separate"/>
            </w:r>
            <w:r w:rsidR="003C1D99" w:rsidRPr="00124680">
              <w:rPr>
                <w:noProof/>
                <w:webHidden/>
              </w:rPr>
              <w:t>129</w:t>
            </w:r>
            <w:r w:rsidR="003C1D99" w:rsidRPr="00124680">
              <w:rPr>
                <w:noProof/>
                <w:webHidden/>
              </w:rPr>
              <w:fldChar w:fldCharType="end"/>
            </w:r>
          </w:hyperlink>
        </w:p>
        <w:p w14:paraId="3160AD3A" w14:textId="77777777" w:rsidR="003C1D99" w:rsidRPr="00124680" w:rsidRDefault="008B5E15">
          <w:pPr>
            <w:pStyle w:val="TDC2"/>
            <w:tabs>
              <w:tab w:val="right" w:leader="dot" w:pos="9394"/>
            </w:tabs>
            <w:rPr>
              <w:rFonts w:cstheme="minorBidi"/>
              <w:noProof/>
              <w:lang w:val="es-ES" w:eastAsia="es-ES"/>
            </w:rPr>
          </w:pPr>
          <w:hyperlink w:anchor="_Toc525652047" w:history="1">
            <w:r w:rsidR="003C1D99" w:rsidRPr="00124680">
              <w:rPr>
                <w:rStyle w:val="Hipervnculo"/>
                <w:rFonts w:ascii="Arial" w:eastAsia="Calibri" w:hAnsi="Arial" w:cs="Arial"/>
                <w:noProof/>
              </w:rPr>
              <w:t>3.2 Ejecución Cuentas por Pagar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_Toc525652047 \h </w:instrText>
            </w:r>
            <w:r w:rsidR="003C1D99" w:rsidRPr="00124680">
              <w:rPr>
                <w:noProof/>
                <w:webHidden/>
              </w:rPr>
            </w:r>
            <w:r w:rsidR="003C1D99" w:rsidRPr="00124680">
              <w:rPr>
                <w:noProof/>
                <w:webHidden/>
              </w:rPr>
              <w:fldChar w:fldCharType="separate"/>
            </w:r>
            <w:r w:rsidR="003C1D99" w:rsidRPr="00124680">
              <w:rPr>
                <w:noProof/>
                <w:webHidden/>
              </w:rPr>
              <w:t>129</w:t>
            </w:r>
            <w:r w:rsidR="003C1D99" w:rsidRPr="00124680">
              <w:rPr>
                <w:noProof/>
                <w:webHidden/>
              </w:rPr>
              <w:fldChar w:fldCharType="end"/>
            </w:r>
          </w:hyperlink>
        </w:p>
        <w:p w14:paraId="64E26ABA" w14:textId="77777777" w:rsidR="003C1D99" w:rsidRPr="00124680" w:rsidRDefault="008B5E15">
          <w:pPr>
            <w:pStyle w:val="TDC1"/>
            <w:tabs>
              <w:tab w:val="right" w:leader="dot" w:pos="9394"/>
            </w:tabs>
            <w:rPr>
              <w:rFonts w:eastAsiaTheme="minorEastAsia"/>
              <w:noProof/>
              <w:lang w:val="es-ES" w:eastAsia="es-ES"/>
            </w:rPr>
          </w:pPr>
          <w:hyperlink w:anchor="_Toc525652048" w:history="1">
            <w:r w:rsidR="003C1D99" w:rsidRPr="00124680">
              <w:rPr>
                <w:rStyle w:val="Hipervnculo"/>
                <w:rFonts w:ascii="Arial" w:eastAsia="Arial" w:hAnsi="Arial" w:cs="Arial"/>
                <w:b/>
                <w:noProof/>
                <w:lang w:eastAsia="es-CO"/>
              </w:rPr>
              <w:t>D. SERVICIO GEOLÓGICO COLOMBIANO -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_Toc525652048 \h </w:instrText>
            </w:r>
            <w:r w:rsidR="003C1D99" w:rsidRPr="00124680">
              <w:rPr>
                <w:noProof/>
                <w:webHidden/>
              </w:rPr>
            </w:r>
            <w:r w:rsidR="003C1D99" w:rsidRPr="00124680">
              <w:rPr>
                <w:noProof/>
                <w:webHidden/>
              </w:rPr>
              <w:fldChar w:fldCharType="separate"/>
            </w:r>
            <w:r w:rsidR="003C1D99" w:rsidRPr="00124680">
              <w:rPr>
                <w:noProof/>
                <w:webHidden/>
              </w:rPr>
              <w:t>130</w:t>
            </w:r>
            <w:r w:rsidR="003C1D99" w:rsidRPr="00124680">
              <w:rPr>
                <w:noProof/>
                <w:webHidden/>
              </w:rPr>
              <w:fldChar w:fldCharType="end"/>
            </w:r>
          </w:hyperlink>
        </w:p>
        <w:p w14:paraId="5D25478C"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49" w:history="1">
            <w:r w:rsidR="003C1D99" w:rsidRPr="00124680">
              <w:rPr>
                <w:rStyle w:val="Hipervnculo"/>
                <w:rFonts w:ascii="Arial" w:eastAsia="Arial" w:hAnsi="Arial" w:cs="Arial"/>
                <w:b/>
                <w:noProof/>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w:t>
            </w:r>
            <w:r w:rsidR="003C1D99" w:rsidRPr="00124680">
              <w:rPr>
                <w:rStyle w:val="Hipervnculo"/>
                <w:rFonts w:ascii="Arial" w:hAnsi="Arial" w:cs="Arial"/>
                <w:b/>
                <w:noProof/>
                <w:lang w:eastAsia="es-CO"/>
              </w:rPr>
              <w:t>L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_Toc525652049 \h </w:instrText>
            </w:r>
            <w:r w:rsidR="003C1D99" w:rsidRPr="00124680">
              <w:rPr>
                <w:noProof/>
                <w:webHidden/>
              </w:rPr>
            </w:r>
            <w:r w:rsidR="003C1D99" w:rsidRPr="00124680">
              <w:rPr>
                <w:noProof/>
                <w:webHidden/>
              </w:rPr>
              <w:fldChar w:fldCharType="separate"/>
            </w:r>
            <w:r w:rsidR="003C1D99" w:rsidRPr="00124680">
              <w:rPr>
                <w:noProof/>
                <w:webHidden/>
              </w:rPr>
              <w:t>130</w:t>
            </w:r>
            <w:r w:rsidR="003C1D99" w:rsidRPr="00124680">
              <w:rPr>
                <w:noProof/>
                <w:webHidden/>
              </w:rPr>
              <w:fldChar w:fldCharType="end"/>
            </w:r>
          </w:hyperlink>
        </w:p>
        <w:p w14:paraId="7A36A7DD" w14:textId="77777777" w:rsidR="003C1D99" w:rsidRPr="00124680" w:rsidRDefault="008B5E15">
          <w:pPr>
            <w:pStyle w:val="TDC2"/>
            <w:tabs>
              <w:tab w:val="left" w:pos="880"/>
              <w:tab w:val="right" w:leader="dot" w:pos="9394"/>
            </w:tabs>
            <w:rPr>
              <w:rFonts w:cstheme="minorBidi"/>
              <w:noProof/>
              <w:lang w:val="es-ES" w:eastAsia="es-ES"/>
            </w:rPr>
          </w:pPr>
          <w:hyperlink w:anchor="_Toc525652050"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del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_Toc525652050 \h </w:instrText>
            </w:r>
            <w:r w:rsidR="003C1D99" w:rsidRPr="00124680">
              <w:rPr>
                <w:noProof/>
                <w:webHidden/>
              </w:rPr>
            </w:r>
            <w:r w:rsidR="003C1D99" w:rsidRPr="00124680">
              <w:rPr>
                <w:noProof/>
                <w:webHidden/>
              </w:rPr>
              <w:fldChar w:fldCharType="separate"/>
            </w:r>
            <w:r w:rsidR="003C1D99" w:rsidRPr="00124680">
              <w:rPr>
                <w:noProof/>
                <w:webHidden/>
              </w:rPr>
              <w:t>130</w:t>
            </w:r>
            <w:r w:rsidR="003C1D99" w:rsidRPr="00124680">
              <w:rPr>
                <w:noProof/>
                <w:webHidden/>
              </w:rPr>
              <w:fldChar w:fldCharType="end"/>
            </w:r>
          </w:hyperlink>
        </w:p>
        <w:p w14:paraId="1DD2B99B" w14:textId="77777777" w:rsidR="003C1D99" w:rsidRPr="00124680" w:rsidRDefault="008B5E15">
          <w:pPr>
            <w:pStyle w:val="TDC2"/>
            <w:tabs>
              <w:tab w:val="left" w:pos="880"/>
              <w:tab w:val="right" w:leader="dot" w:pos="9394"/>
            </w:tabs>
            <w:rPr>
              <w:rFonts w:cstheme="minorBidi"/>
              <w:noProof/>
              <w:lang w:val="es-ES" w:eastAsia="es-ES"/>
            </w:rPr>
          </w:pPr>
          <w:hyperlink w:anchor="_Toc525652051" w:history="1">
            <w:r w:rsidR="003C1D99" w:rsidRPr="00124680">
              <w:rPr>
                <w:rStyle w:val="Hipervnculo"/>
                <w:rFonts w:eastAsia="Calibri"/>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del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_Toc525652051 \h </w:instrText>
            </w:r>
            <w:r w:rsidR="003C1D99" w:rsidRPr="00124680">
              <w:rPr>
                <w:noProof/>
                <w:webHidden/>
              </w:rPr>
            </w:r>
            <w:r w:rsidR="003C1D99" w:rsidRPr="00124680">
              <w:rPr>
                <w:noProof/>
                <w:webHidden/>
              </w:rPr>
              <w:fldChar w:fldCharType="separate"/>
            </w:r>
            <w:r w:rsidR="003C1D99" w:rsidRPr="00124680">
              <w:rPr>
                <w:noProof/>
                <w:webHidden/>
              </w:rPr>
              <w:t>131</w:t>
            </w:r>
            <w:r w:rsidR="003C1D99" w:rsidRPr="00124680">
              <w:rPr>
                <w:noProof/>
                <w:webHidden/>
              </w:rPr>
              <w:fldChar w:fldCharType="end"/>
            </w:r>
          </w:hyperlink>
        </w:p>
        <w:p w14:paraId="38272D93"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52"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INGRESOS Y GASTOS DEL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_Toc525652052 \h </w:instrText>
            </w:r>
            <w:r w:rsidR="003C1D99" w:rsidRPr="00124680">
              <w:rPr>
                <w:noProof/>
                <w:webHidden/>
              </w:rPr>
            </w:r>
            <w:r w:rsidR="003C1D99" w:rsidRPr="00124680">
              <w:rPr>
                <w:noProof/>
                <w:webHidden/>
              </w:rPr>
              <w:fldChar w:fldCharType="separate"/>
            </w:r>
            <w:r w:rsidR="003C1D99" w:rsidRPr="00124680">
              <w:rPr>
                <w:noProof/>
                <w:webHidden/>
              </w:rPr>
              <w:t>132</w:t>
            </w:r>
            <w:r w:rsidR="003C1D99" w:rsidRPr="00124680">
              <w:rPr>
                <w:noProof/>
                <w:webHidden/>
              </w:rPr>
              <w:fldChar w:fldCharType="end"/>
            </w:r>
          </w:hyperlink>
        </w:p>
        <w:p w14:paraId="520C3811" w14:textId="77777777" w:rsidR="003C1D99" w:rsidRPr="00124680" w:rsidRDefault="008B5E15">
          <w:pPr>
            <w:pStyle w:val="TDC2"/>
            <w:tabs>
              <w:tab w:val="right" w:leader="dot" w:pos="9394"/>
            </w:tabs>
            <w:rPr>
              <w:rFonts w:cstheme="minorBidi"/>
              <w:noProof/>
              <w:lang w:val="es-ES" w:eastAsia="es-ES"/>
            </w:rPr>
          </w:pPr>
          <w:hyperlink w:anchor="_Toc525652053" w:history="1">
            <w:r w:rsidR="003C1D99" w:rsidRPr="00124680">
              <w:rPr>
                <w:rStyle w:val="Hipervnculo"/>
                <w:rFonts w:ascii="Arial" w:eastAsia="Calibri" w:hAnsi="Arial" w:cs="Arial"/>
                <w:noProof/>
              </w:rPr>
              <w:t>2.1. Ingresos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_Toc525652053 \h </w:instrText>
            </w:r>
            <w:r w:rsidR="003C1D99" w:rsidRPr="00124680">
              <w:rPr>
                <w:noProof/>
                <w:webHidden/>
              </w:rPr>
            </w:r>
            <w:r w:rsidR="003C1D99" w:rsidRPr="00124680">
              <w:rPr>
                <w:noProof/>
                <w:webHidden/>
              </w:rPr>
              <w:fldChar w:fldCharType="separate"/>
            </w:r>
            <w:r w:rsidR="003C1D99" w:rsidRPr="00124680">
              <w:rPr>
                <w:noProof/>
                <w:webHidden/>
              </w:rPr>
              <w:t>132</w:t>
            </w:r>
            <w:r w:rsidR="003C1D99" w:rsidRPr="00124680">
              <w:rPr>
                <w:noProof/>
                <w:webHidden/>
              </w:rPr>
              <w:fldChar w:fldCharType="end"/>
            </w:r>
          </w:hyperlink>
        </w:p>
        <w:p w14:paraId="39CFD1F2" w14:textId="77777777" w:rsidR="003C1D99" w:rsidRPr="00124680" w:rsidRDefault="008B5E15">
          <w:pPr>
            <w:pStyle w:val="TDC2"/>
            <w:tabs>
              <w:tab w:val="left" w:pos="880"/>
              <w:tab w:val="right" w:leader="dot" w:pos="9394"/>
            </w:tabs>
            <w:rPr>
              <w:rFonts w:cstheme="minorBidi"/>
              <w:noProof/>
              <w:lang w:val="es-ES" w:eastAsia="es-ES"/>
            </w:rPr>
          </w:pPr>
          <w:hyperlink w:anchor="_Toc525652054"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Gastos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_Toc525652054 \h </w:instrText>
            </w:r>
            <w:r w:rsidR="003C1D99" w:rsidRPr="00124680">
              <w:rPr>
                <w:noProof/>
                <w:webHidden/>
              </w:rPr>
            </w:r>
            <w:r w:rsidR="003C1D99" w:rsidRPr="00124680">
              <w:rPr>
                <w:noProof/>
                <w:webHidden/>
              </w:rPr>
              <w:fldChar w:fldCharType="separate"/>
            </w:r>
            <w:r w:rsidR="003C1D99" w:rsidRPr="00124680">
              <w:rPr>
                <w:noProof/>
                <w:webHidden/>
              </w:rPr>
              <w:t>133</w:t>
            </w:r>
            <w:r w:rsidR="003C1D99" w:rsidRPr="00124680">
              <w:rPr>
                <w:noProof/>
                <w:webHidden/>
              </w:rPr>
              <w:fldChar w:fldCharType="end"/>
            </w:r>
          </w:hyperlink>
        </w:p>
        <w:p w14:paraId="74B60EB9" w14:textId="77777777" w:rsidR="003C1D99" w:rsidRPr="00124680" w:rsidRDefault="008B5E15">
          <w:pPr>
            <w:pStyle w:val="TDC3"/>
            <w:tabs>
              <w:tab w:val="left" w:pos="1320"/>
              <w:tab w:val="right" w:leader="dot" w:pos="9394"/>
            </w:tabs>
            <w:rPr>
              <w:rFonts w:cstheme="minorBidi"/>
              <w:noProof/>
              <w:lang w:val="es-ES" w:eastAsia="es-ES"/>
            </w:rPr>
          </w:pPr>
          <w:hyperlink w:anchor="_Toc525652055" w:history="1">
            <w:r w:rsidR="003C1D99" w:rsidRPr="00124680">
              <w:rPr>
                <w:rStyle w:val="Hipervnculo"/>
                <w:rFonts w:ascii="Arial" w:eastAsia="Calibri" w:hAnsi="Arial" w:cs="Arial"/>
                <w:noProof/>
              </w:rPr>
              <w:t>1.2.1.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_Toc525652055 \h </w:instrText>
            </w:r>
            <w:r w:rsidR="003C1D99" w:rsidRPr="00124680">
              <w:rPr>
                <w:noProof/>
                <w:webHidden/>
              </w:rPr>
            </w:r>
            <w:r w:rsidR="003C1D99" w:rsidRPr="00124680">
              <w:rPr>
                <w:noProof/>
                <w:webHidden/>
              </w:rPr>
              <w:fldChar w:fldCharType="separate"/>
            </w:r>
            <w:r w:rsidR="003C1D99" w:rsidRPr="00124680">
              <w:rPr>
                <w:noProof/>
                <w:webHidden/>
              </w:rPr>
              <w:t>133</w:t>
            </w:r>
            <w:r w:rsidR="003C1D99" w:rsidRPr="00124680">
              <w:rPr>
                <w:noProof/>
                <w:webHidden/>
              </w:rPr>
              <w:fldChar w:fldCharType="end"/>
            </w:r>
          </w:hyperlink>
        </w:p>
        <w:p w14:paraId="075FB8EF" w14:textId="77777777" w:rsidR="003C1D99" w:rsidRPr="00124680" w:rsidRDefault="008B5E15">
          <w:pPr>
            <w:pStyle w:val="TDC3"/>
            <w:tabs>
              <w:tab w:val="left" w:pos="1320"/>
              <w:tab w:val="right" w:leader="dot" w:pos="9394"/>
            </w:tabs>
            <w:rPr>
              <w:rFonts w:cstheme="minorBidi"/>
              <w:noProof/>
              <w:lang w:val="es-ES" w:eastAsia="es-ES"/>
            </w:rPr>
          </w:pPr>
          <w:hyperlink w:anchor="_Toc525652056" w:history="1">
            <w:r w:rsidR="003C1D99" w:rsidRPr="00124680">
              <w:rPr>
                <w:rStyle w:val="Hipervnculo"/>
                <w:rFonts w:ascii="Arial" w:eastAsia="Calibri" w:hAnsi="Arial" w:cs="Arial"/>
                <w:noProof/>
              </w:rPr>
              <w:t>1.2.2.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 SCG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_Toc525652056 \h </w:instrText>
            </w:r>
            <w:r w:rsidR="003C1D99" w:rsidRPr="00124680">
              <w:rPr>
                <w:noProof/>
                <w:webHidden/>
              </w:rPr>
            </w:r>
            <w:r w:rsidR="003C1D99" w:rsidRPr="00124680">
              <w:rPr>
                <w:noProof/>
                <w:webHidden/>
              </w:rPr>
              <w:fldChar w:fldCharType="separate"/>
            </w:r>
            <w:r w:rsidR="003C1D99" w:rsidRPr="00124680">
              <w:rPr>
                <w:noProof/>
                <w:webHidden/>
              </w:rPr>
              <w:t>135</w:t>
            </w:r>
            <w:r w:rsidR="003C1D99" w:rsidRPr="00124680">
              <w:rPr>
                <w:noProof/>
                <w:webHidden/>
              </w:rPr>
              <w:fldChar w:fldCharType="end"/>
            </w:r>
          </w:hyperlink>
        </w:p>
        <w:p w14:paraId="7E4667B0"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57"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DEL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_Toc525652057 \h </w:instrText>
            </w:r>
            <w:r w:rsidR="003C1D99" w:rsidRPr="00124680">
              <w:rPr>
                <w:noProof/>
                <w:webHidden/>
              </w:rPr>
            </w:r>
            <w:r w:rsidR="003C1D99" w:rsidRPr="00124680">
              <w:rPr>
                <w:noProof/>
                <w:webHidden/>
              </w:rPr>
              <w:fldChar w:fldCharType="separate"/>
            </w:r>
            <w:r w:rsidR="003C1D99" w:rsidRPr="00124680">
              <w:rPr>
                <w:noProof/>
                <w:webHidden/>
              </w:rPr>
              <w:t>138</w:t>
            </w:r>
            <w:r w:rsidR="003C1D99" w:rsidRPr="00124680">
              <w:rPr>
                <w:noProof/>
                <w:webHidden/>
              </w:rPr>
              <w:fldChar w:fldCharType="end"/>
            </w:r>
          </w:hyperlink>
        </w:p>
        <w:p w14:paraId="6E04B3FC" w14:textId="77777777" w:rsidR="003C1D99" w:rsidRPr="00124680" w:rsidRDefault="008B5E15">
          <w:pPr>
            <w:pStyle w:val="TDC2"/>
            <w:tabs>
              <w:tab w:val="left" w:pos="880"/>
              <w:tab w:val="right" w:leader="dot" w:pos="9394"/>
            </w:tabs>
            <w:rPr>
              <w:rFonts w:cstheme="minorBidi"/>
              <w:noProof/>
              <w:lang w:val="es-ES" w:eastAsia="es-ES"/>
            </w:rPr>
          </w:pPr>
          <w:hyperlink w:anchor="_Toc525652058" w:history="1">
            <w:r w:rsidR="003C1D99" w:rsidRPr="00124680">
              <w:rPr>
                <w:rStyle w:val="Hipervnculo"/>
                <w:rFonts w:ascii="Arial" w:eastAsia="Calibri" w:hAnsi="Arial" w:cs="Arial"/>
                <w:noProof/>
              </w:rPr>
              <w:t>3.1.</w:t>
            </w:r>
            <w:r w:rsidR="003C1D99" w:rsidRPr="00124680">
              <w:rPr>
                <w:rFonts w:cstheme="minorBidi"/>
                <w:noProof/>
                <w:lang w:val="es-ES" w:eastAsia="es-ES"/>
              </w:rPr>
              <w:tab/>
            </w:r>
            <w:r w:rsidR="003C1D99" w:rsidRPr="00124680">
              <w:rPr>
                <w:rStyle w:val="Hipervnculo"/>
                <w:rFonts w:ascii="Arial" w:eastAsia="Calibri" w:hAnsi="Arial" w:cs="Arial"/>
                <w:noProof/>
              </w:rPr>
              <w:t>Ejecución reservas presupuestales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_Toc525652058 \h </w:instrText>
            </w:r>
            <w:r w:rsidR="003C1D99" w:rsidRPr="00124680">
              <w:rPr>
                <w:noProof/>
                <w:webHidden/>
              </w:rPr>
            </w:r>
            <w:r w:rsidR="003C1D99" w:rsidRPr="00124680">
              <w:rPr>
                <w:noProof/>
                <w:webHidden/>
              </w:rPr>
              <w:fldChar w:fldCharType="separate"/>
            </w:r>
            <w:r w:rsidR="003C1D99" w:rsidRPr="00124680">
              <w:rPr>
                <w:noProof/>
                <w:webHidden/>
              </w:rPr>
              <w:t>138</w:t>
            </w:r>
            <w:r w:rsidR="003C1D99" w:rsidRPr="00124680">
              <w:rPr>
                <w:noProof/>
                <w:webHidden/>
              </w:rPr>
              <w:fldChar w:fldCharType="end"/>
            </w:r>
          </w:hyperlink>
        </w:p>
        <w:p w14:paraId="4579BDDD" w14:textId="77777777" w:rsidR="003C1D99" w:rsidRPr="00124680" w:rsidRDefault="008B5E15">
          <w:pPr>
            <w:pStyle w:val="TDC2"/>
            <w:tabs>
              <w:tab w:val="left" w:pos="880"/>
              <w:tab w:val="right" w:leader="dot" w:pos="9394"/>
            </w:tabs>
            <w:rPr>
              <w:rFonts w:cstheme="minorBidi"/>
              <w:noProof/>
              <w:lang w:val="es-ES" w:eastAsia="es-ES"/>
            </w:rPr>
          </w:pPr>
          <w:hyperlink w:anchor="_Toc525652059" w:history="1">
            <w:r w:rsidR="003C1D99" w:rsidRPr="00124680">
              <w:rPr>
                <w:rStyle w:val="Hipervnculo"/>
                <w:rFonts w:ascii="Arial" w:eastAsia="Calibri" w:hAnsi="Arial" w:cs="Arial"/>
                <w:noProof/>
              </w:rPr>
              <w:t>3.2.</w:t>
            </w:r>
            <w:r w:rsidR="003C1D99" w:rsidRPr="00124680">
              <w:rPr>
                <w:rFonts w:cstheme="minorBidi"/>
                <w:noProof/>
                <w:lang w:val="es-ES" w:eastAsia="es-ES"/>
              </w:rPr>
              <w:tab/>
            </w:r>
            <w:r w:rsidR="003C1D99" w:rsidRPr="00124680">
              <w:rPr>
                <w:rStyle w:val="Hipervnculo"/>
                <w:rFonts w:ascii="Arial" w:eastAsia="Calibri" w:hAnsi="Arial" w:cs="Arial"/>
                <w:noProof/>
              </w:rPr>
              <w:t>Ejecución cuentas por pagar SCG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_Toc525652059 \h </w:instrText>
            </w:r>
            <w:r w:rsidR="003C1D99" w:rsidRPr="00124680">
              <w:rPr>
                <w:noProof/>
                <w:webHidden/>
              </w:rPr>
            </w:r>
            <w:r w:rsidR="003C1D99" w:rsidRPr="00124680">
              <w:rPr>
                <w:noProof/>
                <w:webHidden/>
              </w:rPr>
              <w:fldChar w:fldCharType="separate"/>
            </w:r>
            <w:r w:rsidR="003C1D99" w:rsidRPr="00124680">
              <w:rPr>
                <w:noProof/>
                <w:webHidden/>
              </w:rPr>
              <w:t>139</w:t>
            </w:r>
            <w:r w:rsidR="003C1D99" w:rsidRPr="00124680">
              <w:rPr>
                <w:noProof/>
                <w:webHidden/>
              </w:rPr>
              <w:fldChar w:fldCharType="end"/>
            </w:r>
          </w:hyperlink>
        </w:p>
        <w:p w14:paraId="6A758FBD"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60"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CONCLUSIONES Y /O COMENTARIOS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_Toc525652060 \h </w:instrText>
            </w:r>
            <w:r w:rsidR="003C1D99" w:rsidRPr="00124680">
              <w:rPr>
                <w:noProof/>
                <w:webHidden/>
              </w:rPr>
            </w:r>
            <w:r w:rsidR="003C1D99" w:rsidRPr="00124680">
              <w:rPr>
                <w:noProof/>
                <w:webHidden/>
              </w:rPr>
              <w:fldChar w:fldCharType="separate"/>
            </w:r>
            <w:r w:rsidR="003C1D99" w:rsidRPr="00124680">
              <w:rPr>
                <w:noProof/>
                <w:webHidden/>
              </w:rPr>
              <w:t>139</w:t>
            </w:r>
            <w:r w:rsidR="003C1D99" w:rsidRPr="00124680">
              <w:rPr>
                <w:noProof/>
                <w:webHidden/>
              </w:rPr>
              <w:fldChar w:fldCharType="end"/>
            </w:r>
          </w:hyperlink>
        </w:p>
        <w:p w14:paraId="3B18384D" w14:textId="77777777" w:rsidR="003C1D99" w:rsidRPr="00124680" w:rsidRDefault="008B5E15">
          <w:pPr>
            <w:pStyle w:val="TDC1"/>
            <w:tabs>
              <w:tab w:val="right" w:leader="dot" w:pos="9394"/>
            </w:tabs>
            <w:rPr>
              <w:rFonts w:eastAsiaTheme="minorEastAsia"/>
              <w:noProof/>
              <w:lang w:val="es-ES" w:eastAsia="es-ES"/>
            </w:rPr>
          </w:pPr>
          <w:hyperlink w:anchor="_Toc525652061" w:history="1">
            <w:r w:rsidR="003C1D99" w:rsidRPr="00124680">
              <w:rPr>
                <w:rStyle w:val="Hipervnculo"/>
                <w:rFonts w:ascii="Arial" w:eastAsia="Arial" w:hAnsi="Arial" w:cs="Arial"/>
                <w:b/>
                <w:noProof/>
                <w:lang w:eastAsia="es-CO"/>
              </w:rPr>
              <w:t>E. AGENCIA NACIONAL MINERA-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_Toc525652061 \h </w:instrText>
            </w:r>
            <w:r w:rsidR="003C1D99" w:rsidRPr="00124680">
              <w:rPr>
                <w:noProof/>
                <w:webHidden/>
              </w:rPr>
            </w:r>
            <w:r w:rsidR="003C1D99" w:rsidRPr="00124680">
              <w:rPr>
                <w:noProof/>
                <w:webHidden/>
              </w:rPr>
              <w:fldChar w:fldCharType="separate"/>
            </w:r>
            <w:r w:rsidR="003C1D99" w:rsidRPr="00124680">
              <w:rPr>
                <w:noProof/>
                <w:webHidden/>
              </w:rPr>
              <w:t>140</w:t>
            </w:r>
            <w:r w:rsidR="003C1D99" w:rsidRPr="00124680">
              <w:rPr>
                <w:noProof/>
                <w:webHidden/>
              </w:rPr>
              <w:fldChar w:fldCharType="end"/>
            </w:r>
          </w:hyperlink>
        </w:p>
        <w:p w14:paraId="2B34B85E"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62" w:history="1">
            <w:r w:rsidR="003C1D99" w:rsidRPr="00124680">
              <w:rPr>
                <w:rStyle w:val="Hipervnculo"/>
                <w:rFonts w:ascii="Arial" w:eastAsia="Arial" w:hAnsi="Arial" w:cs="Arial"/>
                <w:b/>
                <w:noProof/>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w:t>
            </w:r>
            <w:r w:rsidR="003C1D99" w:rsidRPr="00124680">
              <w:rPr>
                <w:rStyle w:val="Hipervnculo"/>
                <w:rFonts w:ascii="Arial" w:hAnsi="Arial" w:cs="Arial"/>
                <w:b/>
                <w:noProof/>
                <w:lang w:eastAsia="es-CO"/>
              </w:rPr>
              <w:t xml:space="preserve"> </w:t>
            </w:r>
            <w:r w:rsidR="003C1D99" w:rsidRPr="00124680">
              <w:rPr>
                <w:rStyle w:val="Hipervnculo"/>
                <w:rFonts w:ascii="Arial" w:eastAsia="Arial" w:hAnsi="Arial" w:cs="Arial"/>
                <w:b/>
                <w:noProof/>
                <w:lang w:eastAsia="es-CO"/>
              </w:rPr>
              <w:t>L</w:t>
            </w:r>
            <w:r w:rsidR="003C1D99" w:rsidRPr="00124680">
              <w:rPr>
                <w:rStyle w:val="Hipervnculo"/>
                <w:rFonts w:ascii="Arial" w:hAnsi="Arial" w:cs="Arial"/>
                <w:b/>
                <w:noProof/>
                <w:lang w:eastAsia="es-CO"/>
              </w:rPr>
              <w:t>A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_Toc525652062 \h </w:instrText>
            </w:r>
            <w:r w:rsidR="003C1D99" w:rsidRPr="00124680">
              <w:rPr>
                <w:noProof/>
                <w:webHidden/>
              </w:rPr>
            </w:r>
            <w:r w:rsidR="003C1D99" w:rsidRPr="00124680">
              <w:rPr>
                <w:noProof/>
                <w:webHidden/>
              </w:rPr>
              <w:fldChar w:fldCharType="separate"/>
            </w:r>
            <w:r w:rsidR="003C1D99" w:rsidRPr="00124680">
              <w:rPr>
                <w:noProof/>
                <w:webHidden/>
              </w:rPr>
              <w:t>140</w:t>
            </w:r>
            <w:r w:rsidR="003C1D99" w:rsidRPr="00124680">
              <w:rPr>
                <w:noProof/>
                <w:webHidden/>
              </w:rPr>
              <w:fldChar w:fldCharType="end"/>
            </w:r>
          </w:hyperlink>
        </w:p>
        <w:p w14:paraId="2091B230" w14:textId="77777777" w:rsidR="003C1D99" w:rsidRPr="00124680" w:rsidRDefault="008B5E15">
          <w:pPr>
            <w:pStyle w:val="TDC2"/>
            <w:tabs>
              <w:tab w:val="left" w:pos="880"/>
              <w:tab w:val="right" w:leader="dot" w:pos="9394"/>
            </w:tabs>
            <w:rPr>
              <w:rFonts w:cstheme="minorBidi"/>
              <w:noProof/>
              <w:lang w:val="es-ES" w:eastAsia="es-ES"/>
            </w:rPr>
          </w:pPr>
          <w:hyperlink w:anchor="_Toc525652063"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 la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_Toc525652063 \h </w:instrText>
            </w:r>
            <w:r w:rsidR="003C1D99" w:rsidRPr="00124680">
              <w:rPr>
                <w:noProof/>
                <w:webHidden/>
              </w:rPr>
            </w:r>
            <w:r w:rsidR="003C1D99" w:rsidRPr="00124680">
              <w:rPr>
                <w:noProof/>
                <w:webHidden/>
              </w:rPr>
              <w:fldChar w:fldCharType="separate"/>
            </w:r>
            <w:r w:rsidR="003C1D99" w:rsidRPr="00124680">
              <w:rPr>
                <w:noProof/>
                <w:webHidden/>
              </w:rPr>
              <w:t>141</w:t>
            </w:r>
            <w:r w:rsidR="003C1D99" w:rsidRPr="00124680">
              <w:rPr>
                <w:noProof/>
                <w:webHidden/>
              </w:rPr>
              <w:fldChar w:fldCharType="end"/>
            </w:r>
          </w:hyperlink>
        </w:p>
        <w:p w14:paraId="106D8C38" w14:textId="77777777" w:rsidR="003C1D99" w:rsidRPr="00124680" w:rsidRDefault="008B5E15">
          <w:pPr>
            <w:pStyle w:val="TDC2"/>
            <w:tabs>
              <w:tab w:val="right" w:leader="dot" w:pos="9394"/>
            </w:tabs>
            <w:rPr>
              <w:rFonts w:cstheme="minorBidi"/>
              <w:noProof/>
              <w:lang w:val="es-ES" w:eastAsia="es-ES"/>
            </w:rPr>
          </w:pPr>
          <w:hyperlink w:anchor="_Toc525652064" w:history="1">
            <w:r w:rsidR="003C1D99" w:rsidRPr="00124680">
              <w:rPr>
                <w:rStyle w:val="Hipervnculo"/>
                <w:rFonts w:ascii="Arial" w:eastAsia="Calibri" w:hAnsi="Arial" w:cs="Arial"/>
                <w:noProof/>
              </w:rPr>
              <w:t>1.2. Composición del Presupuesto de Inversión de la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_Toc525652064 \h </w:instrText>
            </w:r>
            <w:r w:rsidR="003C1D99" w:rsidRPr="00124680">
              <w:rPr>
                <w:noProof/>
                <w:webHidden/>
              </w:rPr>
            </w:r>
            <w:r w:rsidR="003C1D99" w:rsidRPr="00124680">
              <w:rPr>
                <w:noProof/>
                <w:webHidden/>
              </w:rPr>
              <w:fldChar w:fldCharType="separate"/>
            </w:r>
            <w:r w:rsidR="003C1D99" w:rsidRPr="00124680">
              <w:rPr>
                <w:noProof/>
                <w:webHidden/>
              </w:rPr>
              <w:t>142</w:t>
            </w:r>
            <w:r w:rsidR="003C1D99" w:rsidRPr="00124680">
              <w:rPr>
                <w:noProof/>
                <w:webHidden/>
              </w:rPr>
              <w:fldChar w:fldCharType="end"/>
            </w:r>
          </w:hyperlink>
        </w:p>
        <w:p w14:paraId="55A8FD56"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65"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INGRESOS Y GASTOS DE LA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_Toc525652065 \h </w:instrText>
            </w:r>
            <w:r w:rsidR="003C1D99" w:rsidRPr="00124680">
              <w:rPr>
                <w:noProof/>
                <w:webHidden/>
              </w:rPr>
            </w:r>
            <w:r w:rsidR="003C1D99" w:rsidRPr="00124680">
              <w:rPr>
                <w:noProof/>
                <w:webHidden/>
              </w:rPr>
              <w:fldChar w:fldCharType="separate"/>
            </w:r>
            <w:r w:rsidR="003C1D99" w:rsidRPr="00124680">
              <w:rPr>
                <w:noProof/>
                <w:webHidden/>
              </w:rPr>
              <w:t>142</w:t>
            </w:r>
            <w:r w:rsidR="003C1D99" w:rsidRPr="00124680">
              <w:rPr>
                <w:noProof/>
                <w:webHidden/>
              </w:rPr>
              <w:fldChar w:fldCharType="end"/>
            </w:r>
          </w:hyperlink>
        </w:p>
        <w:p w14:paraId="4F0BA089" w14:textId="77777777" w:rsidR="003C1D99" w:rsidRPr="00124680" w:rsidRDefault="008B5E15">
          <w:pPr>
            <w:pStyle w:val="TDC2"/>
            <w:tabs>
              <w:tab w:val="left" w:pos="880"/>
              <w:tab w:val="right" w:leader="dot" w:pos="9394"/>
            </w:tabs>
            <w:rPr>
              <w:rFonts w:cstheme="minorBidi"/>
              <w:noProof/>
              <w:lang w:val="es-ES" w:eastAsia="es-ES"/>
            </w:rPr>
          </w:pPr>
          <w:hyperlink w:anchor="_Toc525652066"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Ingresos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_Toc525652066 \h </w:instrText>
            </w:r>
            <w:r w:rsidR="003C1D99" w:rsidRPr="00124680">
              <w:rPr>
                <w:noProof/>
                <w:webHidden/>
              </w:rPr>
            </w:r>
            <w:r w:rsidR="003C1D99" w:rsidRPr="00124680">
              <w:rPr>
                <w:noProof/>
                <w:webHidden/>
              </w:rPr>
              <w:fldChar w:fldCharType="separate"/>
            </w:r>
            <w:r w:rsidR="003C1D99" w:rsidRPr="00124680">
              <w:rPr>
                <w:noProof/>
                <w:webHidden/>
              </w:rPr>
              <w:t>142</w:t>
            </w:r>
            <w:r w:rsidR="003C1D99" w:rsidRPr="00124680">
              <w:rPr>
                <w:noProof/>
                <w:webHidden/>
              </w:rPr>
              <w:fldChar w:fldCharType="end"/>
            </w:r>
          </w:hyperlink>
        </w:p>
        <w:p w14:paraId="0C1A8EE0" w14:textId="77777777" w:rsidR="003C1D99" w:rsidRPr="00124680" w:rsidRDefault="008B5E15">
          <w:pPr>
            <w:pStyle w:val="TDC2"/>
            <w:tabs>
              <w:tab w:val="left" w:pos="880"/>
              <w:tab w:val="right" w:leader="dot" w:pos="9394"/>
            </w:tabs>
            <w:rPr>
              <w:rFonts w:cstheme="minorBidi"/>
              <w:noProof/>
              <w:lang w:val="es-ES" w:eastAsia="es-ES"/>
            </w:rPr>
          </w:pPr>
          <w:hyperlink w:anchor="_Toc525652067"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Gastos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_Toc525652067 \h </w:instrText>
            </w:r>
            <w:r w:rsidR="003C1D99" w:rsidRPr="00124680">
              <w:rPr>
                <w:noProof/>
                <w:webHidden/>
              </w:rPr>
            </w:r>
            <w:r w:rsidR="003C1D99" w:rsidRPr="00124680">
              <w:rPr>
                <w:noProof/>
                <w:webHidden/>
              </w:rPr>
              <w:fldChar w:fldCharType="separate"/>
            </w:r>
            <w:r w:rsidR="003C1D99" w:rsidRPr="00124680">
              <w:rPr>
                <w:noProof/>
                <w:webHidden/>
              </w:rPr>
              <w:t>143</w:t>
            </w:r>
            <w:r w:rsidR="003C1D99" w:rsidRPr="00124680">
              <w:rPr>
                <w:noProof/>
                <w:webHidden/>
              </w:rPr>
              <w:fldChar w:fldCharType="end"/>
            </w:r>
          </w:hyperlink>
        </w:p>
        <w:p w14:paraId="71E7D873" w14:textId="77777777" w:rsidR="003C1D99" w:rsidRPr="00124680" w:rsidRDefault="008B5E15">
          <w:pPr>
            <w:pStyle w:val="TDC3"/>
            <w:tabs>
              <w:tab w:val="left" w:pos="1320"/>
              <w:tab w:val="right" w:leader="dot" w:pos="9394"/>
            </w:tabs>
            <w:rPr>
              <w:rFonts w:cstheme="minorBidi"/>
              <w:noProof/>
              <w:lang w:val="es-ES" w:eastAsia="es-ES"/>
            </w:rPr>
          </w:pPr>
          <w:hyperlink w:anchor="_Toc525652068" w:history="1">
            <w:r w:rsidR="003C1D99" w:rsidRPr="00124680">
              <w:rPr>
                <w:rStyle w:val="Hipervnculo"/>
                <w:rFonts w:ascii="Arial" w:eastAsia="Calibri" w:hAnsi="Arial" w:cs="Arial"/>
                <w:noProof/>
              </w:rPr>
              <w:t>2.2.1.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_Toc525652068 \h </w:instrText>
            </w:r>
            <w:r w:rsidR="003C1D99" w:rsidRPr="00124680">
              <w:rPr>
                <w:noProof/>
                <w:webHidden/>
              </w:rPr>
            </w:r>
            <w:r w:rsidR="003C1D99" w:rsidRPr="00124680">
              <w:rPr>
                <w:noProof/>
                <w:webHidden/>
              </w:rPr>
              <w:fldChar w:fldCharType="separate"/>
            </w:r>
            <w:r w:rsidR="003C1D99" w:rsidRPr="00124680">
              <w:rPr>
                <w:noProof/>
                <w:webHidden/>
              </w:rPr>
              <w:t>144</w:t>
            </w:r>
            <w:r w:rsidR="003C1D99" w:rsidRPr="00124680">
              <w:rPr>
                <w:noProof/>
                <w:webHidden/>
              </w:rPr>
              <w:fldChar w:fldCharType="end"/>
            </w:r>
          </w:hyperlink>
        </w:p>
        <w:p w14:paraId="6667B301" w14:textId="77777777" w:rsidR="003C1D99" w:rsidRPr="00124680" w:rsidRDefault="008B5E15">
          <w:pPr>
            <w:pStyle w:val="TDC3"/>
            <w:tabs>
              <w:tab w:val="left" w:pos="1320"/>
              <w:tab w:val="right" w:leader="dot" w:pos="9394"/>
            </w:tabs>
            <w:rPr>
              <w:rFonts w:cstheme="minorBidi"/>
              <w:noProof/>
              <w:lang w:val="es-ES" w:eastAsia="es-ES"/>
            </w:rPr>
          </w:pPr>
          <w:hyperlink w:anchor="_Toc525652069" w:history="1">
            <w:r w:rsidR="003C1D99" w:rsidRPr="00124680">
              <w:rPr>
                <w:rStyle w:val="Hipervnculo"/>
                <w:rFonts w:ascii="Arial" w:eastAsia="Calibri" w:hAnsi="Arial" w:cs="Arial"/>
                <w:noProof/>
              </w:rPr>
              <w:t>2.2.2.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_Toc525652069 \h </w:instrText>
            </w:r>
            <w:r w:rsidR="003C1D99" w:rsidRPr="00124680">
              <w:rPr>
                <w:noProof/>
                <w:webHidden/>
              </w:rPr>
            </w:r>
            <w:r w:rsidR="003C1D99" w:rsidRPr="00124680">
              <w:rPr>
                <w:noProof/>
                <w:webHidden/>
              </w:rPr>
              <w:fldChar w:fldCharType="separate"/>
            </w:r>
            <w:r w:rsidR="003C1D99" w:rsidRPr="00124680">
              <w:rPr>
                <w:noProof/>
                <w:webHidden/>
              </w:rPr>
              <w:t>147</w:t>
            </w:r>
            <w:r w:rsidR="003C1D99" w:rsidRPr="00124680">
              <w:rPr>
                <w:noProof/>
                <w:webHidden/>
              </w:rPr>
              <w:fldChar w:fldCharType="end"/>
            </w:r>
          </w:hyperlink>
        </w:p>
        <w:p w14:paraId="334B17B0"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70"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 LA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_Toc525652070 \h </w:instrText>
            </w:r>
            <w:r w:rsidR="003C1D99" w:rsidRPr="00124680">
              <w:rPr>
                <w:noProof/>
                <w:webHidden/>
              </w:rPr>
            </w:r>
            <w:r w:rsidR="003C1D99" w:rsidRPr="00124680">
              <w:rPr>
                <w:noProof/>
                <w:webHidden/>
              </w:rPr>
              <w:fldChar w:fldCharType="separate"/>
            </w:r>
            <w:r w:rsidR="003C1D99" w:rsidRPr="00124680">
              <w:rPr>
                <w:noProof/>
                <w:webHidden/>
              </w:rPr>
              <w:t>149</w:t>
            </w:r>
            <w:r w:rsidR="003C1D99" w:rsidRPr="00124680">
              <w:rPr>
                <w:noProof/>
                <w:webHidden/>
              </w:rPr>
              <w:fldChar w:fldCharType="end"/>
            </w:r>
          </w:hyperlink>
        </w:p>
        <w:p w14:paraId="62D88B1C" w14:textId="77777777" w:rsidR="003C1D99" w:rsidRPr="00124680" w:rsidRDefault="008B5E15">
          <w:pPr>
            <w:pStyle w:val="TDC2"/>
            <w:tabs>
              <w:tab w:val="left" w:pos="880"/>
              <w:tab w:val="right" w:leader="dot" w:pos="9394"/>
            </w:tabs>
            <w:rPr>
              <w:rFonts w:cstheme="minorBidi"/>
              <w:noProof/>
              <w:lang w:val="es-ES" w:eastAsia="es-ES"/>
            </w:rPr>
          </w:pPr>
          <w:hyperlink w:anchor="_Toc525652071" w:history="1">
            <w:r w:rsidR="003C1D99" w:rsidRPr="00124680">
              <w:rPr>
                <w:rStyle w:val="Hipervnculo"/>
                <w:rFonts w:ascii="Arial" w:eastAsia="Calibri" w:hAnsi="Arial" w:cs="Arial"/>
                <w:noProof/>
              </w:rPr>
              <w:t>3.1.</w:t>
            </w:r>
            <w:r w:rsidR="003C1D99" w:rsidRPr="00124680">
              <w:rPr>
                <w:rFonts w:cstheme="minorBidi"/>
                <w:noProof/>
                <w:lang w:val="es-ES" w:eastAsia="es-ES"/>
              </w:rPr>
              <w:tab/>
            </w:r>
            <w:r w:rsidR="003C1D99" w:rsidRPr="00124680">
              <w:rPr>
                <w:rStyle w:val="Hipervnculo"/>
                <w:rFonts w:ascii="Arial" w:eastAsia="Calibri" w:hAnsi="Arial" w:cs="Arial"/>
                <w:noProof/>
              </w:rPr>
              <w:t>Ejecución reservas presupuestales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_Toc525652071 \h </w:instrText>
            </w:r>
            <w:r w:rsidR="003C1D99" w:rsidRPr="00124680">
              <w:rPr>
                <w:noProof/>
                <w:webHidden/>
              </w:rPr>
            </w:r>
            <w:r w:rsidR="003C1D99" w:rsidRPr="00124680">
              <w:rPr>
                <w:noProof/>
                <w:webHidden/>
              </w:rPr>
              <w:fldChar w:fldCharType="separate"/>
            </w:r>
            <w:r w:rsidR="003C1D99" w:rsidRPr="00124680">
              <w:rPr>
                <w:noProof/>
                <w:webHidden/>
              </w:rPr>
              <w:t>150</w:t>
            </w:r>
            <w:r w:rsidR="003C1D99" w:rsidRPr="00124680">
              <w:rPr>
                <w:noProof/>
                <w:webHidden/>
              </w:rPr>
              <w:fldChar w:fldCharType="end"/>
            </w:r>
          </w:hyperlink>
        </w:p>
        <w:p w14:paraId="285D98A6" w14:textId="77777777" w:rsidR="003C1D99" w:rsidRPr="00124680" w:rsidRDefault="008B5E15">
          <w:pPr>
            <w:pStyle w:val="TDC2"/>
            <w:tabs>
              <w:tab w:val="left" w:pos="880"/>
              <w:tab w:val="right" w:leader="dot" w:pos="9394"/>
            </w:tabs>
            <w:rPr>
              <w:rFonts w:cstheme="minorBidi"/>
              <w:noProof/>
              <w:lang w:val="es-ES" w:eastAsia="es-ES"/>
            </w:rPr>
          </w:pPr>
          <w:hyperlink w:anchor="_Toc525652072" w:history="1">
            <w:r w:rsidR="003C1D99" w:rsidRPr="00124680">
              <w:rPr>
                <w:rStyle w:val="Hipervnculo"/>
                <w:rFonts w:ascii="Arial" w:eastAsia="Calibri" w:hAnsi="Arial" w:cs="Arial"/>
                <w:noProof/>
              </w:rPr>
              <w:t>3.2.</w:t>
            </w:r>
            <w:r w:rsidR="003C1D99" w:rsidRPr="00124680">
              <w:rPr>
                <w:rFonts w:cstheme="minorBidi"/>
                <w:noProof/>
                <w:lang w:val="es-ES" w:eastAsia="es-ES"/>
              </w:rPr>
              <w:tab/>
            </w:r>
            <w:r w:rsidR="003C1D99" w:rsidRPr="00124680">
              <w:rPr>
                <w:rStyle w:val="Hipervnculo"/>
                <w:rFonts w:ascii="Arial" w:eastAsia="Calibri" w:hAnsi="Arial" w:cs="Arial"/>
                <w:noProof/>
              </w:rPr>
              <w:t>Ejecución cuentas por pagar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_Toc525652072 \h </w:instrText>
            </w:r>
            <w:r w:rsidR="003C1D99" w:rsidRPr="00124680">
              <w:rPr>
                <w:noProof/>
                <w:webHidden/>
              </w:rPr>
            </w:r>
            <w:r w:rsidR="003C1D99" w:rsidRPr="00124680">
              <w:rPr>
                <w:noProof/>
                <w:webHidden/>
              </w:rPr>
              <w:fldChar w:fldCharType="separate"/>
            </w:r>
            <w:r w:rsidR="003C1D99" w:rsidRPr="00124680">
              <w:rPr>
                <w:noProof/>
                <w:webHidden/>
              </w:rPr>
              <w:t>150</w:t>
            </w:r>
            <w:r w:rsidR="003C1D99" w:rsidRPr="00124680">
              <w:rPr>
                <w:noProof/>
                <w:webHidden/>
              </w:rPr>
              <w:fldChar w:fldCharType="end"/>
            </w:r>
          </w:hyperlink>
        </w:p>
        <w:p w14:paraId="29B5EC3A"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73"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CONCLUSIONES Y RECOMENDACIONES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_Toc525652073 \h </w:instrText>
            </w:r>
            <w:r w:rsidR="003C1D99" w:rsidRPr="00124680">
              <w:rPr>
                <w:noProof/>
                <w:webHidden/>
              </w:rPr>
            </w:r>
            <w:r w:rsidR="003C1D99" w:rsidRPr="00124680">
              <w:rPr>
                <w:noProof/>
                <w:webHidden/>
              </w:rPr>
              <w:fldChar w:fldCharType="separate"/>
            </w:r>
            <w:r w:rsidR="003C1D99" w:rsidRPr="00124680">
              <w:rPr>
                <w:noProof/>
                <w:webHidden/>
              </w:rPr>
              <w:t>151</w:t>
            </w:r>
            <w:r w:rsidR="003C1D99" w:rsidRPr="00124680">
              <w:rPr>
                <w:noProof/>
                <w:webHidden/>
              </w:rPr>
              <w:fldChar w:fldCharType="end"/>
            </w:r>
          </w:hyperlink>
        </w:p>
        <w:p w14:paraId="43343155" w14:textId="77777777" w:rsidR="003C1D99" w:rsidRPr="00124680" w:rsidRDefault="008B5E15">
          <w:pPr>
            <w:pStyle w:val="TDC1"/>
            <w:tabs>
              <w:tab w:val="right" w:leader="dot" w:pos="9394"/>
            </w:tabs>
            <w:rPr>
              <w:rFonts w:eastAsiaTheme="minorEastAsia"/>
              <w:noProof/>
              <w:lang w:val="es-ES" w:eastAsia="es-ES"/>
            </w:rPr>
          </w:pPr>
          <w:hyperlink w:anchor="_Toc525652074" w:history="1">
            <w:r w:rsidR="003C1D99" w:rsidRPr="00124680">
              <w:rPr>
                <w:rStyle w:val="Hipervnculo"/>
                <w:rFonts w:ascii="Arial" w:eastAsia="Arial" w:hAnsi="Arial" w:cs="Arial"/>
                <w:b/>
                <w:noProof/>
                <w:lang w:eastAsia="es-CO"/>
              </w:rPr>
              <w:t>F. COMISION DE REGULACION DE ENERGIA Y GAS –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_Toc525652074 \h </w:instrText>
            </w:r>
            <w:r w:rsidR="003C1D99" w:rsidRPr="00124680">
              <w:rPr>
                <w:noProof/>
                <w:webHidden/>
              </w:rPr>
            </w:r>
            <w:r w:rsidR="003C1D99" w:rsidRPr="00124680">
              <w:rPr>
                <w:noProof/>
                <w:webHidden/>
              </w:rPr>
              <w:fldChar w:fldCharType="separate"/>
            </w:r>
            <w:r w:rsidR="003C1D99" w:rsidRPr="00124680">
              <w:rPr>
                <w:noProof/>
                <w:webHidden/>
              </w:rPr>
              <w:t>151</w:t>
            </w:r>
            <w:r w:rsidR="003C1D99" w:rsidRPr="00124680">
              <w:rPr>
                <w:noProof/>
                <w:webHidden/>
              </w:rPr>
              <w:fldChar w:fldCharType="end"/>
            </w:r>
          </w:hyperlink>
        </w:p>
        <w:p w14:paraId="44554F90"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75" w:history="1">
            <w:r w:rsidR="003C1D99" w:rsidRPr="00124680">
              <w:rPr>
                <w:rStyle w:val="Hipervnculo"/>
                <w:rFonts w:ascii="Arial" w:eastAsia="Arial" w:hAnsi="Arial" w:cs="Arial"/>
                <w:b/>
                <w:noProof/>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w:t>
            </w:r>
            <w:r w:rsidR="003C1D99" w:rsidRPr="00124680">
              <w:rPr>
                <w:rStyle w:val="Hipervnculo"/>
                <w:rFonts w:ascii="Arial" w:hAnsi="Arial" w:cs="Arial"/>
                <w:b/>
                <w:noProof/>
                <w:lang w:eastAsia="es-CO"/>
              </w:rPr>
              <w:t xml:space="preserve"> </w:t>
            </w:r>
            <w:r w:rsidR="003C1D99" w:rsidRPr="00124680">
              <w:rPr>
                <w:rStyle w:val="Hipervnculo"/>
                <w:rFonts w:ascii="Arial" w:eastAsia="Arial" w:hAnsi="Arial" w:cs="Arial"/>
                <w:b/>
                <w:noProof/>
                <w:lang w:eastAsia="es-CO"/>
              </w:rPr>
              <w:t>L</w:t>
            </w:r>
            <w:r w:rsidR="003C1D99" w:rsidRPr="00124680">
              <w:rPr>
                <w:rStyle w:val="Hipervnculo"/>
                <w:rFonts w:ascii="Arial" w:hAnsi="Arial" w:cs="Arial"/>
                <w:b/>
                <w:noProof/>
                <w:lang w:eastAsia="es-CO"/>
              </w:rPr>
              <w:t xml:space="preserve">A </w:t>
            </w:r>
            <w:r w:rsidR="003C1D99" w:rsidRPr="00124680">
              <w:rPr>
                <w:rStyle w:val="Hipervnculo"/>
                <w:rFonts w:ascii="Arial" w:eastAsia="Arial" w:hAnsi="Arial" w:cs="Arial"/>
                <w:b/>
                <w:noProof/>
                <w:lang w:eastAsia="es-CO"/>
              </w:rPr>
              <w:t>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_Toc525652075 \h </w:instrText>
            </w:r>
            <w:r w:rsidR="003C1D99" w:rsidRPr="00124680">
              <w:rPr>
                <w:noProof/>
                <w:webHidden/>
              </w:rPr>
            </w:r>
            <w:r w:rsidR="003C1D99" w:rsidRPr="00124680">
              <w:rPr>
                <w:noProof/>
                <w:webHidden/>
              </w:rPr>
              <w:fldChar w:fldCharType="separate"/>
            </w:r>
            <w:r w:rsidR="003C1D99" w:rsidRPr="00124680">
              <w:rPr>
                <w:noProof/>
                <w:webHidden/>
              </w:rPr>
              <w:t>151</w:t>
            </w:r>
            <w:r w:rsidR="003C1D99" w:rsidRPr="00124680">
              <w:rPr>
                <w:noProof/>
                <w:webHidden/>
              </w:rPr>
              <w:fldChar w:fldCharType="end"/>
            </w:r>
          </w:hyperlink>
        </w:p>
        <w:p w14:paraId="17DA1E4F" w14:textId="77777777" w:rsidR="003C1D99" w:rsidRPr="00124680" w:rsidRDefault="008B5E15">
          <w:pPr>
            <w:pStyle w:val="TDC2"/>
            <w:tabs>
              <w:tab w:val="left" w:pos="880"/>
              <w:tab w:val="right" w:leader="dot" w:pos="9394"/>
            </w:tabs>
            <w:rPr>
              <w:rFonts w:cstheme="minorBidi"/>
              <w:noProof/>
              <w:lang w:val="es-ES" w:eastAsia="es-ES"/>
            </w:rPr>
          </w:pPr>
          <w:hyperlink w:anchor="_Toc525652076"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 la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_Toc525652076 \h </w:instrText>
            </w:r>
            <w:r w:rsidR="003C1D99" w:rsidRPr="00124680">
              <w:rPr>
                <w:noProof/>
                <w:webHidden/>
              </w:rPr>
            </w:r>
            <w:r w:rsidR="003C1D99" w:rsidRPr="00124680">
              <w:rPr>
                <w:noProof/>
                <w:webHidden/>
              </w:rPr>
              <w:fldChar w:fldCharType="separate"/>
            </w:r>
            <w:r w:rsidR="003C1D99" w:rsidRPr="00124680">
              <w:rPr>
                <w:noProof/>
                <w:webHidden/>
              </w:rPr>
              <w:t>153</w:t>
            </w:r>
            <w:r w:rsidR="003C1D99" w:rsidRPr="00124680">
              <w:rPr>
                <w:noProof/>
                <w:webHidden/>
              </w:rPr>
              <w:fldChar w:fldCharType="end"/>
            </w:r>
          </w:hyperlink>
        </w:p>
        <w:p w14:paraId="25C96BC2" w14:textId="77777777" w:rsidR="003C1D99" w:rsidRPr="00124680" w:rsidRDefault="008B5E15">
          <w:pPr>
            <w:pStyle w:val="TDC2"/>
            <w:tabs>
              <w:tab w:val="left" w:pos="880"/>
              <w:tab w:val="right" w:leader="dot" w:pos="9394"/>
            </w:tabs>
            <w:rPr>
              <w:rFonts w:cstheme="minorBidi"/>
              <w:noProof/>
              <w:lang w:val="es-ES" w:eastAsia="es-ES"/>
            </w:rPr>
          </w:pPr>
          <w:hyperlink w:anchor="_Toc525652077"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 la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_Toc525652077 \h </w:instrText>
            </w:r>
            <w:r w:rsidR="003C1D99" w:rsidRPr="00124680">
              <w:rPr>
                <w:noProof/>
                <w:webHidden/>
              </w:rPr>
            </w:r>
            <w:r w:rsidR="003C1D99" w:rsidRPr="00124680">
              <w:rPr>
                <w:noProof/>
                <w:webHidden/>
              </w:rPr>
              <w:fldChar w:fldCharType="separate"/>
            </w:r>
            <w:r w:rsidR="003C1D99" w:rsidRPr="00124680">
              <w:rPr>
                <w:noProof/>
                <w:webHidden/>
              </w:rPr>
              <w:t>153</w:t>
            </w:r>
            <w:r w:rsidR="003C1D99" w:rsidRPr="00124680">
              <w:rPr>
                <w:noProof/>
                <w:webHidden/>
              </w:rPr>
              <w:fldChar w:fldCharType="end"/>
            </w:r>
          </w:hyperlink>
        </w:p>
        <w:p w14:paraId="3B37A7A6"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78"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INGRESOS Y GASTOS DE LA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_Toc525652078 \h </w:instrText>
            </w:r>
            <w:r w:rsidR="003C1D99" w:rsidRPr="00124680">
              <w:rPr>
                <w:noProof/>
                <w:webHidden/>
              </w:rPr>
            </w:r>
            <w:r w:rsidR="003C1D99" w:rsidRPr="00124680">
              <w:rPr>
                <w:noProof/>
                <w:webHidden/>
              </w:rPr>
              <w:fldChar w:fldCharType="separate"/>
            </w:r>
            <w:r w:rsidR="003C1D99" w:rsidRPr="00124680">
              <w:rPr>
                <w:noProof/>
                <w:webHidden/>
              </w:rPr>
              <w:t>154</w:t>
            </w:r>
            <w:r w:rsidR="003C1D99" w:rsidRPr="00124680">
              <w:rPr>
                <w:noProof/>
                <w:webHidden/>
              </w:rPr>
              <w:fldChar w:fldCharType="end"/>
            </w:r>
          </w:hyperlink>
        </w:p>
        <w:p w14:paraId="612771A8" w14:textId="77777777" w:rsidR="003C1D99" w:rsidRPr="00124680" w:rsidRDefault="008B5E15">
          <w:pPr>
            <w:pStyle w:val="TDC2"/>
            <w:tabs>
              <w:tab w:val="left" w:pos="880"/>
              <w:tab w:val="right" w:leader="dot" w:pos="9394"/>
            </w:tabs>
            <w:rPr>
              <w:rFonts w:cstheme="minorBidi"/>
              <w:noProof/>
              <w:lang w:val="es-ES" w:eastAsia="es-ES"/>
            </w:rPr>
          </w:pPr>
          <w:hyperlink w:anchor="_Toc525652079"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Ingresos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_Toc525652079 \h </w:instrText>
            </w:r>
            <w:r w:rsidR="003C1D99" w:rsidRPr="00124680">
              <w:rPr>
                <w:noProof/>
                <w:webHidden/>
              </w:rPr>
            </w:r>
            <w:r w:rsidR="003C1D99" w:rsidRPr="00124680">
              <w:rPr>
                <w:noProof/>
                <w:webHidden/>
              </w:rPr>
              <w:fldChar w:fldCharType="separate"/>
            </w:r>
            <w:r w:rsidR="003C1D99" w:rsidRPr="00124680">
              <w:rPr>
                <w:noProof/>
                <w:webHidden/>
              </w:rPr>
              <w:t>155</w:t>
            </w:r>
            <w:r w:rsidR="003C1D99" w:rsidRPr="00124680">
              <w:rPr>
                <w:noProof/>
                <w:webHidden/>
              </w:rPr>
              <w:fldChar w:fldCharType="end"/>
            </w:r>
          </w:hyperlink>
        </w:p>
        <w:p w14:paraId="41401884" w14:textId="77777777" w:rsidR="003C1D99" w:rsidRPr="00124680" w:rsidRDefault="008B5E15">
          <w:pPr>
            <w:pStyle w:val="TDC2"/>
            <w:tabs>
              <w:tab w:val="left" w:pos="880"/>
              <w:tab w:val="right" w:leader="dot" w:pos="9394"/>
            </w:tabs>
            <w:rPr>
              <w:rFonts w:cstheme="minorBidi"/>
              <w:noProof/>
              <w:lang w:val="es-ES" w:eastAsia="es-ES"/>
            </w:rPr>
          </w:pPr>
          <w:hyperlink w:anchor="_Toc525652080"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Gastos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_Toc525652080 \h </w:instrText>
            </w:r>
            <w:r w:rsidR="003C1D99" w:rsidRPr="00124680">
              <w:rPr>
                <w:noProof/>
                <w:webHidden/>
              </w:rPr>
            </w:r>
            <w:r w:rsidR="003C1D99" w:rsidRPr="00124680">
              <w:rPr>
                <w:noProof/>
                <w:webHidden/>
              </w:rPr>
              <w:fldChar w:fldCharType="separate"/>
            </w:r>
            <w:r w:rsidR="003C1D99" w:rsidRPr="00124680">
              <w:rPr>
                <w:noProof/>
                <w:webHidden/>
              </w:rPr>
              <w:t>157</w:t>
            </w:r>
            <w:r w:rsidR="003C1D99" w:rsidRPr="00124680">
              <w:rPr>
                <w:noProof/>
                <w:webHidden/>
              </w:rPr>
              <w:fldChar w:fldCharType="end"/>
            </w:r>
          </w:hyperlink>
        </w:p>
        <w:p w14:paraId="52F95BAA" w14:textId="77777777" w:rsidR="003C1D99" w:rsidRPr="00124680" w:rsidRDefault="008B5E15">
          <w:pPr>
            <w:pStyle w:val="TDC3"/>
            <w:tabs>
              <w:tab w:val="left" w:pos="1320"/>
              <w:tab w:val="right" w:leader="dot" w:pos="9394"/>
            </w:tabs>
            <w:rPr>
              <w:rFonts w:cstheme="minorBidi"/>
              <w:noProof/>
              <w:lang w:val="es-ES" w:eastAsia="es-ES"/>
            </w:rPr>
          </w:pPr>
          <w:hyperlink w:anchor="_Toc525652081" w:history="1">
            <w:r w:rsidR="003C1D99" w:rsidRPr="00124680">
              <w:rPr>
                <w:rStyle w:val="Hipervnculo"/>
                <w:rFonts w:ascii="Arial" w:eastAsia="Calibri" w:hAnsi="Arial" w:cs="Arial"/>
                <w:noProof/>
              </w:rPr>
              <w:t>2.2.1.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_Toc525652081 \h </w:instrText>
            </w:r>
            <w:r w:rsidR="003C1D99" w:rsidRPr="00124680">
              <w:rPr>
                <w:noProof/>
                <w:webHidden/>
              </w:rPr>
            </w:r>
            <w:r w:rsidR="003C1D99" w:rsidRPr="00124680">
              <w:rPr>
                <w:noProof/>
                <w:webHidden/>
              </w:rPr>
              <w:fldChar w:fldCharType="separate"/>
            </w:r>
            <w:r w:rsidR="003C1D99" w:rsidRPr="00124680">
              <w:rPr>
                <w:noProof/>
                <w:webHidden/>
              </w:rPr>
              <w:t>157</w:t>
            </w:r>
            <w:r w:rsidR="003C1D99" w:rsidRPr="00124680">
              <w:rPr>
                <w:noProof/>
                <w:webHidden/>
              </w:rPr>
              <w:fldChar w:fldCharType="end"/>
            </w:r>
          </w:hyperlink>
        </w:p>
        <w:p w14:paraId="433E6F2F" w14:textId="77777777" w:rsidR="003C1D99" w:rsidRPr="00124680" w:rsidRDefault="008B5E15">
          <w:pPr>
            <w:pStyle w:val="TDC3"/>
            <w:tabs>
              <w:tab w:val="left" w:pos="1320"/>
              <w:tab w:val="right" w:leader="dot" w:pos="9394"/>
            </w:tabs>
            <w:rPr>
              <w:rFonts w:cstheme="minorBidi"/>
              <w:noProof/>
              <w:lang w:val="es-ES" w:eastAsia="es-ES"/>
            </w:rPr>
          </w:pPr>
          <w:hyperlink w:anchor="_Toc525652082" w:history="1">
            <w:r w:rsidR="003C1D99" w:rsidRPr="00124680">
              <w:rPr>
                <w:rStyle w:val="Hipervnculo"/>
                <w:rFonts w:ascii="Arial" w:eastAsia="Calibri" w:hAnsi="Arial" w:cs="Arial"/>
                <w:noProof/>
              </w:rPr>
              <w:t>2.2.2.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_Toc525652082 \h </w:instrText>
            </w:r>
            <w:r w:rsidR="003C1D99" w:rsidRPr="00124680">
              <w:rPr>
                <w:noProof/>
                <w:webHidden/>
              </w:rPr>
            </w:r>
            <w:r w:rsidR="003C1D99" w:rsidRPr="00124680">
              <w:rPr>
                <w:noProof/>
                <w:webHidden/>
              </w:rPr>
              <w:fldChar w:fldCharType="separate"/>
            </w:r>
            <w:r w:rsidR="003C1D99" w:rsidRPr="00124680">
              <w:rPr>
                <w:noProof/>
                <w:webHidden/>
              </w:rPr>
              <w:t>160</w:t>
            </w:r>
            <w:r w:rsidR="003C1D99" w:rsidRPr="00124680">
              <w:rPr>
                <w:noProof/>
                <w:webHidden/>
              </w:rPr>
              <w:fldChar w:fldCharType="end"/>
            </w:r>
          </w:hyperlink>
        </w:p>
        <w:p w14:paraId="4D3C4387"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83"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 LA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_Toc525652083 \h </w:instrText>
            </w:r>
            <w:r w:rsidR="003C1D99" w:rsidRPr="00124680">
              <w:rPr>
                <w:noProof/>
                <w:webHidden/>
              </w:rPr>
            </w:r>
            <w:r w:rsidR="003C1D99" w:rsidRPr="00124680">
              <w:rPr>
                <w:noProof/>
                <w:webHidden/>
              </w:rPr>
              <w:fldChar w:fldCharType="separate"/>
            </w:r>
            <w:r w:rsidR="003C1D99" w:rsidRPr="00124680">
              <w:rPr>
                <w:noProof/>
                <w:webHidden/>
              </w:rPr>
              <w:t>165</w:t>
            </w:r>
            <w:r w:rsidR="003C1D99" w:rsidRPr="00124680">
              <w:rPr>
                <w:noProof/>
                <w:webHidden/>
              </w:rPr>
              <w:fldChar w:fldCharType="end"/>
            </w:r>
          </w:hyperlink>
        </w:p>
        <w:p w14:paraId="1BF769A3" w14:textId="77777777" w:rsidR="003C1D99" w:rsidRPr="00124680" w:rsidRDefault="008B5E15">
          <w:pPr>
            <w:pStyle w:val="TDC2"/>
            <w:tabs>
              <w:tab w:val="left" w:pos="880"/>
              <w:tab w:val="right" w:leader="dot" w:pos="9394"/>
            </w:tabs>
            <w:rPr>
              <w:rFonts w:cstheme="minorBidi"/>
              <w:noProof/>
              <w:lang w:val="es-ES" w:eastAsia="es-ES"/>
            </w:rPr>
          </w:pPr>
          <w:hyperlink w:anchor="_Toc525652084" w:history="1">
            <w:r w:rsidR="003C1D99" w:rsidRPr="00124680">
              <w:rPr>
                <w:rStyle w:val="Hipervnculo"/>
                <w:rFonts w:ascii="Arial" w:eastAsia="Calibri" w:hAnsi="Arial" w:cs="Arial"/>
                <w:noProof/>
              </w:rPr>
              <w:t>3.1.</w:t>
            </w:r>
            <w:r w:rsidR="003C1D99" w:rsidRPr="00124680">
              <w:rPr>
                <w:rFonts w:cstheme="minorBidi"/>
                <w:noProof/>
                <w:lang w:val="es-ES" w:eastAsia="es-ES"/>
              </w:rPr>
              <w:tab/>
            </w:r>
            <w:r w:rsidR="003C1D99" w:rsidRPr="00124680">
              <w:rPr>
                <w:rStyle w:val="Hipervnculo"/>
                <w:rFonts w:ascii="Arial" w:eastAsia="Calibri" w:hAnsi="Arial" w:cs="Arial"/>
                <w:noProof/>
              </w:rPr>
              <w:t>Ejecución reservas presupuestales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_Toc525652084 \h </w:instrText>
            </w:r>
            <w:r w:rsidR="003C1D99" w:rsidRPr="00124680">
              <w:rPr>
                <w:noProof/>
                <w:webHidden/>
              </w:rPr>
            </w:r>
            <w:r w:rsidR="003C1D99" w:rsidRPr="00124680">
              <w:rPr>
                <w:noProof/>
                <w:webHidden/>
              </w:rPr>
              <w:fldChar w:fldCharType="separate"/>
            </w:r>
            <w:r w:rsidR="003C1D99" w:rsidRPr="00124680">
              <w:rPr>
                <w:noProof/>
                <w:webHidden/>
              </w:rPr>
              <w:t>165</w:t>
            </w:r>
            <w:r w:rsidR="003C1D99" w:rsidRPr="00124680">
              <w:rPr>
                <w:noProof/>
                <w:webHidden/>
              </w:rPr>
              <w:fldChar w:fldCharType="end"/>
            </w:r>
          </w:hyperlink>
        </w:p>
        <w:p w14:paraId="7D9C52A6" w14:textId="77777777" w:rsidR="003C1D99" w:rsidRPr="00124680" w:rsidRDefault="008B5E15">
          <w:pPr>
            <w:pStyle w:val="TDC2"/>
            <w:tabs>
              <w:tab w:val="left" w:pos="880"/>
              <w:tab w:val="right" w:leader="dot" w:pos="9394"/>
            </w:tabs>
            <w:rPr>
              <w:rFonts w:cstheme="minorBidi"/>
              <w:noProof/>
              <w:lang w:val="es-ES" w:eastAsia="es-ES"/>
            </w:rPr>
          </w:pPr>
          <w:hyperlink w:anchor="_Toc525652085" w:history="1">
            <w:r w:rsidR="003C1D99" w:rsidRPr="00124680">
              <w:rPr>
                <w:rStyle w:val="Hipervnculo"/>
                <w:rFonts w:ascii="Arial" w:eastAsia="Calibri" w:hAnsi="Arial" w:cs="Arial"/>
                <w:noProof/>
              </w:rPr>
              <w:t>3.2.</w:t>
            </w:r>
            <w:r w:rsidR="003C1D99" w:rsidRPr="00124680">
              <w:rPr>
                <w:rFonts w:cstheme="minorBidi"/>
                <w:noProof/>
                <w:lang w:val="es-ES" w:eastAsia="es-ES"/>
              </w:rPr>
              <w:tab/>
            </w:r>
            <w:r w:rsidR="003C1D99" w:rsidRPr="00124680">
              <w:rPr>
                <w:rStyle w:val="Hipervnculo"/>
                <w:rFonts w:ascii="Arial" w:eastAsia="Calibri" w:hAnsi="Arial" w:cs="Arial"/>
                <w:noProof/>
              </w:rPr>
              <w:t>Ejecución cuentas por pagar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_Toc525652085 \h </w:instrText>
            </w:r>
            <w:r w:rsidR="003C1D99" w:rsidRPr="00124680">
              <w:rPr>
                <w:noProof/>
                <w:webHidden/>
              </w:rPr>
            </w:r>
            <w:r w:rsidR="003C1D99" w:rsidRPr="00124680">
              <w:rPr>
                <w:noProof/>
                <w:webHidden/>
              </w:rPr>
              <w:fldChar w:fldCharType="separate"/>
            </w:r>
            <w:r w:rsidR="003C1D99" w:rsidRPr="00124680">
              <w:rPr>
                <w:noProof/>
                <w:webHidden/>
              </w:rPr>
              <w:t>166</w:t>
            </w:r>
            <w:r w:rsidR="003C1D99" w:rsidRPr="00124680">
              <w:rPr>
                <w:noProof/>
                <w:webHidden/>
              </w:rPr>
              <w:fldChar w:fldCharType="end"/>
            </w:r>
          </w:hyperlink>
        </w:p>
        <w:p w14:paraId="711BB299"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86"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CONCLUSIONES Y /O COMENTARIOS</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_Toc525652086 \h </w:instrText>
            </w:r>
            <w:r w:rsidR="003C1D99" w:rsidRPr="00124680">
              <w:rPr>
                <w:noProof/>
                <w:webHidden/>
              </w:rPr>
            </w:r>
            <w:r w:rsidR="003C1D99" w:rsidRPr="00124680">
              <w:rPr>
                <w:noProof/>
                <w:webHidden/>
              </w:rPr>
              <w:fldChar w:fldCharType="separate"/>
            </w:r>
            <w:r w:rsidR="003C1D99" w:rsidRPr="00124680">
              <w:rPr>
                <w:noProof/>
                <w:webHidden/>
              </w:rPr>
              <w:t>166</w:t>
            </w:r>
            <w:r w:rsidR="003C1D99" w:rsidRPr="00124680">
              <w:rPr>
                <w:noProof/>
                <w:webHidden/>
              </w:rPr>
              <w:fldChar w:fldCharType="end"/>
            </w:r>
          </w:hyperlink>
        </w:p>
        <w:p w14:paraId="4E9F8101" w14:textId="77777777" w:rsidR="003C1D99" w:rsidRPr="00124680" w:rsidRDefault="008B5E15">
          <w:pPr>
            <w:pStyle w:val="TDC1"/>
            <w:tabs>
              <w:tab w:val="right" w:leader="dot" w:pos="9394"/>
            </w:tabs>
            <w:rPr>
              <w:rFonts w:eastAsiaTheme="minorEastAsia"/>
              <w:noProof/>
              <w:lang w:val="es-ES" w:eastAsia="es-ES"/>
            </w:rPr>
          </w:pPr>
          <w:hyperlink w:anchor="_Toc525652087" w:history="1">
            <w:r w:rsidR="003C1D99" w:rsidRPr="00124680">
              <w:rPr>
                <w:rStyle w:val="Hipervnculo"/>
                <w:rFonts w:ascii="Arial" w:eastAsia="Arial" w:hAnsi="Arial" w:cs="Arial"/>
                <w:b/>
                <w:noProof/>
                <w:lang w:eastAsia="es-CO"/>
              </w:rPr>
              <w:t>G. UNIDAD DE PLANEACIÓN MINERO ENERGÉTICA –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_Toc525652087 \h </w:instrText>
            </w:r>
            <w:r w:rsidR="003C1D99" w:rsidRPr="00124680">
              <w:rPr>
                <w:noProof/>
                <w:webHidden/>
              </w:rPr>
            </w:r>
            <w:r w:rsidR="003C1D99" w:rsidRPr="00124680">
              <w:rPr>
                <w:noProof/>
                <w:webHidden/>
              </w:rPr>
              <w:fldChar w:fldCharType="separate"/>
            </w:r>
            <w:r w:rsidR="003C1D99" w:rsidRPr="00124680">
              <w:rPr>
                <w:noProof/>
                <w:webHidden/>
              </w:rPr>
              <w:t>167</w:t>
            </w:r>
            <w:r w:rsidR="003C1D99" w:rsidRPr="00124680">
              <w:rPr>
                <w:noProof/>
                <w:webHidden/>
              </w:rPr>
              <w:fldChar w:fldCharType="end"/>
            </w:r>
          </w:hyperlink>
        </w:p>
        <w:p w14:paraId="5824F315"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88" w:history="1">
            <w:r w:rsidR="003C1D99" w:rsidRPr="00124680">
              <w:rPr>
                <w:rStyle w:val="Hipervnculo"/>
                <w:rFonts w:ascii="Arial" w:eastAsia="Arial" w:hAnsi="Arial" w:cs="Arial"/>
                <w:b/>
                <w:noProof/>
                <w:lang w:eastAsia="es-CO"/>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DEL PRESUPUESTO DE</w:t>
            </w:r>
            <w:r w:rsidR="003C1D99" w:rsidRPr="00124680">
              <w:rPr>
                <w:rStyle w:val="Hipervnculo"/>
                <w:rFonts w:ascii="Arial" w:hAnsi="Arial" w:cs="Arial"/>
                <w:b/>
                <w:noProof/>
                <w:lang w:eastAsia="es-CO"/>
              </w:rPr>
              <w:t xml:space="preserve"> </w:t>
            </w:r>
            <w:r w:rsidR="003C1D99" w:rsidRPr="00124680">
              <w:rPr>
                <w:rStyle w:val="Hipervnculo"/>
                <w:rFonts w:ascii="Arial" w:eastAsia="Arial" w:hAnsi="Arial" w:cs="Arial"/>
                <w:b/>
                <w:noProof/>
                <w:lang w:eastAsia="es-CO"/>
              </w:rPr>
              <w:t>L</w:t>
            </w:r>
            <w:r w:rsidR="003C1D99" w:rsidRPr="00124680">
              <w:rPr>
                <w:rStyle w:val="Hipervnculo"/>
                <w:rFonts w:ascii="Arial" w:hAnsi="Arial" w:cs="Arial"/>
                <w:b/>
                <w:noProof/>
                <w:lang w:eastAsia="es-CO"/>
              </w:rPr>
              <w:t>A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_Toc525652088 \h </w:instrText>
            </w:r>
            <w:r w:rsidR="003C1D99" w:rsidRPr="00124680">
              <w:rPr>
                <w:noProof/>
                <w:webHidden/>
              </w:rPr>
            </w:r>
            <w:r w:rsidR="003C1D99" w:rsidRPr="00124680">
              <w:rPr>
                <w:noProof/>
                <w:webHidden/>
              </w:rPr>
              <w:fldChar w:fldCharType="separate"/>
            </w:r>
            <w:r w:rsidR="003C1D99" w:rsidRPr="00124680">
              <w:rPr>
                <w:noProof/>
                <w:webHidden/>
              </w:rPr>
              <w:t>167</w:t>
            </w:r>
            <w:r w:rsidR="003C1D99" w:rsidRPr="00124680">
              <w:rPr>
                <w:noProof/>
                <w:webHidden/>
              </w:rPr>
              <w:fldChar w:fldCharType="end"/>
            </w:r>
          </w:hyperlink>
        </w:p>
        <w:p w14:paraId="1C8E3FCD" w14:textId="77777777" w:rsidR="003C1D99" w:rsidRPr="00124680" w:rsidRDefault="008B5E15">
          <w:pPr>
            <w:pStyle w:val="TDC2"/>
            <w:tabs>
              <w:tab w:val="left" w:pos="880"/>
              <w:tab w:val="right" w:leader="dot" w:pos="9394"/>
            </w:tabs>
            <w:rPr>
              <w:rFonts w:cstheme="minorBidi"/>
              <w:noProof/>
              <w:lang w:val="es-ES" w:eastAsia="es-ES"/>
            </w:rPr>
          </w:pPr>
          <w:hyperlink w:anchor="_Toc525652089" w:history="1">
            <w:r w:rsidR="003C1D99" w:rsidRPr="00124680">
              <w:rPr>
                <w:rStyle w:val="Hipervnculo"/>
                <w:rFonts w:ascii="Arial" w:eastAsia="Calibri" w:hAnsi="Arial" w:cs="Arial"/>
                <w:noProof/>
              </w:rPr>
              <w:t>1.1.</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Funcionamiento de la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_Toc525652089 \h </w:instrText>
            </w:r>
            <w:r w:rsidR="003C1D99" w:rsidRPr="00124680">
              <w:rPr>
                <w:noProof/>
                <w:webHidden/>
              </w:rPr>
            </w:r>
            <w:r w:rsidR="003C1D99" w:rsidRPr="00124680">
              <w:rPr>
                <w:noProof/>
                <w:webHidden/>
              </w:rPr>
              <w:fldChar w:fldCharType="separate"/>
            </w:r>
            <w:r w:rsidR="003C1D99" w:rsidRPr="00124680">
              <w:rPr>
                <w:noProof/>
                <w:webHidden/>
              </w:rPr>
              <w:t>168</w:t>
            </w:r>
            <w:r w:rsidR="003C1D99" w:rsidRPr="00124680">
              <w:rPr>
                <w:noProof/>
                <w:webHidden/>
              </w:rPr>
              <w:fldChar w:fldCharType="end"/>
            </w:r>
          </w:hyperlink>
        </w:p>
        <w:p w14:paraId="183266C7" w14:textId="77777777" w:rsidR="003C1D99" w:rsidRPr="00124680" w:rsidRDefault="008B5E15">
          <w:pPr>
            <w:pStyle w:val="TDC2"/>
            <w:tabs>
              <w:tab w:val="left" w:pos="880"/>
              <w:tab w:val="right" w:leader="dot" w:pos="9394"/>
            </w:tabs>
            <w:rPr>
              <w:rFonts w:cstheme="minorBidi"/>
              <w:noProof/>
              <w:lang w:val="es-ES" w:eastAsia="es-ES"/>
            </w:rPr>
          </w:pPr>
          <w:hyperlink w:anchor="_Toc525652090" w:history="1">
            <w:r w:rsidR="003C1D99" w:rsidRPr="00124680">
              <w:rPr>
                <w:rStyle w:val="Hipervnculo"/>
                <w:rFonts w:ascii="Arial" w:eastAsia="Calibri" w:hAnsi="Arial" w:cs="Arial"/>
                <w:noProof/>
              </w:rPr>
              <w:t>1.2.</w:t>
            </w:r>
            <w:r w:rsidR="003C1D99" w:rsidRPr="00124680">
              <w:rPr>
                <w:rFonts w:cstheme="minorBidi"/>
                <w:noProof/>
                <w:lang w:val="es-ES" w:eastAsia="es-ES"/>
              </w:rPr>
              <w:tab/>
            </w:r>
            <w:r w:rsidR="003C1D99" w:rsidRPr="00124680">
              <w:rPr>
                <w:rStyle w:val="Hipervnculo"/>
                <w:rFonts w:ascii="Arial" w:eastAsia="Calibri" w:hAnsi="Arial" w:cs="Arial"/>
                <w:noProof/>
              </w:rPr>
              <w:t>Composición del Presupuesto de Inversión de la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_Toc525652090 \h </w:instrText>
            </w:r>
            <w:r w:rsidR="003C1D99" w:rsidRPr="00124680">
              <w:rPr>
                <w:noProof/>
                <w:webHidden/>
              </w:rPr>
            </w:r>
            <w:r w:rsidR="003C1D99" w:rsidRPr="00124680">
              <w:rPr>
                <w:noProof/>
                <w:webHidden/>
              </w:rPr>
              <w:fldChar w:fldCharType="separate"/>
            </w:r>
            <w:r w:rsidR="003C1D99" w:rsidRPr="00124680">
              <w:rPr>
                <w:noProof/>
                <w:webHidden/>
              </w:rPr>
              <w:t>168</w:t>
            </w:r>
            <w:r w:rsidR="003C1D99" w:rsidRPr="00124680">
              <w:rPr>
                <w:noProof/>
                <w:webHidden/>
              </w:rPr>
              <w:fldChar w:fldCharType="end"/>
            </w:r>
          </w:hyperlink>
        </w:p>
        <w:p w14:paraId="609DA8D2" w14:textId="77777777" w:rsidR="003C1D99" w:rsidRPr="00124680" w:rsidRDefault="008B5E15">
          <w:pPr>
            <w:pStyle w:val="TDC1"/>
            <w:tabs>
              <w:tab w:val="right" w:leader="dot" w:pos="9394"/>
            </w:tabs>
            <w:rPr>
              <w:rFonts w:eastAsiaTheme="minorEastAsia"/>
              <w:noProof/>
              <w:lang w:val="es-ES" w:eastAsia="es-ES"/>
            </w:rPr>
          </w:pPr>
          <w:hyperlink w:anchor="_Toc525652091" w:history="1">
            <w:r w:rsidR="003C1D99" w:rsidRPr="00124680">
              <w:rPr>
                <w:rStyle w:val="Hipervnculo"/>
                <w:rFonts w:ascii="Arial" w:eastAsia="Arial" w:hAnsi="Arial" w:cs="Arial"/>
                <w:b/>
                <w:noProof/>
                <w:lang w:eastAsia="es-CO"/>
              </w:rPr>
              <w:t>2. INGRESOS Y GASTOS DE LA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_Toc525652091 \h </w:instrText>
            </w:r>
            <w:r w:rsidR="003C1D99" w:rsidRPr="00124680">
              <w:rPr>
                <w:noProof/>
                <w:webHidden/>
              </w:rPr>
            </w:r>
            <w:r w:rsidR="003C1D99" w:rsidRPr="00124680">
              <w:rPr>
                <w:noProof/>
                <w:webHidden/>
              </w:rPr>
              <w:fldChar w:fldCharType="separate"/>
            </w:r>
            <w:r w:rsidR="003C1D99" w:rsidRPr="00124680">
              <w:rPr>
                <w:noProof/>
                <w:webHidden/>
              </w:rPr>
              <w:t>169</w:t>
            </w:r>
            <w:r w:rsidR="003C1D99" w:rsidRPr="00124680">
              <w:rPr>
                <w:noProof/>
                <w:webHidden/>
              </w:rPr>
              <w:fldChar w:fldCharType="end"/>
            </w:r>
          </w:hyperlink>
        </w:p>
        <w:p w14:paraId="1B6279E6" w14:textId="77777777" w:rsidR="003C1D99" w:rsidRPr="00124680" w:rsidRDefault="008B5E15">
          <w:pPr>
            <w:pStyle w:val="TDC2"/>
            <w:tabs>
              <w:tab w:val="left" w:pos="880"/>
              <w:tab w:val="right" w:leader="dot" w:pos="9394"/>
            </w:tabs>
            <w:rPr>
              <w:rFonts w:cstheme="minorBidi"/>
              <w:noProof/>
              <w:lang w:val="es-ES" w:eastAsia="es-ES"/>
            </w:rPr>
          </w:pPr>
          <w:hyperlink w:anchor="_Toc525652092" w:history="1">
            <w:r w:rsidR="003C1D99" w:rsidRPr="00124680">
              <w:rPr>
                <w:rStyle w:val="Hipervnculo"/>
                <w:rFonts w:ascii="Arial" w:eastAsia="Calibri" w:hAnsi="Arial" w:cs="Arial"/>
                <w:noProof/>
              </w:rPr>
              <w:t>2.1.</w:t>
            </w:r>
            <w:r w:rsidR="003C1D99" w:rsidRPr="00124680">
              <w:rPr>
                <w:rFonts w:cstheme="minorBidi"/>
                <w:noProof/>
                <w:lang w:val="es-ES" w:eastAsia="es-ES"/>
              </w:rPr>
              <w:tab/>
            </w:r>
            <w:r w:rsidR="003C1D99" w:rsidRPr="00124680">
              <w:rPr>
                <w:rStyle w:val="Hipervnculo"/>
                <w:rFonts w:ascii="Arial" w:eastAsia="Calibri" w:hAnsi="Arial" w:cs="Arial"/>
                <w:noProof/>
              </w:rPr>
              <w:t>Ingresos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_Toc525652092 \h </w:instrText>
            </w:r>
            <w:r w:rsidR="003C1D99" w:rsidRPr="00124680">
              <w:rPr>
                <w:noProof/>
                <w:webHidden/>
              </w:rPr>
            </w:r>
            <w:r w:rsidR="003C1D99" w:rsidRPr="00124680">
              <w:rPr>
                <w:noProof/>
                <w:webHidden/>
              </w:rPr>
              <w:fldChar w:fldCharType="separate"/>
            </w:r>
            <w:r w:rsidR="003C1D99" w:rsidRPr="00124680">
              <w:rPr>
                <w:noProof/>
                <w:webHidden/>
              </w:rPr>
              <w:t>170</w:t>
            </w:r>
            <w:r w:rsidR="003C1D99" w:rsidRPr="00124680">
              <w:rPr>
                <w:noProof/>
                <w:webHidden/>
              </w:rPr>
              <w:fldChar w:fldCharType="end"/>
            </w:r>
          </w:hyperlink>
        </w:p>
        <w:p w14:paraId="2BEB3ED4" w14:textId="77777777" w:rsidR="003C1D99" w:rsidRPr="00124680" w:rsidRDefault="008B5E15">
          <w:pPr>
            <w:pStyle w:val="TDC2"/>
            <w:tabs>
              <w:tab w:val="left" w:pos="880"/>
              <w:tab w:val="right" w:leader="dot" w:pos="9394"/>
            </w:tabs>
            <w:rPr>
              <w:rFonts w:cstheme="minorBidi"/>
              <w:noProof/>
              <w:lang w:val="es-ES" w:eastAsia="es-ES"/>
            </w:rPr>
          </w:pPr>
          <w:hyperlink w:anchor="_Toc525652093" w:history="1">
            <w:r w:rsidR="003C1D99" w:rsidRPr="00124680">
              <w:rPr>
                <w:rStyle w:val="Hipervnculo"/>
                <w:rFonts w:ascii="Arial" w:eastAsia="Calibri" w:hAnsi="Arial" w:cs="Arial"/>
                <w:noProof/>
              </w:rPr>
              <w:t>2.2.</w:t>
            </w:r>
            <w:r w:rsidR="003C1D99" w:rsidRPr="00124680">
              <w:rPr>
                <w:rFonts w:cstheme="minorBidi"/>
                <w:noProof/>
                <w:lang w:val="es-ES" w:eastAsia="es-ES"/>
              </w:rPr>
              <w:tab/>
            </w:r>
            <w:r w:rsidR="003C1D99" w:rsidRPr="00124680">
              <w:rPr>
                <w:rStyle w:val="Hipervnculo"/>
                <w:rFonts w:ascii="Arial" w:eastAsia="Calibri" w:hAnsi="Arial" w:cs="Arial"/>
                <w:noProof/>
              </w:rPr>
              <w:t>Gastos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_Toc525652093 \h </w:instrText>
            </w:r>
            <w:r w:rsidR="003C1D99" w:rsidRPr="00124680">
              <w:rPr>
                <w:noProof/>
                <w:webHidden/>
              </w:rPr>
            </w:r>
            <w:r w:rsidR="003C1D99" w:rsidRPr="00124680">
              <w:rPr>
                <w:noProof/>
                <w:webHidden/>
              </w:rPr>
              <w:fldChar w:fldCharType="separate"/>
            </w:r>
            <w:r w:rsidR="003C1D99" w:rsidRPr="00124680">
              <w:rPr>
                <w:noProof/>
                <w:webHidden/>
              </w:rPr>
              <w:t>171</w:t>
            </w:r>
            <w:r w:rsidR="003C1D99" w:rsidRPr="00124680">
              <w:rPr>
                <w:noProof/>
                <w:webHidden/>
              </w:rPr>
              <w:fldChar w:fldCharType="end"/>
            </w:r>
          </w:hyperlink>
        </w:p>
        <w:p w14:paraId="7AD60F6C" w14:textId="77777777" w:rsidR="003C1D99" w:rsidRPr="00124680" w:rsidRDefault="008B5E15">
          <w:pPr>
            <w:pStyle w:val="TDC3"/>
            <w:tabs>
              <w:tab w:val="left" w:pos="1320"/>
              <w:tab w:val="right" w:leader="dot" w:pos="9394"/>
            </w:tabs>
            <w:rPr>
              <w:rFonts w:cstheme="minorBidi"/>
              <w:noProof/>
              <w:lang w:val="es-ES" w:eastAsia="es-ES"/>
            </w:rPr>
          </w:pPr>
          <w:hyperlink w:anchor="_Toc525652094" w:history="1">
            <w:r w:rsidR="003C1D99" w:rsidRPr="00124680">
              <w:rPr>
                <w:rStyle w:val="Hipervnculo"/>
                <w:rFonts w:ascii="Arial" w:eastAsia="Calibri" w:hAnsi="Arial" w:cs="Arial"/>
                <w:noProof/>
              </w:rPr>
              <w:t>2.2.1.</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Funcionamiento</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_Toc525652094 \h </w:instrText>
            </w:r>
            <w:r w:rsidR="003C1D99" w:rsidRPr="00124680">
              <w:rPr>
                <w:noProof/>
                <w:webHidden/>
              </w:rPr>
            </w:r>
            <w:r w:rsidR="003C1D99" w:rsidRPr="00124680">
              <w:rPr>
                <w:noProof/>
                <w:webHidden/>
              </w:rPr>
              <w:fldChar w:fldCharType="separate"/>
            </w:r>
            <w:r w:rsidR="003C1D99" w:rsidRPr="00124680">
              <w:rPr>
                <w:noProof/>
                <w:webHidden/>
              </w:rPr>
              <w:t>172</w:t>
            </w:r>
            <w:r w:rsidR="003C1D99" w:rsidRPr="00124680">
              <w:rPr>
                <w:noProof/>
                <w:webHidden/>
              </w:rPr>
              <w:fldChar w:fldCharType="end"/>
            </w:r>
          </w:hyperlink>
        </w:p>
        <w:p w14:paraId="011A9C39" w14:textId="77777777" w:rsidR="003C1D99" w:rsidRPr="00124680" w:rsidRDefault="008B5E15">
          <w:pPr>
            <w:pStyle w:val="TDC3"/>
            <w:tabs>
              <w:tab w:val="left" w:pos="1320"/>
              <w:tab w:val="right" w:leader="dot" w:pos="9394"/>
            </w:tabs>
            <w:rPr>
              <w:rFonts w:cstheme="minorBidi"/>
              <w:noProof/>
              <w:lang w:val="es-ES" w:eastAsia="es-ES"/>
            </w:rPr>
          </w:pPr>
          <w:hyperlink w:anchor="_Toc525652095" w:history="1">
            <w:r w:rsidR="003C1D99" w:rsidRPr="00124680">
              <w:rPr>
                <w:rStyle w:val="Hipervnculo"/>
                <w:rFonts w:ascii="Arial" w:eastAsia="Calibri" w:hAnsi="Arial" w:cs="Arial"/>
                <w:noProof/>
              </w:rPr>
              <w:t>2.2.2.</w:t>
            </w:r>
            <w:r w:rsidR="003C1D99" w:rsidRPr="00124680">
              <w:rPr>
                <w:rFonts w:cstheme="minorBidi"/>
                <w:noProof/>
                <w:lang w:val="es-ES" w:eastAsia="es-ES"/>
              </w:rPr>
              <w:tab/>
            </w:r>
            <w:r w:rsidR="003C1D99" w:rsidRPr="00124680">
              <w:rPr>
                <w:rStyle w:val="Hipervnculo"/>
                <w:rFonts w:ascii="Arial" w:eastAsia="Calibri" w:hAnsi="Arial" w:cs="Arial"/>
                <w:noProof/>
              </w:rPr>
              <w:t>Ejecución presupuestal Gastos de Inversión</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_Toc525652095 \h </w:instrText>
            </w:r>
            <w:r w:rsidR="003C1D99" w:rsidRPr="00124680">
              <w:rPr>
                <w:noProof/>
                <w:webHidden/>
              </w:rPr>
            </w:r>
            <w:r w:rsidR="003C1D99" w:rsidRPr="00124680">
              <w:rPr>
                <w:noProof/>
                <w:webHidden/>
              </w:rPr>
              <w:fldChar w:fldCharType="separate"/>
            </w:r>
            <w:r w:rsidR="003C1D99" w:rsidRPr="00124680">
              <w:rPr>
                <w:noProof/>
                <w:webHidden/>
              </w:rPr>
              <w:t>173</w:t>
            </w:r>
            <w:r w:rsidR="003C1D99" w:rsidRPr="00124680">
              <w:rPr>
                <w:noProof/>
                <w:webHidden/>
              </w:rPr>
              <w:fldChar w:fldCharType="end"/>
            </w:r>
          </w:hyperlink>
        </w:p>
        <w:p w14:paraId="74E7DF17"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96"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COMPOSICIÓN REZAGO PRESUPUESTAL DE LA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_Toc525652096 \h </w:instrText>
            </w:r>
            <w:r w:rsidR="003C1D99" w:rsidRPr="00124680">
              <w:rPr>
                <w:noProof/>
                <w:webHidden/>
              </w:rPr>
            </w:r>
            <w:r w:rsidR="003C1D99" w:rsidRPr="00124680">
              <w:rPr>
                <w:noProof/>
                <w:webHidden/>
              </w:rPr>
              <w:fldChar w:fldCharType="separate"/>
            </w:r>
            <w:r w:rsidR="003C1D99" w:rsidRPr="00124680">
              <w:rPr>
                <w:noProof/>
                <w:webHidden/>
              </w:rPr>
              <w:t>176</w:t>
            </w:r>
            <w:r w:rsidR="003C1D99" w:rsidRPr="00124680">
              <w:rPr>
                <w:noProof/>
                <w:webHidden/>
              </w:rPr>
              <w:fldChar w:fldCharType="end"/>
            </w:r>
          </w:hyperlink>
        </w:p>
        <w:p w14:paraId="7E6671E2" w14:textId="77777777" w:rsidR="003C1D99" w:rsidRPr="00124680" w:rsidRDefault="008B5E15">
          <w:pPr>
            <w:pStyle w:val="TDC2"/>
            <w:tabs>
              <w:tab w:val="left" w:pos="880"/>
              <w:tab w:val="right" w:leader="dot" w:pos="9394"/>
            </w:tabs>
            <w:rPr>
              <w:rFonts w:cstheme="minorBidi"/>
              <w:noProof/>
              <w:lang w:val="es-ES" w:eastAsia="es-ES"/>
            </w:rPr>
          </w:pPr>
          <w:hyperlink w:anchor="_Toc525652097" w:history="1">
            <w:r w:rsidR="003C1D99" w:rsidRPr="00124680">
              <w:rPr>
                <w:rStyle w:val="Hipervnculo"/>
                <w:rFonts w:ascii="Arial" w:eastAsia="Calibri" w:hAnsi="Arial" w:cs="Arial"/>
                <w:noProof/>
              </w:rPr>
              <w:t>3.1.</w:t>
            </w:r>
            <w:r w:rsidR="003C1D99" w:rsidRPr="00124680">
              <w:rPr>
                <w:rFonts w:cstheme="minorBidi"/>
                <w:noProof/>
                <w:lang w:val="es-ES" w:eastAsia="es-ES"/>
              </w:rPr>
              <w:tab/>
            </w:r>
            <w:r w:rsidR="003C1D99" w:rsidRPr="00124680">
              <w:rPr>
                <w:rStyle w:val="Hipervnculo"/>
                <w:rFonts w:ascii="Arial" w:eastAsia="Calibri" w:hAnsi="Arial" w:cs="Arial"/>
                <w:noProof/>
              </w:rPr>
              <w:t>Ejecución reservas presupuestales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_Toc525652097 \h </w:instrText>
            </w:r>
            <w:r w:rsidR="003C1D99" w:rsidRPr="00124680">
              <w:rPr>
                <w:noProof/>
                <w:webHidden/>
              </w:rPr>
            </w:r>
            <w:r w:rsidR="003C1D99" w:rsidRPr="00124680">
              <w:rPr>
                <w:noProof/>
                <w:webHidden/>
              </w:rPr>
              <w:fldChar w:fldCharType="separate"/>
            </w:r>
            <w:r w:rsidR="003C1D99" w:rsidRPr="00124680">
              <w:rPr>
                <w:noProof/>
                <w:webHidden/>
              </w:rPr>
              <w:t>176</w:t>
            </w:r>
            <w:r w:rsidR="003C1D99" w:rsidRPr="00124680">
              <w:rPr>
                <w:noProof/>
                <w:webHidden/>
              </w:rPr>
              <w:fldChar w:fldCharType="end"/>
            </w:r>
          </w:hyperlink>
        </w:p>
        <w:p w14:paraId="3B2BF27F"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098"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CONCLUSIONES Y /O COMENTARIO</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_Toc525652098 \h </w:instrText>
            </w:r>
            <w:r w:rsidR="003C1D99" w:rsidRPr="00124680">
              <w:rPr>
                <w:noProof/>
                <w:webHidden/>
              </w:rPr>
            </w:r>
            <w:r w:rsidR="003C1D99" w:rsidRPr="00124680">
              <w:rPr>
                <w:noProof/>
                <w:webHidden/>
              </w:rPr>
              <w:fldChar w:fldCharType="separate"/>
            </w:r>
            <w:r w:rsidR="003C1D99" w:rsidRPr="00124680">
              <w:rPr>
                <w:noProof/>
                <w:webHidden/>
              </w:rPr>
              <w:t>176</w:t>
            </w:r>
            <w:r w:rsidR="003C1D99" w:rsidRPr="00124680">
              <w:rPr>
                <w:noProof/>
                <w:webHidden/>
              </w:rPr>
              <w:fldChar w:fldCharType="end"/>
            </w:r>
          </w:hyperlink>
        </w:p>
        <w:p w14:paraId="2002D4AB" w14:textId="77777777" w:rsidR="003C1D99" w:rsidRPr="00124680" w:rsidRDefault="008B5E15">
          <w:pPr>
            <w:pStyle w:val="TDC1"/>
            <w:tabs>
              <w:tab w:val="right" w:leader="dot" w:pos="9394"/>
            </w:tabs>
            <w:rPr>
              <w:rFonts w:eastAsiaTheme="minorEastAsia"/>
              <w:noProof/>
              <w:lang w:val="es-ES" w:eastAsia="es-ES"/>
            </w:rPr>
          </w:pPr>
          <w:hyperlink w:anchor="_Toc525652099" w:history="1">
            <w:r w:rsidR="003C1D99" w:rsidRPr="00124680">
              <w:rPr>
                <w:rStyle w:val="Hipervnculo"/>
                <w:rFonts w:ascii="Arial" w:eastAsia="Arial" w:hAnsi="Arial" w:cs="Arial"/>
                <w:b/>
                <w:noProof/>
                <w:lang w:eastAsia="es-CO"/>
              </w:rPr>
              <w:t>H. INFORME SPI PARA CUARTO TRIMESTRE 2017</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_Toc525652099 \h </w:instrText>
            </w:r>
            <w:r w:rsidR="003C1D99" w:rsidRPr="00124680">
              <w:rPr>
                <w:noProof/>
                <w:webHidden/>
              </w:rPr>
            </w:r>
            <w:r w:rsidR="003C1D99" w:rsidRPr="00124680">
              <w:rPr>
                <w:noProof/>
                <w:webHidden/>
              </w:rPr>
              <w:fldChar w:fldCharType="separate"/>
            </w:r>
            <w:r w:rsidR="003C1D99" w:rsidRPr="00124680">
              <w:rPr>
                <w:noProof/>
                <w:webHidden/>
              </w:rPr>
              <w:t>177</w:t>
            </w:r>
            <w:r w:rsidR="003C1D99" w:rsidRPr="00124680">
              <w:rPr>
                <w:noProof/>
                <w:webHidden/>
              </w:rPr>
              <w:fldChar w:fldCharType="end"/>
            </w:r>
          </w:hyperlink>
        </w:p>
        <w:p w14:paraId="27A5787E"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0" w:history="1">
            <w:r w:rsidR="003C1D99" w:rsidRPr="00124680">
              <w:rPr>
                <w:rStyle w:val="Hipervnculo"/>
                <w:rFonts w:ascii="Arial" w:eastAsia="Arial" w:hAnsi="Arial" w:cs="Arial"/>
                <w:b/>
                <w:noProof/>
                <w:lang w:eastAsia="es-CO"/>
              </w:rPr>
              <w:t>1.</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Informe del Sector de Minas y Energía.</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_Toc525652100 \h </w:instrText>
            </w:r>
            <w:r w:rsidR="003C1D99" w:rsidRPr="00124680">
              <w:rPr>
                <w:noProof/>
                <w:webHidden/>
              </w:rPr>
            </w:r>
            <w:r w:rsidR="003C1D99" w:rsidRPr="00124680">
              <w:rPr>
                <w:noProof/>
                <w:webHidden/>
              </w:rPr>
              <w:fldChar w:fldCharType="separate"/>
            </w:r>
            <w:r w:rsidR="003C1D99" w:rsidRPr="00124680">
              <w:rPr>
                <w:noProof/>
                <w:webHidden/>
              </w:rPr>
              <w:t>177</w:t>
            </w:r>
            <w:r w:rsidR="003C1D99" w:rsidRPr="00124680">
              <w:rPr>
                <w:noProof/>
                <w:webHidden/>
              </w:rPr>
              <w:fldChar w:fldCharType="end"/>
            </w:r>
          </w:hyperlink>
        </w:p>
        <w:p w14:paraId="120C417C"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1" w:history="1">
            <w:r w:rsidR="003C1D99" w:rsidRPr="00124680">
              <w:rPr>
                <w:rStyle w:val="Hipervnculo"/>
                <w:rFonts w:ascii="Arial" w:eastAsia="Arial" w:hAnsi="Arial" w:cs="Arial"/>
                <w:b/>
                <w:noProof/>
                <w:lang w:eastAsia="es-CO"/>
              </w:rPr>
              <w:t>2.</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Agencia Nacional de Hidrocarburos – ANH</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_Toc525652101 \h </w:instrText>
            </w:r>
            <w:r w:rsidR="003C1D99" w:rsidRPr="00124680">
              <w:rPr>
                <w:noProof/>
                <w:webHidden/>
              </w:rPr>
            </w:r>
            <w:r w:rsidR="003C1D99" w:rsidRPr="00124680">
              <w:rPr>
                <w:noProof/>
                <w:webHidden/>
              </w:rPr>
              <w:fldChar w:fldCharType="separate"/>
            </w:r>
            <w:r w:rsidR="003C1D99" w:rsidRPr="00124680">
              <w:rPr>
                <w:noProof/>
                <w:webHidden/>
              </w:rPr>
              <w:t>183</w:t>
            </w:r>
            <w:r w:rsidR="003C1D99" w:rsidRPr="00124680">
              <w:rPr>
                <w:noProof/>
                <w:webHidden/>
              </w:rPr>
              <w:fldChar w:fldCharType="end"/>
            </w:r>
          </w:hyperlink>
        </w:p>
        <w:p w14:paraId="7B38DF00"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2" w:history="1">
            <w:r w:rsidR="003C1D99" w:rsidRPr="00124680">
              <w:rPr>
                <w:rStyle w:val="Hipervnculo"/>
                <w:rFonts w:ascii="Arial" w:eastAsia="Arial" w:hAnsi="Arial" w:cs="Arial"/>
                <w:b/>
                <w:noProof/>
                <w:lang w:eastAsia="es-CO"/>
              </w:rPr>
              <w:t>3.</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Instituto De Planificación Y Promoción De Soluciones Energéticas Para Las Zonas No Interconectadas – IPSE.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_Toc525652102 \h </w:instrText>
            </w:r>
            <w:r w:rsidR="003C1D99" w:rsidRPr="00124680">
              <w:rPr>
                <w:noProof/>
                <w:webHidden/>
              </w:rPr>
            </w:r>
            <w:r w:rsidR="003C1D99" w:rsidRPr="00124680">
              <w:rPr>
                <w:noProof/>
                <w:webHidden/>
              </w:rPr>
              <w:fldChar w:fldCharType="separate"/>
            </w:r>
            <w:r w:rsidR="003C1D99" w:rsidRPr="00124680">
              <w:rPr>
                <w:noProof/>
                <w:webHidden/>
              </w:rPr>
              <w:t>185</w:t>
            </w:r>
            <w:r w:rsidR="003C1D99" w:rsidRPr="00124680">
              <w:rPr>
                <w:noProof/>
                <w:webHidden/>
              </w:rPr>
              <w:fldChar w:fldCharType="end"/>
            </w:r>
          </w:hyperlink>
        </w:p>
        <w:p w14:paraId="4FD0029A"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3" w:history="1">
            <w:r w:rsidR="003C1D99" w:rsidRPr="00124680">
              <w:rPr>
                <w:rStyle w:val="Hipervnculo"/>
                <w:rFonts w:ascii="Arial" w:eastAsia="Arial" w:hAnsi="Arial" w:cs="Arial"/>
                <w:b/>
                <w:noProof/>
                <w:lang w:eastAsia="es-CO"/>
              </w:rPr>
              <w:t>4.</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Comisión De Regulación De Energía Y Gas – CREG.</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_Toc525652103 \h </w:instrText>
            </w:r>
            <w:r w:rsidR="003C1D99" w:rsidRPr="00124680">
              <w:rPr>
                <w:noProof/>
                <w:webHidden/>
              </w:rPr>
            </w:r>
            <w:r w:rsidR="003C1D99" w:rsidRPr="00124680">
              <w:rPr>
                <w:noProof/>
                <w:webHidden/>
              </w:rPr>
              <w:fldChar w:fldCharType="separate"/>
            </w:r>
            <w:r w:rsidR="003C1D99" w:rsidRPr="00124680">
              <w:rPr>
                <w:noProof/>
                <w:webHidden/>
              </w:rPr>
              <w:t>187</w:t>
            </w:r>
            <w:r w:rsidR="003C1D99" w:rsidRPr="00124680">
              <w:rPr>
                <w:noProof/>
                <w:webHidden/>
              </w:rPr>
              <w:fldChar w:fldCharType="end"/>
            </w:r>
          </w:hyperlink>
        </w:p>
        <w:p w14:paraId="7A00B4AB"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4" w:history="1">
            <w:r w:rsidR="003C1D99" w:rsidRPr="00124680">
              <w:rPr>
                <w:rStyle w:val="Hipervnculo"/>
                <w:rFonts w:ascii="Arial" w:eastAsia="Arial" w:hAnsi="Arial" w:cs="Arial"/>
                <w:b/>
                <w:noProof/>
                <w:lang w:eastAsia="es-CO"/>
              </w:rPr>
              <w:t>5.</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Servicio Geológico Colombiano – SGC.</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_Toc525652104 \h </w:instrText>
            </w:r>
            <w:r w:rsidR="003C1D99" w:rsidRPr="00124680">
              <w:rPr>
                <w:noProof/>
                <w:webHidden/>
              </w:rPr>
            </w:r>
            <w:r w:rsidR="003C1D99" w:rsidRPr="00124680">
              <w:rPr>
                <w:noProof/>
                <w:webHidden/>
              </w:rPr>
              <w:fldChar w:fldCharType="separate"/>
            </w:r>
            <w:r w:rsidR="003C1D99" w:rsidRPr="00124680">
              <w:rPr>
                <w:noProof/>
                <w:webHidden/>
              </w:rPr>
              <w:t>189</w:t>
            </w:r>
            <w:r w:rsidR="003C1D99" w:rsidRPr="00124680">
              <w:rPr>
                <w:noProof/>
                <w:webHidden/>
              </w:rPr>
              <w:fldChar w:fldCharType="end"/>
            </w:r>
          </w:hyperlink>
        </w:p>
        <w:p w14:paraId="08200573"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5" w:history="1">
            <w:r w:rsidR="003C1D99" w:rsidRPr="00124680">
              <w:rPr>
                <w:rStyle w:val="Hipervnculo"/>
                <w:rFonts w:ascii="Arial" w:eastAsia="Arial" w:hAnsi="Arial" w:cs="Arial"/>
                <w:b/>
                <w:noProof/>
                <w:lang w:eastAsia="es-CO"/>
              </w:rPr>
              <w:t>6.</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Unidad De Planeación Minero Energética – UPME.</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_Toc525652105 \h </w:instrText>
            </w:r>
            <w:r w:rsidR="003C1D99" w:rsidRPr="00124680">
              <w:rPr>
                <w:noProof/>
                <w:webHidden/>
              </w:rPr>
            </w:r>
            <w:r w:rsidR="003C1D99" w:rsidRPr="00124680">
              <w:rPr>
                <w:noProof/>
                <w:webHidden/>
              </w:rPr>
              <w:fldChar w:fldCharType="separate"/>
            </w:r>
            <w:r w:rsidR="003C1D99" w:rsidRPr="00124680">
              <w:rPr>
                <w:noProof/>
                <w:webHidden/>
              </w:rPr>
              <w:t>191</w:t>
            </w:r>
            <w:r w:rsidR="003C1D99" w:rsidRPr="00124680">
              <w:rPr>
                <w:noProof/>
                <w:webHidden/>
              </w:rPr>
              <w:fldChar w:fldCharType="end"/>
            </w:r>
          </w:hyperlink>
        </w:p>
        <w:p w14:paraId="4F7DD409" w14:textId="77777777" w:rsidR="003C1D99" w:rsidRPr="00124680" w:rsidRDefault="008B5E15">
          <w:pPr>
            <w:pStyle w:val="TDC1"/>
            <w:tabs>
              <w:tab w:val="left" w:pos="440"/>
              <w:tab w:val="right" w:leader="dot" w:pos="9394"/>
            </w:tabs>
            <w:rPr>
              <w:rFonts w:eastAsiaTheme="minorEastAsia"/>
              <w:noProof/>
              <w:lang w:val="es-ES" w:eastAsia="es-ES"/>
            </w:rPr>
          </w:pPr>
          <w:hyperlink w:anchor="_Toc525652106" w:history="1">
            <w:r w:rsidR="003C1D99" w:rsidRPr="00124680">
              <w:rPr>
                <w:rStyle w:val="Hipervnculo"/>
                <w:rFonts w:ascii="Arial" w:eastAsia="Arial" w:hAnsi="Arial" w:cs="Arial"/>
                <w:b/>
                <w:noProof/>
                <w:lang w:eastAsia="es-CO"/>
              </w:rPr>
              <w:t>7.</w:t>
            </w:r>
            <w:r w:rsidR="003C1D99" w:rsidRPr="00124680">
              <w:rPr>
                <w:rFonts w:eastAsiaTheme="minorEastAsia"/>
                <w:noProof/>
                <w:lang w:val="es-ES" w:eastAsia="es-ES"/>
              </w:rPr>
              <w:tab/>
            </w:r>
            <w:r w:rsidR="003C1D99" w:rsidRPr="00124680">
              <w:rPr>
                <w:rStyle w:val="Hipervnculo"/>
                <w:rFonts w:ascii="Arial" w:eastAsia="Arial" w:hAnsi="Arial" w:cs="Arial"/>
                <w:b/>
                <w:noProof/>
                <w:lang w:eastAsia="es-CO"/>
              </w:rPr>
              <w:t>Agencia Nacional De Minería – ANM.</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_Toc525652106 \h </w:instrText>
            </w:r>
            <w:r w:rsidR="003C1D99" w:rsidRPr="00124680">
              <w:rPr>
                <w:noProof/>
                <w:webHidden/>
              </w:rPr>
            </w:r>
            <w:r w:rsidR="003C1D99" w:rsidRPr="00124680">
              <w:rPr>
                <w:noProof/>
                <w:webHidden/>
              </w:rPr>
              <w:fldChar w:fldCharType="separate"/>
            </w:r>
            <w:r w:rsidR="003C1D99" w:rsidRPr="00124680">
              <w:rPr>
                <w:noProof/>
                <w:webHidden/>
              </w:rPr>
              <w:t>193</w:t>
            </w:r>
            <w:r w:rsidR="003C1D99" w:rsidRPr="00124680">
              <w:rPr>
                <w:noProof/>
                <w:webHidden/>
              </w:rPr>
              <w:fldChar w:fldCharType="end"/>
            </w:r>
          </w:hyperlink>
        </w:p>
        <w:p w14:paraId="293C2D25" w14:textId="77777777" w:rsidR="003C1D99" w:rsidRPr="00124680" w:rsidRDefault="008B5E15">
          <w:pPr>
            <w:pStyle w:val="TDC1"/>
            <w:tabs>
              <w:tab w:val="right" w:leader="dot" w:pos="9394"/>
            </w:tabs>
            <w:rPr>
              <w:rFonts w:eastAsiaTheme="minorEastAsia"/>
              <w:noProof/>
              <w:lang w:val="es-ES" w:eastAsia="es-ES"/>
            </w:rPr>
          </w:pPr>
          <w:hyperlink w:anchor="_Toc525652107" w:history="1">
            <w:r w:rsidR="003C1D99" w:rsidRPr="00124680">
              <w:rPr>
                <w:rStyle w:val="Hipervnculo"/>
                <w:rFonts w:ascii="Arial" w:eastAsia="Arial" w:hAnsi="Arial" w:cs="Arial"/>
                <w:b/>
                <w:noProof/>
                <w:lang w:eastAsia="es-CO"/>
              </w:rPr>
              <w:t>I. CONCLUSIONES Y RECOMENDACIONES FINALES</w:t>
            </w:r>
            <w:r w:rsidR="003C1D99" w:rsidRPr="00124680">
              <w:rPr>
                <w:noProof/>
                <w:webHidden/>
              </w:rPr>
              <w:tab/>
            </w:r>
            <w:r w:rsidR="003C1D99" w:rsidRPr="00124680">
              <w:rPr>
                <w:noProof/>
                <w:webHidden/>
              </w:rPr>
              <w:fldChar w:fldCharType="begin"/>
            </w:r>
            <w:r w:rsidR="003C1D99" w:rsidRPr="00124680">
              <w:rPr>
                <w:noProof/>
                <w:webHidden/>
              </w:rPr>
              <w:instrText xml:space="preserve"> PAGEREF _Toc525652107 \h </w:instrText>
            </w:r>
            <w:r w:rsidR="003C1D99" w:rsidRPr="00124680">
              <w:rPr>
                <w:noProof/>
                <w:webHidden/>
              </w:rPr>
            </w:r>
            <w:r w:rsidR="003C1D99" w:rsidRPr="00124680">
              <w:rPr>
                <w:noProof/>
                <w:webHidden/>
              </w:rPr>
              <w:fldChar w:fldCharType="separate"/>
            </w:r>
            <w:r w:rsidR="003C1D99" w:rsidRPr="00124680">
              <w:rPr>
                <w:noProof/>
                <w:webHidden/>
              </w:rPr>
              <w:t>195</w:t>
            </w:r>
            <w:r w:rsidR="003C1D99" w:rsidRPr="00124680">
              <w:rPr>
                <w:noProof/>
                <w:webHidden/>
              </w:rPr>
              <w:fldChar w:fldCharType="end"/>
            </w:r>
          </w:hyperlink>
        </w:p>
        <w:p w14:paraId="54555B7C" w14:textId="77777777" w:rsidR="00C02282" w:rsidRPr="006A67B4" w:rsidRDefault="00C02282" w:rsidP="00C02282">
          <w:pPr>
            <w:rPr>
              <w:highlight w:val="yellow"/>
            </w:rPr>
          </w:pPr>
          <w:r w:rsidRPr="00124680">
            <w:rPr>
              <w:b/>
              <w:bCs/>
              <w:lang w:val="es-ES"/>
            </w:rPr>
            <w:fldChar w:fldCharType="end"/>
          </w:r>
        </w:p>
      </w:sdtContent>
    </w:sdt>
    <w:p w14:paraId="69A37425" w14:textId="77777777" w:rsidR="00C02282" w:rsidRPr="006A67B4" w:rsidRDefault="00C02282" w:rsidP="00C02282">
      <w:pPr>
        <w:spacing w:after="0" w:line="240" w:lineRule="auto"/>
        <w:rPr>
          <w:rFonts w:ascii="Arial" w:eastAsia="Calibri" w:hAnsi="Arial" w:cs="Arial"/>
          <w:highlight w:val="yellow"/>
        </w:rPr>
      </w:pPr>
    </w:p>
    <w:p w14:paraId="3EAB8FF3" w14:textId="77777777" w:rsidR="00C02282" w:rsidRPr="006A67B4" w:rsidRDefault="00C02282" w:rsidP="00C02282">
      <w:pPr>
        <w:spacing w:after="0" w:line="240" w:lineRule="auto"/>
        <w:rPr>
          <w:rFonts w:ascii="Arial" w:eastAsia="Calibri" w:hAnsi="Arial" w:cs="Arial"/>
          <w:highlight w:val="yellow"/>
        </w:rPr>
      </w:pPr>
    </w:p>
    <w:p w14:paraId="56BE3551" w14:textId="77777777" w:rsidR="00C02282" w:rsidRPr="006A67B4" w:rsidRDefault="00C02282" w:rsidP="00C02282">
      <w:pPr>
        <w:spacing w:after="0" w:line="240" w:lineRule="auto"/>
        <w:rPr>
          <w:rFonts w:ascii="Arial" w:eastAsia="Calibri" w:hAnsi="Arial" w:cs="Arial"/>
          <w:highlight w:val="yellow"/>
        </w:rPr>
      </w:pPr>
    </w:p>
    <w:p w14:paraId="5A104EAC" w14:textId="77777777" w:rsidR="00C02282" w:rsidRPr="006A67B4" w:rsidRDefault="00C02282" w:rsidP="00C02282">
      <w:pPr>
        <w:spacing w:after="0" w:line="240" w:lineRule="auto"/>
        <w:rPr>
          <w:rFonts w:ascii="Arial" w:eastAsia="Calibri" w:hAnsi="Arial" w:cs="Arial"/>
          <w:highlight w:val="yellow"/>
        </w:rPr>
      </w:pPr>
    </w:p>
    <w:p w14:paraId="3EA70C0E" w14:textId="77777777" w:rsidR="00C02282" w:rsidRPr="006A67B4" w:rsidRDefault="00C02282" w:rsidP="00C02282">
      <w:pPr>
        <w:spacing w:after="0" w:line="240" w:lineRule="auto"/>
        <w:rPr>
          <w:rFonts w:ascii="Arial" w:eastAsia="Calibri" w:hAnsi="Arial" w:cs="Arial"/>
          <w:highlight w:val="yellow"/>
        </w:rPr>
      </w:pPr>
    </w:p>
    <w:p w14:paraId="2C128308" w14:textId="08800AC3" w:rsidR="000551AB" w:rsidRPr="00C60EC6" w:rsidRDefault="000551AB" w:rsidP="000D4084">
      <w:pPr>
        <w:pStyle w:val="Ttulo1"/>
        <w:ind w:left="360"/>
        <w:rPr>
          <w:rFonts w:ascii="Arial" w:eastAsia="Arial" w:hAnsi="Arial" w:cs="Arial"/>
          <w:b/>
          <w:color w:val="auto"/>
          <w:sz w:val="22"/>
          <w:szCs w:val="22"/>
          <w:lang w:eastAsia="es-CO"/>
        </w:rPr>
      </w:pPr>
      <w:bookmarkStart w:id="0" w:name="_Toc525652001"/>
      <w:r w:rsidRPr="00C60EC6">
        <w:rPr>
          <w:rFonts w:ascii="Arial" w:eastAsia="Arial" w:hAnsi="Arial" w:cs="Arial"/>
          <w:b/>
          <w:color w:val="auto"/>
          <w:sz w:val="22"/>
          <w:szCs w:val="22"/>
          <w:lang w:eastAsia="es-CO"/>
        </w:rPr>
        <w:lastRenderedPageBreak/>
        <w:t>SECTOR MINAS Y ENERGÍA 2018</w:t>
      </w:r>
      <w:bookmarkEnd w:id="0"/>
      <w:r w:rsidRPr="00C60EC6">
        <w:rPr>
          <w:rFonts w:ascii="Arial" w:eastAsia="Arial" w:hAnsi="Arial" w:cs="Arial"/>
          <w:b/>
          <w:color w:val="auto"/>
          <w:sz w:val="22"/>
          <w:szCs w:val="22"/>
          <w:lang w:eastAsia="es-CO"/>
        </w:rPr>
        <w:t xml:space="preserve"> </w:t>
      </w:r>
    </w:p>
    <w:p w14:paraId="06125629" w14:textId="77777777" w:rsidR="000551AB" w:rsidRPr="00C60EC6" w:rsidRDefault="000551AB" w:rsidP="000551AB">
      <w:pPr>
        <w:spacing w:after="0" w:line="240" w:lineRule="auto"/>
        <w:ind w:left="426"/>
        <w:jc w:val="both"/>
        <w:rPr>
          <w:rFonts w:ascii="Arial" w:eastAsia="Arial" w:hAnsi="Arial" w:cs="Arial"/>
          <w:b/>
          <w:sz w:val="20"/>
          <w:szCs w:val="20"/>
          <w:lang w:eastAsia="es-CO"/>
        </w:rPr>
      </w:pPr>
    </w:p>
    <w:p w14:paraId="302B3D1E" w14:textId="43E74382" w:rsidR="00C7469E" w:rsidRPr="00C60EC6" w:rsidRDefault="00C7469E" w:rsidP="000551AB">
      <w:pPr>
        <w:pStyle w:val="Ttulo1"/>
        <w:numPr>
          <w:ilvl w:val="0"/>
          <w:numId w:val="4"/>
        </w:numPr>
        <w:ind w:left="426"/>
        <w:rPr>
          <w:rFonts w:ascii="Arial" w:eastAsia="Arial" w:hAnsi="Arial" w:cs="Arial"/>
          <w:b/>
          <w:color w:val="auto"/>
          <w:sz w:val="22"/>
          <w:szCs w:val="22"/>
          <w:lang w:eastAsia="es-CO"/>
        </w:rPr>
      </w:pPr>
      <w:bookmarkStart w:id="1" w:name="_Toc525652002"/>
      <w:r w:rsidRPr="00C60EC6">
        <w:rPr>
          <w:rFonts w:ascii="Arial" w:eastAsia="Arial" w:hAnsi="Arial" w:cs="Arial"/>
          <w:b/>
          <w:color w:val="auto"/>
          <w:sz w:val="22"/>
          <w:szCs w:val="22"/>
          <w:lang w:eastAsia="es-CO"/>
        </w:rPr>
        <w:t>COMPOSICI</w:t>
      </w:r>
      <w:r w:rsidR="008230EB" w:rsidRPr="00C60EC6">
        <w:rPr>
          <w:rFonts w:ascii="Arial" w:eastAsia="Arial" w:hAnsi="Arial" w:cs="Arial"/>
          <w:b/>
          <w:color w:val="auto"/>
          <w:sz w:val="22"/>
          <w:szCs w:val="22"/>
          <w:lang w:eastAsia="es-CO"/>
        </w:rPr>
        <w:t xml:space="preserve">ÓN DEL PRESUPUESTO DEL SECTOR </w:t>
      </w:r>
      <w:r w:rsidRPr="00C60EC6">
        <w:rPr>
          <w:rFonts w:ascii="Arial" w:eastAsia="Arial" w:hAnsi="Arial" w:cs="Arial"/>
          <w:b/>
          <w:color w:val="auto"/>
          <w:sz w:val="22"/>
          <w:szCs w:val="22"/>
          <w:lang w:eastAsia="es-CO"/>
        </w:rPr>
        <w:t>2018</w:t>
      </w:r>
      <w:bookmarkEnd w:id="1"/>
    </w:p>
    <w:p w14:paraId="05D474B4" w14:textId="77777777" w:rsidR="00C7469E" w:rsidRPr="00B226E0" w:rsidRDefault="00C7469E" w:rsidP="00C7469E">
      <w:pPr>
        <w:spacing w:after="0" w:line="240" w:lineRule="auto"/>
        <w:rPr>
          <w:rFonts w:ascii="Arial" w:eastAsia="Arial" w:hAnsi="Arial" w:cs="Arial"/>
          <w:sz w:val="20"/>
          <w:szCs w:val="20"/>
          <w:lang w:eastAsia="es-CO"/>
        </w:rPr>
      </w:pPr>
    </w:p>
    <w:p w14:paraId="428DD7D6" w14:textId="460DABD5" w:rsidR="00C7469E" w:rsidRPr="00B226E0" w:rsidRDefault="00F50B09" w:rsidP="00C7469E">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 xml:space="preserve">Al cierre del II trimestre </w:t>
      </w:r>
      <w:r w:rsidR="00C7469E" w:rsidRPr="00B226E0">
        <w:rPr>
          <w:rFonts w:ascii="Arial" w:eastAsia="Times New Roman" w:hAnsi="Arial" w:cs="Arial"/>
          <w:sz w:val="20"/>
          <w:szCs w:val="20"/>
          <w:lang w:eastAsia="es-CO"/>
        </w:rPr>
        <w:t>2018</w:t>
      </w:r>
      <w:r>
        <w:rPr>
          <w:rFonts w:ascii="Arial" w:eastAsia="Times New Roman" w:hAnsi="Arial" w:cs="Arial"/>
          <w:sz w:val="20"/>
          <w:szCs w:val="20"/>
          <w:lang w:eastAsia="es-CO"/>
        </w:rPr>
        <w:t xml:space="preserve"> y s</w:t>
      </w:r>
      <w:r w:rsidRPr="00F50B09">
        <w:rPr>
          <w:rFonts w:ascii="Arial" w:eastAsia="Times New Roman" w:hAnsi="Arial" w:cs="Arial"/>
          <w:sz w:val="20"/>
          <w:szCs w:val="20"/>
          <w:lang w:eastAsia="es-CO"/>
        </w:rPr>
        <w:t>egún Decreto No. 662 de 2018 expedido por el Ministerio de Hacienda y Crédito por el cual se aplazan unas apropiaciones en el Presupuesto General de la Nación de la vigencia fiscal de 2018 por valor de $</w:t>
      </w:r>
      <w:r>
        <w:rPr>
          <w:rFonts w:ascii="Arial" w:eastAsia="Times New Roman" w:hAnsi="Arial" w:cs="Arial"/>
          <w:sz w:val="20"/>
          <w:szCs w:val="20"/>
          <w:lang w:eastAsia="es-CO"/>
        </w:rPr>
        <w:t>56.482 millones de pesos por concepto de inversión. Por funcionamiento se aplazan recursos por $5.807 millones de pesos, para un total de $62.292 millones de pesos. Posterior a los aplazamientos efectuados e</w:t>
      </w:r>
      <w:r w:rsidRPr="00B226E0">
        <w:rPr>
          <w:rFonts w:ascii="Arial" w:eastAsia="Times New Roman" w:hAnsi="Arial" w:cs="Arial"/>
          <w:sz w:val="20"/>
          <w:szCs w:val="20"/>
          <w:lang w:eastAsia="es-CO"/>
        </w:rPr>
        <w:t>l presupuesto asignado para</w:t>
      </w:r>
      <w:r>
        <w:rPr>
          <w:rFonts w:ascii="Arial" w:eastAsia="Times New Roman" w:hAnsi="Arial" w:cs="Arial"/>
          <w:sz w:val="20"/>
          <w:szCs w:val="20"/>
          <w:lang w:eastAsia="es-CO"/>
        </w:rPr>
        <w:t xml:space="preserve"> el II trimestre </w:t>
      </w:r>
      <w:r w:rsidR="00C7469E" w:rsidRPr="00B226E0">
        <w:rPr>
          <w:rFonts w:ascii="Arial" w:eastAsia="Times New Roman" w:hAnsi="Arial" w:cs="Arial"/>
          <w:sz w:val="20"/>
          <w:szCs w:val="20"/>
          <w:lang w:eastAsia="es-CO"/>
        </w:rPr>
        <w:t>fue de $4</w:t>
      </w:r>
      <w:r w:rsidR="00361E41">
        <w:rPr>
          <w:rFonts w:ascii="Arial" w:eastAsia="Times New Roman" w:hAnsi="Arial" w:cs="Arial"/>
          <w:sz w:val="20"/>
          <w:szCs w:val="20"/>
          <w:lang w:eastAsia="es-CO"/>
        </w:rPr>
        <w:t>.259.007</w:t>
      </w:r>
      <w:r w:rsidR="00C7469E" w:rsidRPr="00B226E0">
        <w:rPr>
          <w:rFonts w:ascii="Arial" w:eastAsia="Times New Roman" w:hAnsi="Arial" w:cs="Arial"/>
          <w:sz w:val="20"/>
          <w:szCs w:val="20"/>
          <w:lang w:eastAsia="es-CO"/>
        </w:rPr>
        <w:t xml:space="preserve"> millones discriminado para Funcionamiento de $6</w:t>
      </w:r>
      <w:r w:rsidR="00361E41">
        <w:rPr>
          <w:rFonts w:ascii="Arial" w:eastAsia="Times New Roman" w:hAnsi="Arial" w:cs="Arial"/>
          <w:sz w:val="20"/>
          <w:szCs w:val="20"/>
          <w:lang w:eastAsia="es-CO"/>
        </w:rPr>
        <w:t>59.537</w:t>
      </w:r>
      <w:r w:rsidR="00C7469E" w:rsidRPr="00B226E0">
        <w:rPr>
          <w:rFonts w:ascii="Arial" w:eastAsia="Times New Roman" w:hAnsi="Arial" w:cs="Arial"/>
          <w:sz w:val="20"/>
          <w:szCs w:val="20"/>
          <w:lang w:eastAsia="es-CO"/>
        </w:rPr>
        <w:t xml:space="preserve"> millones y para Inversión de $3.</w:t>
      </w:r>
      <w:r w:rsidR="00361E41">
        <w:rPr>
          <w:rFonts w:ascii="Arial" w:eastAsia="Times New Roman" w:hAnsi="Arial" w:cs="Arial"/>
          <w:sz w:val="20"/>
          <w:szCs w:val="20"/>
          <w:lang w:eastAsia="es-CO"/>
        </w:rPr>
        <w:t>599470</w:t>
      </w:r>
      <w:r w:rsidR="00C7469E" w:rsidRPr="00B226E0">
        <w:rPr>
          <w:rFonts w:ascii="Arial" w:eastAsia="Times New Roman" w:hAnsi="Arial" w:cs="Arial"/>
          <w:sz w:val="20"/>
          <w:szCs w:val="20"/>
          <w:lang w:eastAsia="es-CO"/>
        </w:rPr>
        <w:t xml:space="preserve"> millones, distribuidos en un 15.4</w:t>
      </w:r>
      <w:r w:rsidR="00D85753">
        <w:rPr>
          <w:rFonts w:ascii="Arial" w:eastAsia="Times New Roman" w:hAnsi="Arial" w:cs="Arial"/>
          <w:sz w:val="20"/>
          <w:szCs w:val="20"/>
          <w:lang w:eastAsia="es-CO"/>
        </w:rPr>
        <w:t>9</w:t>
      </w:r>
      <w:r w:rsidR="00C7469E" w:rsidRPr="00B226E0">
        <w:rPr>
          <w:rFonts w:ascii="Arial" w:eastAsia="Times New Roman" w:hAnsi="Arial" w:cs="Arial"/>
          <w:sz w:val="20"/>
          <w:szCs w:val="20"/>
          <w:lang w:eastAsia="es-CO"/>
        </w:rPr>
        <w:t>% y 8</w:t>
      </w:r>
      <w:r w:rsidR="00D85753">
        <w:rPr>
          <w:rFonts w:ascii="Arial" w:eastAsia="Times New Roman" w:hAnsi="Arial" w:cs="Arial"/>
          <w:sz w:val="20"/>
          <w:szCs w:val="20"/>
          <w:lang w:eastAsia="es-CO"/>
        </w:rPr>
        <w:t>5,51</w:t>
      </w:r>
      <w:r w:rsidR="00C7469E" w:rsidRPr="00B226E0">
        <w:rPr>
          <w:rFonts w:ascii="Arial" w:eastAsia="Times New Roman" w:hAnsi="Arial" w:cs="Arial"/>
          <w:sz w:val="20"/>
          <w:szCs w:val="20"/>
          <w:lang w:eastAsia="es-CO"/>
        </w:rPr>
        <w:t>% respectivamente como se observa en la siguiente gráfica.</w:t>
      </w:r>
    </w:p>
    <w:p w14:paraId="569DFA4B" w14:textId="77777777" w:rsidR="00C7469E" w:rsidRPr="00B226E0" w:rsidRDefault="00C7469E" w:rsidP="00C7469E">
      <w:pPr>
        <w:spacing w:after="0" w:line="240" w:lineRule="auto"/>
        <w:jc w:val="both"/>
        <w:rPr>
          <w:rFonts w:ascii="Arial" w:eastAsia="Arial" w:hAnsi="Arial" w:cs="Arial"/>
          <w:sz w:val="20"/>
          <w:szCs w:val="20"/>
        </w:rPr>
      </w:pPr>
    </w:p>
    <w:p w14:paraId="0597E904" w14:textId="77777777" w:rsidR="00C7469E" w:rsidRPr="00B226E0" w:rsidRDefault="00C7469E" w:rsidP="00C7469E">
      <w:pPr>
        <w:spacing w:after="0" w:line="240" w:lineRule="auto"/>
        <w:jc w:val="center"/>
        <w:rPr>
          <w:rFonts w:ascii="Arial" w:eastAsia="Calibri" w:hAnsi="Arial" w:cs="Arial"/>
          <w:b/>
          <w:sz w:val="20"/>
          <w:szCs w:val="20"/>
        </w:rPr>
      </w:pPr>
      <w:r w:rsidRPr="00B226E0">
        <w:rPr>
          <w:rFonts w:ascii="Arial" w:eastAsia="Calibri" w:hAnsi="Arial" w:cs="Arial"/>
          <w:b/>
          <w:sz w:val="20"/>
          <w:szCs w:val="20"/>
          <w:lang w:val="es-ES"/>
        </w:rPr>
        <w:t>Gráfica N° 1 Presupuesto Sector Minas y Energía – Vigencia 2018</w:t>
      </w:r>
    </w:p>
    <w:p w14:paraId="2FD2E2CB" w14:textId="77777777" w:rsidR="00C7469E" w:rsidRPr="00D73702" w:rsidRDefault="00C7469E" w:rsidP="00C7469E">
      <w:pPr>
        <w:spacing w:after="0" w:line="240" w:lineRule="auto"/>
        <w:jc w:val="center"/>
        <w:rPr>
          <w:rFonts w:ascii="Arial" w:eastAsia="Calibri" w:hAnsi="Arial" w:cs="Arial"/>
          <w:noProof/>
          <w:sz w:val="20"/>
          <w:szCs w:val="20"/>
          <w:highlight w:val="yellow"/>
          <w:lang w:eastAsia="es-ES"/>
        </w:rPr>
      </w:pPr>
    </w:p>
    <w:p w14:paraId="48536342" w14:textId="7CA67C28" w:rsidR="00C7469E" w:rsidRPr="00D73702" w:rsidRDefault="00361E41" w:rsidP="00C7469E">
      <w:pPr>
        <w:spacing w:after="0" w:line="240" w:lineRule="auto"/>
        <w:jc w:val="center"/>
        <w:rPr>
          <w:rFonts w:ascii="Arial" w:eastAsia="Calibri" w:hAnsi="Arial" w:cs="Arial"/>
          <w:noProof/>
          <w:sz w:val="20"/>
          <w:szCs w:val="20"/>
          <w:highlight w:val="yellow"/>
          <w:lang w:val="es-ES" w:eastAsia="es-ES"/>
        </w:rPr>
      </w:pPr>
      <w:r>
        <w:rPr>
          <w:noProof/>
          <w:lang w:eastAsia="es-CO"/>
        </w:rPr>
        <w:drawing>
          <wp:inline distT="0" distB="0" distL="0" distR="0" wp14:anchorId="1DDCB29B" wp14:editId="7D9ED11A">
            <wp:extent cx="4392706" cy="2436158"/>
            <wp:effectExtent l="0" t="0" r="8255"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13A8D4" w14:textId="77777777" w:rsidR="00C7469E" w:rsidRPr="00B226E0" w:rsidRDefault="00C7469E" w:rsidP="00C7469E">
      <w:pPr>
        <w:spacing w:after="0" w:line="240" w:lineRule="auto"/>
        <w:rPr>
          <w:rFonts w:ascii="Arial" w:eastAsia="Calibri" w:hAnsi="Arial" w:cs="Arial"/>
          <w:noProof/>
          <w:sz w:val="20"/>
          <w:szCs w:val="20"/>
          <w:lang w:val="es-ES" w:eastAsia="es-ES"/>
        </w:rPr>
      </w:pPr>
    </w:p>
    <w:p w14:paraId="07409C4B" w14:textId="77777777" w:rsidR="00C7469E" w:rsidRPr="00B226E0" w:rsidRDefault="00C7469E" w:rsidP="00C7469E">
      <w:pPr>
        <w:spacing w:after="0" w:line="240" w:lineRule="auto"/>
        <w:jc w:val="center"/>
        <w:rPr>
          <w:rFonts w:ascii="Arial" w:eastAsia="Calibri" w:hAnsi="Arial" w:cs="Arial"/>
          <w:i/>
          <w:sz w:val="16"/>
          <w:szCs w:val="16"/>
        </w:rPr>
      </w:pPr>
      <w:r w:rsidRPr="00B226E0">
        <w:rPr>
          <w:rFonts w:ascii="Arial" w:eastAsia="Calibri" w:hAnsi="Arial" w:cs="Arial"/>
          <w:i/>
          <w:sz w:val="16"/>
          <w:szCs w:val="16"/>
        </w:rPr>
        <w:t>Fuente: SIIF Nación – MHCP</w:t>
      </w:r>
    </w:p>
    <w:p w14:paraId="54B8A377" w14:textId="77777777" w:rsidR="00C7469E" w:rsidRPr="00D73702" w:rsidRDefault="00C7469E" w:rsidP="00C7469E">
      <w:pPr>
        <w:spacing w:after="0" w:line="240" w:lineRule="auto"/>
        <w:rPr>
          <w:rFonts w:ascii="Arial" w:eastAsia="Calibri" w:hAnsi="Arial" w:cs="Arial"/>
          <w:i/>
          <w:sz w:val="16"/>
          <w:szCs w:val="16"/>
          <w:highlight w:val="yellow"/>
        </w:rPr>
      </w:pPr>
    </w:p>
    <w:p w14:paraId="4A63EB3D" w14:textId="77777777" w:rsidR="00C7469E" w:rsidRPr="00D73702" w:rsidRDefault="00C7469E" w:rsidP="00C7469E">
      <w:pPr>
        <w:spacing w:after="0" w:line="240" w:lineRule="auto"/>
        <w:jc w:val="both"/>
        <w:rPr>
          <w:rFonts w:ascii="Arial" w:eastAsia="Calibri" w:hAnsi="Arial" w:cs="Arial"/>
          <w:sz w:val="20"/>
          <w:szCs w:val="20"/>
          <w:highlight w:val="yellow"/>
        </w:rPr>
      </w:pPr>
    </w:p>
    <w:p w14:paraId="76446949" w14:textId="3AC7C108" w:rsidR="00C7469E" w:rsidRPr="00C60EC6" w:rsidRDefault="00C7469E" w:rsidP="00C7469E">
      <w:pPr>
        <w:spacing w:after="0" w:line="240" w:lineRule="auto"/>
        <w:jc w:val="both"/>
        <w:rPr>
          <w:rFonts w:ascii="Arial" w:eastAsia="Calibri" w:hAnsi="Arial" w:cs="Arial"/>
          <w:sz w:val="20"/>
          <w:szCs w:val="20"/>
        </w:rPr>
      </w:pPr>
      <w:r w:rsidRPr="00C60EC6">
        <w:rPr>
          <w:rFonts w:ascii="Arial" w:eastAsia="Calibri" w:hAnsi="Arial" w:cs="Arial"/>
          <w:sz w:val="20"/>
          <w:szCs w:val="20"/>
        </w:rPr>
        <w:t>Al analizar el presupuesto por Fuente de Financiación observamos que el 17,9</w:t>
      </w:r>
      <w:r w:rsidR="00C60EC6" w:rsidRPr="00C60EC6">
        <w:rPr>
          <w:rFonts w:ascii="Arial" w:eastAsia="Calibri" w:hAnsi="Arial" w:cs="Arial"/>
          <w:sz w:val="20"/>
          <w:szCs w:val="20"/>
        </w:rPr>
        <w:t>6% ($775.99</w:t>
      </w:r>
      <w:r w:rsidRPr="00C60EC6">
        <w:rPr>
          <w:rFonts w:ascii="Arial" w:eastAsia="Calibri" w:hAnsi="Arial" w:cs="Arial"/>
          <w:sz w:val="20"/>
          <w:szCs w:val="20"/>
        </w:rPr>
        <w:t>1 millones de pesos) correspond</w:t>
      </w:r>
      <w:r w:rsidR="00C60EC6" w:rsidRPr="00C60EC6">
        <w:rPr>
          <w:rFonts w:ascii="Arial" w:eastAsia="Calibri" w:hAnsi="Arial" w:cs="Arial"/>
          <w:sz w:val="20"/>
          <w:szCs w:val="20"/>
        </w:rPr>
        <w:t>en a Recursos Propios y el 82.04% ($3.545.307</w:t>
      </w:r>
      <w:r w:rsidRPr="00C60EC6">
        <w:rPr>
          <w:rFonts w:ascii="Arial" w:eastAsia="Calibri" w:hAnsi="Arial" w:cs="Arial"/>
          <w:sz w:val="20"/>
          <w:szCs w:val="20"/>
        </w:rPr>
        <w:t xml:space="preserve"> millones de pesos) corresponden a Recursos de la Nación.</w:t>
      </w:r>
    </w:p>
    <w:p w14:paraId="39880577"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32466818" w14:textId="3A61D3FB" w:rsidR="00C7469E" w:rsidRPr="00992463" w:rsidRDefault="00953331" w:rsidP="00C7469E">
      <w:pPr>
        <w:spacing w:after="0" w:line="240" w:lineRule="auto"/>
        <w:jc w:val="both"/>
        <w:rPr>
          <w:rFonts w:ascii="Arial" w:eastAsia="Calibri" w:hAnsi="Arial" w:cs="Arial"/>
          <w:sz w:val="20"/>
          <w:szCs w:val="20"/>
        </w:rPr>
      </w:pPr>
      <w:r w:rsidRPr="00992463">
        <w:rPr>
          <w:rFonts w:ascii="Arial" w:eastAsia="Calibri" w:hAnsi="Arial" w:cs="Arial"/>
          <w:sz w:val="20"/>
          <w:szCs w:val="20"/>
        </w:rPr>
        <w:t>Al cierre del I</w:t>
      </w:r>
      <w:r w:rsidR="00C7469E" w:rsidRPr="00992463">
        <w:rPr>
          <w:rFonts w:ascii="Arial" w:eastAsia="Calibri" w:hAnsi="Arial" w:cs="Arial"/>
          <w:sz w:val="20"/>
          <w:szCs w:val="20"/>
        </w:rPr>
        <w:t>I trimestre, los Recursos de la Nación se encuentran distribuidos de la siguiente manera: 9</w:t>
      </w:r>
      <w:r w:rsidR="00992463" w:rsidRPr="00992463">
        <w:rPr>
          <w:rFonts w:ascii="Arial" w:eastAsia="Calibri" w:hAnsi="Arial" w:cs="Arial"/>
          <w:sz w:val="20"/>
          <w:szCs w:val="20"/>
        </w:rPr>
        <w:t>6</w:t>
      </w:r>
      <w:r w:rsidR="00C7469E" w:rsidRPr="00992463">
        <w:rPr>
          <w:rFonts w:ascii="Arial" w:eastAsia="Calibri" w:hAnsi="Arial" w:cs="Arial"/>
          <w:sz w:val="20"/>
          <w:szCs w:val="20"/>
        </w:rPr>
        <w:t>%</w:t>
      </w:r>
      <w:r w:rsidR="00992463" w:rsidRPr="00992463">
        <w:rPr>
          <w:rFonts w:ascii="Arial" w:eastAsia="Calibri" w:hAnsi="Arial" w:cs="Arial"/>
          <w:sz w:val="20"/>
          <w:szCs w:val="20"/>
        </w:rPr>
        <w:t xml:space="preserve"> ($3.347.018</w:t>
      </w:r>
      <w:r w:rsidR="00C7469E" w:rsidRPr="00992463">
        <w:rPr>
          <w:rFonts w:ascii="Arial" w:eastAsia="Calibri" w:hAnsi="Arial" w:cs="Arial"/>
          <w:sz w:val="20"/>
          <w:szCs w:val="20"/>
        </w:rPr>
        <w:t xml:space="preserve"> millones de pesos) al Minist</w:t>
      </w:r>
      <w:r w:rsidR="00992463" w:rsidRPr="00992463">
        <w:rPr>
          <w:rFonts w:ascii="Arial" w:eastAsia="Calibri" w:hAnsi="Arial" w:cs="Arial"/>
          <w:sz w:val="20"/>
          <w:szCs w:val="20"/>
        </w:rPr>
        <w:t>erio de Minas y Energía, un 1,54</w:t>
      </w:r>
      <w:r w:rsidR="00C7469E" w:rsidRPr="00992463">
        <w:rPr>
          <w:rFonts w:ascii="Arial" w:eastAsia="Calibri" w:hAnsi="Arial" w:cs="Arial"/>
          <w:sz w:val="20"/>
          <w:szCs w:val="20"/>
        </w:rPr>
        <w:t>% ($</w:t>
      </w:r>
      <w:r w:rsidR="00992463" w:rsidRPr="00992463">
        <w:rPr>
          <w:rFonts w:ascii="Arial" w:eastAsia="Calibri" w:hAnsi="Arial" w:cs="Arial"/>
          <w:sz w:val="20"/>
          <w:szCs w:val="20"/>
        </w:rPr>
        <w:t>53.614</w:t>
      </w:r>
      <w:r w:rsidR="00C7469E" w:rsidRPr="00992463">
        <w:rPr>
          <w:rFonts w:ascii="Arial" w:eastAsia="Calibri" w:hAnsi="Arial" w:cs="Arial"/>
          <w:sz w:val="20"/>
          <w:szCs w:val="20"/>
        </w:rPr>
        <w:t xml:space="preserve"> millones de pesos) al Servicio Geológico Colombiano –SGC, un 1,01% ($35.</w:t>
      </w:r>
      <w:r w:rsidR="00992463" w:rsidRPr="00992463">
        <w:rPr>
          <w:rFonts w:ascii="Arial" w:eastAsia="Calibri" w:hAnsi="Arial" w:cs="Arial"/>
          <w:sz w:val="20"/>
          <w:szCs w:val="20"/>
        </w:rPr>
        <w:t>189</w:t>
      </w:r>
      <w:r w:rsidR="00C7469E" w:rsidRPr="00992463">
        <w:rPr>
          <w:rFonts w:ascii="Arial" w:eastAsia="Calibri" w:hAnsi="Arial" w:cs="Arial"/>
          <w:sz w:val="20"/>
          <w:szCs w:val="20"/>
        </w:rPr>
        <w:t xml:space="preserve"> millones de pesos) a la Agencia Nacional de Minería – ANM, un 0.</w:t>
      </w:r>
      <w:r w:rsidR="00992463" w:rsidRPr="00992463">
        <w:rPr>
          <w:rFonts w:ascii="Arial" w:eastAsia="Calibri" w:hAnsi="Arial" w:cs="Arial"/>
          <w:sz w:val="20"/>
          <w:szCs w:val="20"/>
        </w:rPr>
        <w:t>76</w:t>
      </w:r>
      <w:r w:rsidR="00C7469E" w:rsidRPr="00992463">
        <w:rPr>
          <w:rFonts w:ascii="Arial" w:eastAsia="Calibri" w:hAnsi="Arial" w:cs="Arial"/>
          <w:sz w:val="20"/>
          <w:szCs w:val="20"/>
        </w:rPr>
        <w:t>% ($2</w:t>
      </w:r>
      <w:r w:rsidR="00992463" w:rsidRPr="00992463">
        <w:rPr>
          <w:rFonts w:ascii="Arial" w:eastAsia="Calibri" w:hAnsi="Arial" w:cs="Arial"/>
          <w:sz w:val="20"/>
          <w:szCs w:val="20"/>
        </w:rPr>
        <w:t>6.656</w:t>
      </w:r>
      <w:r w:rsidR="00C7469E" w:rsidRPr="00992463">
        <w:rPr>
          <w:rFonts w:ascii="Arial" w:eastAsia="Calibri" w:hAnsi="Arial" w:cs="Arial"/>
          <w:sz w:val="20"/>
          <w:szCs w:val="20"/>
        </w:rPr>
        <w:t xml:space="preserve"> millones de pesos) a la Comisión de Regulación de Energía </w:t>
      </w:r>
      <w:r w:rsidR="00992463" w:rsidRPr="00992463">
        <w:rPr>
          <w:rFonts w:ascii="Arial" w:eastAsia="Calibri" w:hAnsi="Arial" w:cs="Arial"/>
          <w:sz w:val="20"/>
          <w:szCs w:val="20"/>
        </w:rPr>
        <w:t>y Gas –CREG y finalmente un 0.69</w:t>
      </w:r>
      <w:r w:rsidR="00C7469E" w:rsidRPr="00992463">
        <w:rPr>
          <w:rFonts w:ascii="Arial" w:eastAsia="Calibri" w:hAnsi="Arial" w:cs="Arial"/>
          <w:sz w:val="20"/>
          <w:szCs w:val="20"/>
        </w:rPr>
        <w:t>% ($</w:t>
      </w:r>
      <w:r w:rsidR="00992463" w:rsidRPr="00992463">
        <w:rPr>
          <w:rFonts w:ascii="Arial" w:eastAsia="Calibri" w:hAnsi="Arial" w:cs="Arial"/>
          <w:sz w:val="20"/>
          <w:szCs w:val="20"/>
        </w:rPr>
        <w:t>24.073</w:t>
      </w:r>
      <w:r w:rsidR="00C7469E" w:rsidRPr="00992463">
        <w:rPr>
          <w:rFonts w:ascii="Arial" w:eastAsia="Calibri" w:hAnsi="Arial" w:cs="Arial"/>
          <w:sz w:val="20"/>
          <w:szCs w:val="20"/>
        </w:rPr>
        <w:t xml:space="preserve"> millones de pesos) al Instituto de Planificación y Soluciones Energéticas para las Zonas no Interconectadas –IPSE. </w:t>
      </w:r>
    </w:p>
    <w:p w14:paraId="52142D98"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6B2607FE"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2D0D8B11"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7B9CE550"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4D161B9B"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556F1360" w14:textId="560E18ED" w:rsidR="00C7469E" w:rsidRPr="00992463" w:rsidRDefault="00C7469E" w:rsidP="00C7469E">
      <w:pPr>
        <w:spacing w:after="0" w:line="240" w:lineRule="auto"/>
        <w:ind w:left="1416" w:firstLine="708"/>
        <w:rPr>
          <w:rFonts w:ascii="Arial" w:eastAsia="Calibri" w:hAnsi="Arial" w:cs="Arial"/>
          <w:b/>
          <w:sz w:val="20"/>
          <w:szCs w:val="20"/>
          <w:lang w:val="es-ES"/>
        </w:rPr>
      </w:pPr>
      <w:r w:rsidRPr="00992463">
        <w:rPr>
          <w:rFonts w:ascii="Arial" w:eastAsia="Calibri" w:hAnsi="Arial" w:cs="Arial"/>
          <w:b/>
          <w:sz w:val="20"/>
          <w:szCs w:val="20"/>
          <w:lang w:val="es-ES"/>
        </w:rPr>
        <w:lastRenderedPageBreak/>
        <w:t>Gráfica N° 2 Presupuesto por tipo de recurso – I</w:t>
      </w:r>
      <w:r w:rsidR="00992463">
        <w:rPr>
          <w:rFonts w:ascii="Arial" w:eastAsia="Calibri" w:hAnsi="Arial" w:cs="Arial"/>
          <w:b/>
          <w:sz w:val="20"/>
          <w:szCs w:val="20"/>
          <w:lang w:val="es-ES"/>
        </w:rPr>
        <w:t>I</w:t>
      </w:r>
      <w:r w:rsidRPr="00992463">
        <w:rPr>
          <w:rFonts w:ascii="Arial" w:eastAsia="Calibri" w:hAnsi="Arial" w:cs="Arial"/>
          <w:b/>
          <w:sz w:val="20"/>
          <w:szCs w:val="20"/>
          <w:lang w:val="es-ES"/>
        </w:rPr>
        <w:t xml:space="preserve"> Trimestre 2018</w:t>
      </w:r>
    </w:p>
    <w:p w14:paraId="21473519" w14:textId="77777777" w:rsidR="00C7469E" w:rsidRPr="00D85753" w:rsidRDefault="00C7469E" w:rsidP="00C7469E">
      <w:pPr>
        <w:spacing w:after="0" w:line="240" w:lineRule="auto"/>
        <w:ind w:left="1416" w:firstLine="708"/>
        <w:rPr>
          <w:rFonts w:ascii="Arial" w:eastAsia="Calibri" w:hAnsi="Arial" w:cs="Arial"/>
          <w:b/>
          <w:sz w:val="20"/>
          <w:szCs w:val="20"/>
          <w:highlight w:val="yellow"/>
        </w:rPr>
      </w:pPr>
    </w:p>
    <w:p w14:paraId="43CCD726" w14:textId="7DFE9B27" w:rsidR="00C7469E" w:rsidRPr="00992463" w:rsidRDefault="00992463" w:rsidP="00C7469E">
      <w:pPr>
        <w:spacing w:after="0" w:line="240" w:lineRule="auto"/>
        <w:jc w:val="center"/>
        <w:rPr>
          <w:rFonts w:ascii="Arial" w:eastAsia="Calibri" w:hAnsi="Arial" w:cs="Arial"/>
          <w:noProof/>
          <w:sz w:val="20"/>
          <w:szCs w:val="20"/>
          <w:lang w:eastAsia="es-CO"/>
        </w:rPr>
      </w:pPr>
      <w:r w:rsidRPr="00992463">
        <w:rPr>
          <w:noProof/>
          <w:lang w:eastAsia="es-CO"/>
        </w:rPr>
        <w:drawing>
          <wp:inline distT="0" distB="0" distL="0" distR="0" wp14:anchorId="2B931C0F" wp14:editId="2235EA0E">
            <wp:extent cx="4386580" cy="1498600"/>
            <wp:effectExtent l="0" t="0" r="13970" b="63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66A931" w14:textId="77777777" w:rsidR="00C7469E" w:rsidRPr="00992463" w:rsidRDefault="00C7469E" w:rsidP="00C7469E">
      <w:pPr>
        <w:spacing w:after="0" w:line="240" w:lineRule="auto"/>
        <w:jc w:val="center"/>
        <w:rPr>
          <w:rFonts w:ascii="Arial" w:eastAsia="Calibri" w:hAnsi="Arial" w:cs="Arial"/>
          <w:noProof/>
          <w:sz w:val="16"/>
          <w:szCs w:val="16"/>
          <w:lang w:val="es-ES" w:eastAsia="es-ES"/>
        </w:rPr>
      </w:pPr>
      <w:r w:rsidRPr="00992463">
        <w:rPr>
          <w:rFonts w:ascii="Arial" w:eastAsia="Calibri" w:hAnsi="Arial" w:cs="Arial"/>
          <w:i/>
          <w:sz w:val="16"/>
          <w:szCs w:val="16"/>
        </w:rPr>
        <w:t>Fuente: SIIF Nación - MHCP</w:t>
      </w:r>
    </w:p>
    <w:p w14:paraId="65BDB857" w14:textId="1458C855" w:rsidR="00A45803" w:rsidRDefault="00A45803" w:rsidP="00C7469E">
      <w:pPr>
        <w:spacing w:after="0" w:line="240" w:lineRule="auto"/>
        <w:jc w:val="both"/>
        <w:rPr>
          <w:rFonts w:ascii="Arial" w:eastAsia="Calibri" w:hAnsi="Arial" w:cs="Arial"/>
          <w:sz w:val="20"/>
          <w:szCs w:val="20"/>
          <w:highlight w:val="yellow"/>
        </w:rPr>
      </w:pPr>
    </w:p>
    <w:p w14:paraId="2D0A1AD4" w14:textId="77777777" w:rsidR="00A45803" w:rsidRPr="00D85753" w:rsidRDefault="00A45803" w:rsidP="00C7469E">
      <w:pPr>
        <w:spacing w:after="0" w:line="240" w:lineRule="auto"/>
        <w:jc w:val="both"/>
        <w:rPr>
          <w:rFonts w:ascii="Arial" w:eastAsia="Calibri" w:hAnsi="Arial" w:cs="Arial"/>
          <w:sz w:val="20"/>
          <w:szCs w:val="20"/>
          <w:highlight w:val="yellow"/>
        </w:rPr>
      </w:pPr>
    </w:p>
    <w:p w14:paraId="66EA45B5" w14:textId="1613650C" w:rsidR="00C7469E" w:rsidRPr="00992463" w:rsidRDefault="00C7469E" w:rsidP="00C7469E">
      <w:pPr>
        <w:spacing w:after="0" w:line="240" w:lineRule="auto"/>
        <w:jc w:val="both"/>
        <w:rPr>
          <w:rFonts w:ascii="Arial" w:eastAsia="Calibri" w:hAnsi="Arial" w:cs="Arial"/>
          <w:sz w:val="20"/>
          <w:szCs w:val="20"/>
        </w:rPr>
      </w:pPr>
      <w:r w:rsidRPr="00992463">
        <w:rPr>
          <w:rFonts w:ascii="Arial" w:eastAsia="Calibri" w:hAnsi="Arial" w:cs="Arial"/>
          <w:sz w:val="20"/>
          <w:szCs w:val="20"/>
        </w:rPr>
        <w:t xml:space="preserve">En cuanto a los Recursos Propios, estos se generan </w:t>
      </w:r>
      <w:r w:rsidR="00992463" w:rsidRPr="00992463">
        <w:rPr>
          <w:rFonts w:ascii="Arial" w:eastAsia="Calibri" w:hAnsi="Arial" w:cs="Arial"/>
          <w:sz w:val="20"/>
          <w:szCs w:val="20"/>
        </w:rPr>
        <w:t>de la siguiente manera: un 82.67</w:t>
      </w:r>
      <w:r w:rsidRPr="00992463">
        <w:rPr>
          <w:rFonts w:ascii="Arial" w:eastAsia="Calibri" w:hAnsi="Arial" w:cs="Arial"/>
          <w:sz w:val="20"/>
          <w:szCs w:val="20"/>
        </w:rPr>
        <w:t>% ($63</w:t>
      </w:r>
      <w:r w:rsidR="00992463" w:rsidRPr="00992463">
        <w:rPr>
          <w:rFonts w:ascii="Arial" w:eastAsia="Calibri" w:hAnsi="Arial" w:cs="Arial"/>
          <w:sz w:val="20"/>
          <w:szCs w:val="20"/>
        </w:rPr>
        <w:t xml:space="preserve">8.579 </w:t>
      </w:r>
      <w:r w:rsidRPr="00992463">
        <w:rPr>
          <w:rFonts w:ascii="Arial" w:eastAsia="Calibri" w:hAnsi="Arial" w:cs="Arial"/>
          <w:sz w:val="20"/>
          <w:szCs w:val="20"/>
        </w:rPr>
        <w:t>millones de pesos) por la Agencia Naciona</w:t>
      </w:r>
      <w:r w:rsidR="00992463" w:rsidRPr="00992463">
        <w:rPr>
          <w:rFonts w:ascii="Arial" w:eastAsia="Calibri" w:hAnsi="Arial" w:cs="Arial"/>
          <w:sz w:val="20"/>
          <w:szCs w:val="20"/>
        </w:rPr>
        <w:t>l de Hidrocarburos - ANH, un 9.6</w:t>
      </w:r>
      <w:r w:rsidRPr="00992463">
        <w:rPr>
          <w:rFonts w:ascii="Arial" w:eastAsia="Calibri" w:hAnsi="Arial" w:cs="Arial"/>
          <w:sz w:val="20"/>
          <w:szCs w:val="20"/>
        </w:rPr>
        <w:t>0% ($7</w:t>
      </w:r>
      <w:r w:rsidR="00992463" w:rsidRPr="00992463">
        <w:rPr>
          <w:rFonts w:ascii="Arial" w:eastAsia="Calibri" w:hAnsi="Arial" w:cs="Arial"/>
          <w:sz w:val="20"/>
          <w:szCs w:val="20"/>
        </w:rPr>
        <w:t>4.142</w:t>
      </w:r>
      <w:r w:rsidRPr="00992463">
        <w:rPr>
          <w:rFonts w:ascii="Arial" w:eastAsia="Calibri" w:hAnsi="Arial" w:cs="Arial"/>
          <w:sz w:val="20"/>
          <w:szCs w:val="20"/>
        </w:rPr>
        <w:t xml:space="preserve"> millones de pesos) por la Agencia N</w:t>
      </w:r>
      <w:r w:rsidR="00992463" w:rsidRPr="00992463">
        <w:rPr>
          <w:rFonts w:ascii="Arial" w:eastAsia="Calibri" w:hAnsi="Arial" w:cs="Arial"/>
          <w:sz w:val="20"/>
          <w:szCs w:val="20"/>
        </w:rPr>
        <w:t>acional de Minera - ANM, un 4.39</w:t>
      </w:r>
      <w:r w:rsidRPr="00992463">
        <w:rPr>
          <w:rFonts w:ascii="Arial" w:eastAsia="Calibri" w:hAnsi="Arial" w:cs="Arial"/>
          <w:sz w:val="20"/>
          <w:szCs w:val="20"/>
        </w:rPr>
        <w:t>% ($3</w:t>
      </w:r>
      <w:r w:rsidR="00992463" w:rsidRPr="00992463">
        <w:rPr>
          <w:rFonts w:ascii="Arial" w:eastAsia="Calibri" w:hAnsi="Arial" w:cs="Arial"/>
          <w:sz w:val="20"/>
          <w:szCs w:val="20"/>
        </w:rPr>
        <w:t>3.914</w:t>
      </w:r>
      <w:r w:rsidRPr="00992463">
        <w:rPr>
          <w:rFonts w:ascii="Arial" w:eastAsia="Calibri" w:hAnsi="Arial" w:cs="Arial"/>
          <w:sz w:val="20"/>
          <w:szCs w:val="20"/>
        </w:rPr>
        <w:t xml:space="preserve"> millones de pesos) por la Unidad de Planeación Minero Energética - UPME, el 2.15% ($16.622 millones de pesos) por el Instituto de Planificación y Soluciones Energéticas para las Zonas no Interconectadas  - IPSE y finalmente un 0.92% ($7.159 millones de pesos) por el Servicio Geológico Colombiano –SGC.  </w:t>
      </w:r>
    </w:p>
    <w:p w14:paraId="44810BB8"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25AB58F4"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49AD364D"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15090E2E" w14:textId="77777777" w:rsidR="00C7469E" w:rsidRPr="00992463" w:rsidRDefault="00C7469E" w:rsidP="00C7469E">
      <w:pPr>
        <w:spacing w:after="0" w:line="240" w:lineRule="auto"/>
        <w:ind w:left="1416" w:hanging="565"/>
        <w:jc w:val="center"/>
        <w:rPr>
          <w:rFonts w:ascii="Arial" w:eastAsia="Calibri" w:hAnsi="Arial" w:cs="Arial"/>
          <w:b/>
          <w:sz w:val="20"/>
          <w:szCs w:val="20"/>
          <w:lang w:val="es-ES"/>
        </w:rPr>
      </w:pPr>
      <w:r w:rsidRPr="00992463">
        <w:rPr>
          <w:rFonts w:ascii="Arial" w:eastAsia="Calibri" w:hAnsi="Arial" w:cs="Arial"/>
          <w:b/>
          <w:sz w:val="20"/>
          <w:szCs w:val="20"/>
          <w:lang w:val="es-ES"/>
        </w:rPr>
        <w:t xml:space="preserve">Gráfica N° 3 Presupuesto del Sector Minas y Energía por tipo de recurso y por Entidades </w:t>
      </w:r>
    </w:p>
    <w:p w14:paraId="1771A4E6" w14:textId="01184C1D" w:rsidR="00C7469E" w:rsidRPr="00992463" w:rsidRDefault="00C7469E" w:rsidP="00C7469E">
      <w:pPr>
        <w:spacing w:after="0" w:line="240" w:lineRule="auto"/>
        <w:ind w:left="1416" w:hanging="565"/>
        <w:jc w:val="center"/>
        <w:rPr>
          <w:rFonts w:ascii="Arial" w:eastAsia="Calibri" w:hAnsi="Arial" w:cs="Arial"/>
          <w:b/>
          <w:color w:val="FF0000"/>
          <w:sz w:val="20"/>
          <w:szCs w:val="20"/>
          <w:lang w:val="es-ES"/>
        </w:rPr>
      </w:pPr>
      <w:r w:rsidRPr="00992463">
        <w:rPr>
          <w:rFonts w:ascii="Arial" w:eastAsia="Calibri" w:hAnsi="Arial" w:cs="Arial"/>
          <w:b/>
          <w:sz w:val="20"/>
          <w:szCs w:val="20"/>
          <w:lang w:val="es-ES"/>
        </w:rPr>
        <w:t xml:space="preserve">  I</w:t>
      </w:r>
      <w:r w:rsidR="00992463" w:rsidRPr="00992463">
        <w:rPr>
          <w:rFonts w:ascii="Arial" w:eastAsia="Calibri" w:hAnsi="Arial" w:cs="Arial"/>
          <w:b/>
          <w:sz w:val="20"/>
          <w:szCs w:val="20"/>
          <w:lang w:val="es-ES"/>
        </w:rPr>
        <w:t>I</w:t>
      </w:r>
      <w:r w:rsidRPr="00992463">
        <w:rPr>
          <w:rFonts w:ascii="Arial" w:eastAsia="Calibri" w:hAnsi="Arial" w:cs="Arial"/>
          <w:b/>
          <w:sz w:val="20"/>
          <w:szCs w:val="20"/>
          <w:lang w:val="es-ES"/>
        </w:rPr>
        <w:t xml:space="preserve"> Trimestre de 2018</w:t>
      </w:r>
    </w:p>
    <w:p w14:paraId="7DCFC924" w14:textId="77777777" w:rsidR="00C7469E" w:rsidRPr="00992463" w:rsidRDefault="00C7469E" w:rsidP="00C7469E">
      <w:pPr>
        <w:spacing w:after="0" w:line="240" w:lineRule="auto"/>
        <w:ind w:left="1416" w:hanging="565"/>
        <w:jc w:val="center"/>
        <w:rPr>
          <w:rFonts w:ascii="Arial" w:eastAsia="Calibri" w:hAnsi="Arial" w:cs="Arial"/>
          <w:b/>
          <w:color w:val="FF0000"/>
          <w:sz w:val="20"/>
          <w:szCs w:val="20"/>
          <w:lang w:val="es-ES"/>
        </w:rPr>
      </w:pPr>
    </w:p>
    <w:p w14:paraId="2764761F" w14:textId="77777777" w:rsidR="00C7469E" w:rsidRPr="00992463" w:rsidRDefault="00C7469E" w:rsidP="00C7469E">
      <w:pPr>
        <w:spacing w:after="0" w:line="240" w:lineRule="auto"/>
        <w:rPr>
          <w:rFonts w:ascii="Arial" w:eastAsia="Calibri" w:hAnsi="Arial" w:cs="Arial"/>
          <w:b/>
          <w:color w:val="FF0000"/>
          <w:sz w:val="20"/>
          <w:szCs w:val="20"/>
        </w:rPr>
      </w:pPr>
      <w:r w:rsidRPr="00992463">
        <w:rPr>
          <w:rFonts w:ascii="Arial" w:eastAsia="Calibri" w:hAnsi="Arial" w:cs="Arial"/>
          <w:b/>
          <w:color w:val="FF0000"/>
          <w:sz w:val="20"/>
          <w:szCs w:val="20"/>
        </w:rPr>
        <w:t xml:space="preserve">              </w:t>
      </w:r>
    </w:p>
    <w:p w14:paraId="54144978" w14:textId="35A463F0" w:rsidR="00C7469E" w:rsidRPr="00992463" w:rsidRDefault="00992463" w:rsidP="00C7469E">
      <w:pPr>
        <w:spacing w:after="0" w:line="240" w:lineRule="auto"/>
        <w:jc w:val="center"/>
        <w:rPr>
          <w:rFonts w:ascii="Arial" w:eastAsia="Calibri" w:hAnsi="Arial" w:cs="Arial"/>
          <w:color w:val="FF0000"/>
          <w:sz w:val="20"/>
          <w:szCs w:val="20"/>
        </w:rPr>
      </w:pPr>
      <w:r w:rsidRPr="00992463">
        <w:rPr>
          <w:noProof/>
          <w:lang w:eastAsia="es-CO"/>
        </w:rPr>
        <w:drawing>
          <wp:inline distT="0" distB="0" distL="0" distR="0" wp14:anchorId="7E9AB60A" wp14:editId="2CFCF659">
            <wp:extent cx="4612005" cy="2730500"/>
            <wp:effectExtent l="0" t="0" r="17145" b="1270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536201" w14:textId="77777777" w:rsidR="00C7469E" w:rsidRPr="00992463" w:rsidRDefault="00C7469E" w:rsidP="00C7469E">
      <w:pPr>
        <w:spacing w:after="0" w:line="240" w:lineRule="auto"/>
        <w:jc w:val="center"/>
        <w:rPr>
          <w:rFonts w:ascii="Arial" w:eastAsia="Calibri" w:hAnsi="Arial" w:cs="Arial"/>
          <w:i/>
          <w:sz w:val="16"/>
          <w:szCs w:val="16"/>
        </w:rPr>
      </w:pPr>
      <w:r w:rsidRPr="00992463">
        <w:rPr>
          <w:rFonts w:ascii="Arial" w:eastAsia="Calibri" w:hAnsi="Arial" w:cs="Arial"/>
          <w:i/>
          <w:sz w:val="16"/>
          <w:szCs w:val="16"/>
        </w:rPr>
        <w:t>Fuente: SIIF Nación – MHCP</w:t>
      </w:r>
    </w:p>
    <w:p w14:paraId="7EE378EE" w14:textId="77777777" w:rsidR="00C7469E" w:rsidRPr="00992463" w:rsidRDefault="00C7469E" w:rsidP="00C7469E">
      <w:pPr>
        <w:spacing w:after="0" w:line="240" w:lineRule="auto"/>
        <w:rPr>
          <w:rFonts w:ascii="Arial" w:eastAsia="Calibri" w:hAnsi="Arial" w:cs="Arial"/>
          <w:noProof/>
          <w:sz w:val="16"/>
          <w:szCs w:val="16"/>
          <w:lang w:val="es-ES" w:eastAsia="es-ES"/>
        </w:rPr>
      </w:pPr>
    </w:p>
    <w:p w14:paraId="77A347FB" w14:textId="4AF5AB2D" w:rsidR="00C7469E" w:rsidRPr="00992463" w:rsidRDefault="00C7469E" w:rsidP="007B6220">
      <w:pPr>
        <w:pStyle w:val="Ttulo2"/>
        <w:numPr>
          <w:ilvl w:val="1"/>
          <w:numId w:val="5"/>
        </w:numPr>
        <w:rPr>
          <w:rFonts w:ascii="Arial" w:eastAsia="Calibri" w:hAnsi="Arial" w:cs="Arial"/>
          <w:color w:val="auto"/>
          <w:sz w:val="22"/>
          <w:szCs w:val="22"/>
        </w:rPr>
      </w:pPr>
      <w:bookmarkStart w:id="2" w:name="_Toc525652003"/>
      <w:r w:rsidRPr="00992463">
        <w:rPr>
          <w:rFonts w:ascii="Arial" w:eastAsia="Calibri" w:hAnsi="Arial" w:cs="Arial"/>
          <w:color w:val="auto"/>
          <w:sz w:val="22"/>
          <w:szCs w:val="22"/>
        </w:rPr>
        <w:lastRenderedPageBreak/>
        <w:t>Composición del Presupues</w:t>
      </w:r>
      <w:r w:rsidR="008230EB" w:rsidRPr="00992463">
        <w:rPr>
          <w:rFonts w:ascii="Arial" w:eastAsia="Calibri" w:hAnsi="Arial" w:cs="Arial"/>
          <w:color w:val="auto"/>
          <w:sz w:val="22"/>
          <w:szCs w:val="22"/>
        </w:rPr>
        <w:t>to de Funcionamiento del Sector</w:t>
      </w:r>
      <w:r w:rsidRPr="00992463">
        <w:rPr>
          <w:rFonts w:ascii="Arial" w:eastAsia="Calibri" w:hAnsi="Arial" w:cs="Arial"/>
          <w:color w:val="auto"/>
          <w:sz w:val="22"/>
          <w:szCs w:val="22"/>
        </w:rPr>
        <w:t xml:space="preserve"> 2018</w:t>
      </w:r>
      <w:bookmarkEnd w:id="2"/>
    </w:p>
    <w:p w14:paraId="4E0D5C66" w14:textId="77777777" w:rsidR="00C7469E" w:rsidRPr="00992463" w:rsidRDefault="00C7469E" w:rsidP="00C7469E">
      <w:pPr>
        <w:spacing w:after="0" w:line="240" w:lineRule="auto"/>
        <w:jc w:val="both"/>
        <w:rPr>
          <w:rFonts w:ascii="Arial" w:eastAsia="Times New Roman" w:hAnsi="Arial" w:cs="Arial"/>
          <w:sz w:val="20"/>
          <w:szCs w:val="20"/>
          <w:lang w:eastAsia="es-CO"/>
        </w:rPr>
      </w:pPr>
    </w:p>
    <w:p w14:paraId="719E8467" w14:textId="58C19035" w:rsidR="00C7469E" w:rsidRPr="00992463" w:rsidRDefault="00C7469E" w:rsidP="00C7469E">
      <w:pPr>
        <w:spacing w:after="0" w:line="240" w:lineRule="auto"/>
        <w:jc w:val="both"/>
        <w:rPr>
          <w:rFonts w:ascii="Arial" w:eastAsia="Calibri" w:hAnsi="Arial" w:cs="Arial"/>
          <w:sz w:val="20"/>
          <w:szCs w:val="20"/>
          <w:lang w:val="es-ES"/>
        </w:rPr>
      </w:pPr>
      <w:r w:rsidRPr="00992463">
        <w:rPr>
          <w:rFonts w:ascii="Arial" w:eastAsia="Times New Roman" w:hAnsi="Arial" w:cs="Arial"/>
          <w:sz w:val="20"/>
          <w:szCs w:val="20"/>
          <w:lang w:eastAsia="es-CO"/>
        </w:rPr>
        <w:t xml:space="preserve">El presupuesto de Gastos de Funcionamiento está </w:t>
      </w:r>
      <w:r w:rsidRPr="00992463">
        <w:rPr>
          <w:rFonts w:ascii="Arial" w:eastAsia="Calibri" w:hAnsi="Arial" w:cs="Arial"/>
          <w:sz w:val="20"/>
          <w:szCs w:val="20"/>
          <w:lang w:val="es-ES"/>
        </w:rPr>
        <w:t>distribuido en 7 unidades ejecutoras con una participación presupuestal en el siguiente orden: el 55.</w:t>
      </w:r>
      <w:r w:rsidR="00992463" w:rsidRPr="00992463">
        <w:rPr>
          <w:rFonts w:ascii="Arial" w:eastAsia="Calibri" w:hAnsi="Arial" w:cs="Arial"/>
          <w:sz w:val="20"/>
          <w:szCs w:val="20"/>
          <w:lang w:val="es-ES"/>
        </w:rPr>
        <w:t>83</w:t>
      </w:r>
      <w:r w:rsidRPr="00992463">
        <w:rPr>
          <w:rFonts w:ascii="Arial" w:eastAsia="Calibri" w:hAnsi="Arial" w:cs="Arial"/>
          <w:sz w:val="20"/>
          <w:szCs w:val="20"/>
          <w:lang w:val="es-ES"/>
        </w:rPr>
        <w:t>% para la Agencia Nacional de Hidrocarburos – ANH, el 14.</w:t>
      </w:r>
      <w:r w:rsidR="00992463" w:rsidRPr="00992463">
        <w:rPr>
          <w:rFonts w:ascii="Arial" w:eastAsia="Calibri" w:hAnsi="Arial" w:cs="Arial"/>
          <w:sz w:val="20"/>
          <w:szCs w:val="20"/>
          <w:lang w:val="es-ES"/>
        </w:rPr>
        <w:t>62</w:t>
      </w:r>
      <w:r w:rsidRPr="00992463">
        <w:rPr>
          <w:rFonts w:ascii="Arial" w:eastAsia="Calibri" w:hAnsi="Arial" w:cs="Arial"/>
          <w:sz w:val="20"/>
          <w:szCs w:val="20"/>
          <w:lang w:val="es-ES"/>
        </w:rPr>
        <w:t>%,  para la Agencia Nacional de Minera – ANM , para el Ministerio de Minas y Energía- MME el 11.</w:t>
      </w:r>
      <w:r w:rsidR="00992463" w:rsidRPr="00992463">
        <w:rPr>
          <w:rFonts w:ascii="Arial" w:eastAsia="Calibri" w:hAnsi="Arial" w:cs="Arial"/>
          <w:sz w:val="20"/>
          <w:szCs w:val="20"/>
          <w:lang w:val="es-ES"/>
        </w:rPr>
        <w:t>81</w:t>
      </w:r>
      <w:r w:rsidRPr="00992463">
        <w:rPr>
          <w:rFonts w:ascii="Arial" w:eastAsia="Calibri" w:hAnsi="Arial" w:cs="Arial"/>
          <w:sz w:val="20"/>
          <w:szCs w:val="20"/>
          <w:lang w:val="es-ES"/>
        </w:rPr>
        <w:t>%, el 7.</w:t>
      </w:r>
      <w:r w:rsidR="00992463" w:rsidRPr="00992463">
        <w:rPr>
          <w:rFonts w:ascii="Arial" w:eastAsia="Calibri" w:hAnsi="Arial" w:cs="Arial"/>
          <w:sz w:val="20"/>
          <w:szCs w:val="20"/>
          <w:lang w:val="es-ES"/>
        </w:rPr>
        <w:t>85</w:t>
      </w:r>
      <w:r w:rsidRPr="00992463">
        <w:rPr>
          <w:rFonts w:ascii="Arial" w:eastAsia="Calibri" w:hAnsi="Arial" w:cs="Arial"/>
          <w:sz w:val="20"/>
          <w:szCs w:val="20"/>
          <w:lang w:val="es-ES"/>
        </w:rPr>
        <w:t>%, para el Servicio Geol</w:t>
      </w:r>
      <w:r w:rsidR="00992463" w:rsidRPr="00992463">
        <w:rPr>
          <w:rFonts w:ascii="Arial" w:eastAsia="Calibri" w:hAnsi="Arial" w:cs="Arial"/>
          <w:sz w:val="20"/>
          <w:szCs w:val="20"/>
          <w:lang w:val="es-ES"/>
        </w:rPr>
        <w:t>ógico Colombiano – SGC,  el 4.72</w:t>
      </w:r>
      <w:r w:rsidRPr="00992463">
        <w:rPr>
          <w:rFonts w:ascii="Arial" w:eastAsia="Calibri" w:hAnsi="Arial" w:cs="Arial"/>
          <w:sz w:val="20"/>
          <w:szCs w:val="20"/>
          <w:lang w:val="es-ES"/>
        </w:rPr>
        <w:t xml:space="preserve">% para el Instituto de Planificación y Promoción de Soluciones Energéticas </w:t>
      </w:r>
      <w:r w:rsidRPr="00992463">
        <w:rPr>
          <w:rFonts w:ascii="Arial" w:eastAsia="Calibri" w:hAnsi="Arial" w:cs="Arial"/>
          <w:sz w:val="20"/>
          <w:szCs w:val="20"/>
        </w:rPr>
        <w:t>para las Zonas no Interconectadas</w:t>
      </w:r>
      <w:r w:rsidRPr="00992463">
        <w:rPr>
          <w:rFonts w:ascii="Arial" w:eastAsia="Calibri" w:hAnsi="Arial" w:cs="Arial"/>
          <w:sz w:val="20"/>
          <w:szCs w:val="20"/>
          <w:lang w:val="es-ES"/>
        </w:rPr>
        <w:t xml:space="preserve"> – IPSE el </w:t>
      </w:r>
      <w:r w:rsidR="00992463" w:rsidRPr="00992463">
        <w:rPr>
          <w:rFonts w:ascii="Arial" w:eastAsia="Calibri" w:hAnsi="Arial" w:cs="Arial"/>
          <w:sz w:val="20"/>
          <w:szCs w:val="20"/>
          <w:lang w:val="es-ES"/>
        </w:rPr>
        <w:t>2</w:t>
      </w:r>
      <w:r w:rsidRPr="00992463">
        <w:rPr>
          <w:rFonts w:ascii="Arial" w:eastAsia="Calibri" w:hAnsi="Arial" w:cs="Arial"/>
          <w:sz w:val="20"/>
          <w:szCs w:val="20"/>
          <w:lang w:val="es-ES"/>
        </w:rPr>
        <w:t>,</w:t>
      </w:r>
      <w:r w:rsidR="00992463" w:rsidRPr="00992463">
        <w:rPr>
          <w:rFonts w:ascii="Arial" w:eastAsia="Calibri" w:hAnsi="Arial" w:cs="Arial"/>
          <w:sz w:val="20"/>
          <w:szCs w:val="20"/>
          <w:lang w:val="es-ES"/>
        </w:rPr>
        <w:t>96</w:t>
      </w:r>
      <w:r w:rsidRPr="00992463">
        <w:rPr>
          <w:rFonts w:ascii="Arial" w:eastAsia="Calibri" w:hAnsi="Arial" w:cs="Arial"/>
          <w:sz w:val="20"/>
          <w:szCs w:val="20"/>
          <w:lang w:val="es-ES"/>
        </w:rPr>
        <w:t>%, para la Comisión de Regulación de Energía y Gas –CREG y el 2,</w:t>
      </w:r>
      <w:r w:rsidR="00992463" w:rsidRPr="00992463">
        <w:rPr>
          <w:rFonts w:ascii="Arial" w:eastAsia="Calibri" w:hAnsi="Arial" w:cs="Arial"/>
          <w:sz w:val="20"/>
          <w:szCs w:val="20"/>
          <w:lang w:val="es-ES"/>
        </w:rPr>
        <w:t>22</w:t>
      </w:r>
      <w:r w:rsidRPr="00992463">
        <w:rPr>
          <w:rFonts w:ascii="Arial" w:eastAsia="Calibri" w:hAnsi="Arial" w:cs="Arial"/>
          <w:sz w:val="20"/>
          <w:szCs w:val="20"/>
          <w:lang w:val="es-ES"/>
        </w:rPr>
        <w:t>% para la Unidad de Planeación Minero Energética – UPME.</w:t>
      </w:r>
    </w:p>
    <w:p w14:paraId="694A4AF7" w14:textId="77777777" w:rsidR="00C7469E" w:rsidRPr="00D85753" w:rsidRDefault="00C7469E" w:rsidP="00C7469E">
      <w:pPr>
        <w:spacing w:after="0" w:line="240" w:lineRule="auto"/>
        <w:jc w:val="both"/>
        <w:rPr>
          <w:rFonts w:ascii="Arial" w:eastAsia="Calibri" w:hAnsi="Arial" w:cs="Arial"/>
          <w:sz w:val="20"/>
          <w:szCs w:val="20"/>
          <w:highlight w:val="yellow"/>
          <w:lang w:val="es-ES"/>
        </w:rPr>
      </w:pPr>
    </w:p>
    <w:p w14:paraId="622AE721" w14:textId="77777777" w:rsidR="00C7469E" w:rsidRPr="00D85753" w:rsidRDefault="00C7469E" w:rsidP="00C7469E">
      <w:pPr>
        <w:spacing w:after="0" w:line="240" w:lineRule="auto"/>
        <w:jc w:val="both"/>
        <w:rPr>
          <w:rFonts w:ascii="Arial" w:eastAsia="Calibri" w:hAnsi="Arial" w:cs="Arial"/>
          <w:sz w:val="20"/>
          <w:szCs w:val="20"/>
          <w:highlight w:val="yellow"/>
          <w:lang w:val="es-ES"/>
        </w:rPr>
      </w:pPr>
    </w:p>
    <w:p w14:paraId="22F1D16E" w14:textId="77777777" w:rsidR="00C7469E" w:rsidRPr="00D85753" w:rsidRDefault="00C7469E" w:rsidP="00C7469E">
      <w:pPr>
        <w:spacing w:after="0" w:line="240" w:lineRule="auto"/>
        <w:jc w:val="both"/>
        <w:rPr>
          <w:rFonts w:ascii="Arial" w:eastAsia="Calibri" w:hAnsi="Arial" w:cs="Arial"/>
          <w:sz w:val="20"/>
          <w:szCs w:val="20"/>
          <w:highlight w:val="yellow"/>
          <w:lang w:val="es-ES"/>
        </w:rPr>
      </w:pPr>
    </w:p>
    <w:p w14:paraId="3C51D6E6" w14:textId="77777777" w:rsidR="00C7469E" w:rsidRPr="00992463" w:rsidRDefault="00C7469E" w:rsidP="00C7469E">
      <w:pPr>
        <w:spacing w:after="0" w:line="240" w:lineRule="auto"/>
        <w:jc w:val="center"/>
        <w:rPr>
          <w:rFonts w:ascii="Arial" w:eastAsia="Calibri" w:hAnsi="Arial" w:cs="Arial"/>
          <w:b/>
          <w:sz w:val="20"/>
          <w:szCs w:val="20"/>
          <w:lang w:val="es-ES"/>
        </w:rPr>
      </w:pPr>
      <w:r w:rsidRPr="00992463">
        <w:rPr>
          <w:rFonts w:ascii="Arial" w:eastAsia="Calibri" w:hAnsi="Arial" w:cs="Arial"/>
          <w:b/>
          <w:sz w:val="20"/>
          <w:szCs w:val="20"/>
          <w:lang w:val="es-ES"/>
        </w:rPr>
        <w:t xml:space="preserve">Grafica N° 4 Composición del presupuesto de Funcionamiento Sector Minas y Energía – </w:t>
      </w:r>
    </w:p>
    <w:p w14:paraId="2AAE1B62" w14:textId="14C62403" w:rsidR="00C7469E" w:rsidRPr="00992463" w:rsidRDefault="00C7469E" w:rsidP="00C7469E">
      <w:pPr>
        <w:spacing w:after="0" w:line="240" w:lineRule="auto"/>
        <w:jc w:val="center"/>
        <w:rPr>
          <w:rFonts w:ascii="Arial" w:eastAsia="Calibri" w:hAnsi="Arial" w:cs="Arial"/>
          <w:b/>
          <w:sz w:val="20"/>
          <w:szCs w:val="20"/>
          <w:lang w:val="es-ES"/>
        </w:rPr>
      </w:pPr>
      <w:r w:rsidRPr="00992463">
        <w:rPr>
          <w:rFonts w:ascii="Arial" w:eastAsia="Calibri" w:hAnsi="Arial" w:cs="Arial"/>
          <w:b/>
          <w:sz w:val="20"/>
          <w:szCs w:val="20"/>
          <w:lang w:val="es-ES"/>
        </w:rPr>
        <w:t>I</w:t>
      </w:r>
      <w:r w:rsidR="00992463" w:rsidRPr="00992463">
        <w:rPr>
          <w:rFonts w:ascii="Arial" w:eastAsia="Calibri" w:hAnsi="Arial" w:cs="Arial"/>
          <w:b/>
          <w:sz w:val="20"/>
          <w:szCs w:val="20"/>
          <w:lang w:val="es-ES"/>
        </w:rPr>
        <w:t>I</w:t>
      </w:r>
      <w:r w:rsidRPr="00992463">
        <w:rPr>
          <w:rFonts w:ascii="Arial" w:eastAsia="Calibri" w:hAnsi="Arial" w:cs="Arial"/>
          <w:b/>
          <w:sz w:val="20"/>
          <w:szCs w:val="20"/>
          <w:lang w:val="es-ES"/>
        </w:rPr>
        <w:t xml:space="preserve"> Trimestre de 2018 </w:t>
      </w:r>
    </w:p>
    <w:p w14:paraId="10604A01" w14:textId="77777777" w:rsidR="00992463" w:rsidRPr="00992463" w:rsidRDefault="00992463" w:rsidP="00C7469E">
      <w:pPr>
        <w:spacing w:after="0" w:line="240" w:lineRule="auto"/>
        <w:jc w:val="center"/>
        <w:rPr>
          <w:rFonts w:ascii="Arial" w:eastAsia="Calibri" w:hAnsi="Arial" w:cs="Arial"/>
          <w:b/>
          <w:sz w:val="20"/>
          <w:szCs w:val="20"/>
          <w:lang w:val="es-ES"/>
        </w:rPr>
      </w:pPr>
    </w:p>
    <w:p w14:paraId="745D52AB" w14:textId="1C9E9FC4" w:rsidR="00C7469E" w:rsidRPr="00992463" w:rsidRDefault="00992463" w:rsidP="00C7469E">
      <w:pPr>
        <w:spacing w:after="0" w:line="240" w:lineRule="auto"/>
        <w:jc w:val="center"/>
        <w:rPr>
          <w:rFonts w:ascii="Arial" w:eastAsia="Calibri" w:hAnsi="Arial" w:cs="Arial"/>
          <w:b/>
          <w:sz w:val="20"/>
          <w:szCs w:val="20"/>
          <w:lang w:val="es-ES"/>
        </w:rPr>
      </w:pPr>
      <w:r w:rsidRPr="00992463">
        <w:rPr>
          <w:noProof/>
          <w:lang w:eastAsia="es-CO"/>
        </w:rPr>
        <w:drawing>
          <wp:inline distT="0" distB="0" distL="0" distR="0" wp14:anchorId="0C63F3F4" wp14:editId="3C382FCC">
            <wp:extent cx="4612005" cy="2228850"/>
            <wp:effectExtent l="0" t="0" r="1714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C7469E" w:rsidRPr="00992463">
        <w:rPr>
          <w:noProof/>
          <w:lang w:eastAsia="es-CO"/>
        </w:rPr>
        <w:t xml:space="preserve"> </w:t>
      </w:r>
    </w:p>
    <w:p w14:paraId="3B3962AE" w14:textId="77777777" w:rsidR="00C7469E" w:rsidRPr="00992463" w:rsidRDefault="00C7469E" w:rsidP="00C7469E">
      <w:pPr>
        <w:spacing w:after="0" w:line="240" w:lineRule="auto"/>
        <w:rPr>
          <w:rFonts w:ascii="Arial" w:eastAsia="Calibri" w:hAnsi="Arial" w:cs="Arial"/>
          <w:i/>
          <w:sz w:val="16"/>
          <w:szCs w:val="16"/>
        </w:rPr>
      </w:pPr>
    </w:p>
    <w:p w14:paraId="238B9118" w14:textId="77777777" w:rsidR="00C7469E" w:rsidRPr="00992463" w:rsidRDefault="00C7469E" w:rsidP="00C7469E">
      <w:pPr>
        <w:spacing w:after="0" w:line="240" w:lineRule="auto"/>
        <w:jc w:val="center"/>
        <w:rPr>
          <w:rFonts w:ascii="Arial" w:eastAsia="Calibri" w:hAnsi="Arial" w:cs="Arial"/>
          <w:noProof/>
          <w:sz w:val="16"/>
          <w:szCs w:val="16"/>
          <w:lang w:val="es-ES" w:eastAsia="es-ES"/>
        </w:rPr>
      </w:pPr>
      <w:r w:rsidRPr="00992463">
        <w:rPr>
          <w:rFonts w:ascii="Arial" w:eastAsia="Calibri" w:hAnsi="Arial" w:cs="Arial"/>
          <w:i/>
          <w:sz w:val="16"/>
          <w:szCs w:val="16"/>
        </w:rPr>
        <w:t>Fuente: SIIF Nación - MHCP</w:t>
      </w:r>
    </w:p>
    <w:p w14:paraId="3C49FE11" w14:textId="77777777" w:rsidR="00C7469E" w:rsidRPr="00D85753" w:rsidRDefault="00C7469E" w:rsidP="00C7469E">
      <w:pPr>
        <w:spacing w:after="0" w:line="240" w:lineRule="auto"/>
        <w:jc w:val="center"/>
        <w:rPr>
          <w:rFonts w:ascii="Arial" w:eastAsia="Arial" w:hAnsi="Arial" w:cs="Arial"/>
          <w:color w:val="FF0000"/>
          <w:sz w:val="20"/>
          <w:szCs w:val="20"/>
          <w:highlight w:val="yellow"/>
        </w:rPr>
      </w:pPr>
    </w:p>
    <w:p w14:paraId="5D6F22FB" w14:textId="77777777" w:rsidR="00992463" w:rsidRDefault="00992463" w:rsidP="00C7469E">
      <w:pPr>
        <w:spacing w:after="0" w:line="240" w:lineRule="auto"/>
        <w:jc w:val="both"/>
        <w:rPr>
          <w:rFonts w:ascii="Arial" w:eastAsia="Arial" w:hAnsi="Arial" w:cs="Arial"/>
          <w:sz w:val="20"/>
          <w:szCs w:val="20"/>
          <w:highlight w:val="yellow"/>
        </w:rPr>
      </w:pPr>
    </w:p>
    <w:p w14:paraId="7DA49C6D" w14:textId="27D39443" w:rsidR="00C7469E" w:rsidRPr="00992463" w:rsidRDefault="00C7469E" w:rsidP="00C7469E">
      <w:pPr>
        <w:spacing w:after="0" w:line="240" w:lineRule="auto"/>
        <w:jc w:val="both"/>
        <w:rPr>
          <w:rFonts w:ascii="Arial" w:eastAsia="Arial" w:hAnsi="Arial" w:cs="Arial"/>
          <w:sz w:val="20"/>
          <w:szCs w:val="20"/>
          <w:lang w:val="es-ES"/>
        </w:rPr>
      </w:pPr>
      <w:r w:rsidRPr="00992463">
        <w:rPr>
          <w:rFonts w:ascii="Arial" w:eastAsia="Arial" w:hAnsi="Arial" w:cs="Arial"/>
          <w:sz w:val="20"/>
          <w:szCs w:val="20"/>
        </w:rPr>
        <w:t>A nivel del tipo de recurso, el presupuesto para Funcionamiento está compuesto por Recursos de la Nación en un 27.</w:t>
      </w:r>
      <w:r w:rsidR="00992463" w:rsidRPr="00992463">
        <w:rPr>
          <w:rFonts w:ascii="Arial" w:eastAsia="Arial" w:hAnsi="Arial" w:cs="Arial"/>
          <w:sz w:val="20"/>
          <w:szCs w:val="20"/>
        </w:rPr>
        <w:t>45</w:t>
      </w:r>
      <w:r w:rsidRPr="00992463">
        <w:rPr>
          <w:rFonts w:ascii="Arial" w:eastAsia="Arial" w:hAnsi="Arial" w:cs="Arial"/>
          <w:sz w:val="20"/>
          <w:szCs w:val="20"/>
        </w:rPr>
        <w:t>% ($181.0</w:t>
      </w:r>
      <w:r w:rsidR="00992463" w:rsidRPr="00992463">
        <w:rPr>
          <w:rFonts w:ascii="Arial" w:eastAsia="Arial" w:hAnsi="Arial" w:cs="Arial"/>
          <w:sz w:val="20"/>
          <w:szCs w:val="20"/>
        </w:rPr>
        <w:t>35 millones) y el restante 72.90</w:t>
      </w:r>
      <w:r w:rsidRPr="00992463">
        <w:rPr>
          <w:rFonts w:ascii="Arial" w:eastAsia="Arial" w:hAnsi="Arial" w:cs="Arial"/>
          <w:sz w:val="20"/>
          <w:szCs w:val="20"/>
        </w:rPr>
        <w:t>% ($48</w:t>
      </w:r>
      <w:r w:rsidR="00992463" w:rsidRPr="00992463">
        <w:rPr>
          <w:rFonts w:ascii="Arial" w:eastAsia="Arial" w:hAnsi="Arial" w:cs="Arial"/>
          <w:sz w:val="20"/>
          <w:szCs w:val="20"/>
        </w:rPr>
        <w:t>0</w:t>
      </w:r>
      <w:r w:rsidRPr="00992463">
        <w:rPr>
          <w:rFonts w:ascii="Arial" w:eastAsia="Arial" w:hAnsi="Arial" w:cs="Arial"/>
          <w:sz w:val="20"/>
          <w:szCs w:val="20"/>
        </w:rPr>
        <w:t>.</w:t>
      </w:r>
      <w:r w:rsidR="00992463" w:rsidRPr="00992463">
        <w:rPr>
          <w:rFonts w:ascii="Arial" w:eastAsia="Arial" w:hAnsi="Arial" w:cs="Arial"/>
          <w:sz w:val="20"/>
          <w:szCs w:val="20"/>
        </w:rPr>
        <w:t>772</w:t>
      </w:r>
      <w:r w:rsidRPr="00992463">
        <w:rPr>
          <w:rFonts w:ascii="Arial" w:eastAsia="Arial" w:hAnsi="Arial" w:cs="Arial"/>
          <w:sz w:val="20"/>
          <w:szCs w:val="20"/>
        </w:rPr>
        <w:t xml:space="preserve"> millones) corresponden a Recursos Propios.</w:t>
      </w:r>
    </w:p>
    <w:p w14:paraId="2F120207" w14:textId="77777777" w:rsidR="00C7469E" w:rsidRPr="00992463" w:rsidRDefault="00C7469E" w:rsidP="00C7469E">
      <w:pPr>
        <w:spacing w:after="0" w:line="360" w:lineRule="auto"/>
        <w:rPr>
          <w:rFonts w:ascii="Arial" w:eastAsia="Calibri" w:hAnsi="Arial" w:cs="Arial"/>
          <w:sz w:val="20"/>
          <w:szCs w:val="20"/>
          <w:lang w:val="es-ES"/>
        </w:rPr>
      </w:pPr>
    </w:p>
    <w:p w14:paraId="60E486E8" w14:textId="63505A93" w:rsidR="00C7469E" w:rsidRPr="0023152F" w:rsidRDefault="00C7469E" w:rsidP="00C7469E">
      <w:pPr>
        <w:spacing w:after="0" w:line="240" w:lineRule="auto"/>
        <w:jc w:val="both"/>
        <w:rPr>
          <w:rFonts w:ascii="Arial" w:eastAsia="Calibri" w:hAnsi="Arial" w:cs="Arial"/>
          <w:sz w:val="20"/>
          <w:szCs w:val="20"/>
        </w:rPr>
      </w:pPr>
      <w:r w:rsidRPr="00992463">
        <w:rPr>
          <w:rFonts w:ascii="Arial" w:eastAsia="Calibri" w:hAnsi="Arial" w:cs="Arial"/>
          <w:sz w:val="20"/>
          <w:szCs w:val="20"/>
        </w:rPr>
        <w:t xml:space="preserve">Dichos Recursos de la Nación corresponden en un 43.01% ($77.865 millones) al Ministerio de Minas y </w:t>
      </w:r>
      <w:r w:rsidRPr="0023152F">
        <w:rPr>
          <w:rFonts w:ascii="Arial" w:eastAsia="Calibri" w:hAnsi="Arial" w:cs="Arial"/>
          <w:sz w:val="20"/>
          <w:szCs w:val="20"/>
        </w:rPr>
        <w:t>Energía, un 10,34% ($17.916 millones), un 24.65% ($44.627 millones) al Servicio Geológico Colombiano – SGC, un 12,29% ($22.255 millones) para la Agencia Nac</w:t>
      </w:r>
      <w:r w:rsidR="0023152F" w:rsidRPr="0023152F">
        <w:rPr>
          <w:rFonts w:ascii="Arial" w:eastAsia="Calibri" w:hAnsi="Arial" w:cs="Arial"/>
          <w:sz w:val="20"/>
          <w:szCs w:val="20"/>
        </w:rPr>
        <w:t>ional de Minería – ANM, un 12.03</w:t>
      </w:r>
      <w:r w:rsidRPr="0023152F">
        <w:rPr>
          <w:rFonts w:ascii="Arial" w:eastAsia="Calibri" w:hAnsi="Arial" w:cs="Arial"/>
          <w:sz w:val="20"/>
          <w:szCs w:val="20"/>
        </w:rPr>
        <w:t>% ($2</w:t>
      </w:r>
      <w:r w:rsidR="0023152F" w:rsidRPr="0023152F">
        <w:rPr>
          <w:rFonts w:ascii="Arial" w:eastAsia="Calibri" w:hAnsi="Arial" w:cs="Arial"/>
          <w:sz w:val="20"/>
          <w:szCs w:val="20"/>
        </w:rPr>
        <w:t xml:space="preserve">1.778 </w:t>
      </w:r>
      <w:r w:rsidRPr="0023152F">
        <w:rPr>
          <w:rFonts w:ascii="Arial" w:eastAsia="Calibri" w:hAnsi="Arial" w:cs="Arial"/>
          <w:sz w:val="20"/>
          <w:szCs w:val="20"/>
        </w:rPr>
        <w:t xml:space="preserve">millones) a la Comisión de Regulación de Energía y Gas – CREG y un 8,01% ($14.509 millones) al Instituto de Planificación y Soluciones Energéticas para las Zonas no Interconectadas - IPSE, </w:t>
      </w:r>
    </w:p>
    <w:p w14:paraId="3A184D3F" w14:textId="77777777" w:rsidR="00C7469E" w:rsidRPr="00D85753" w:rsidRDefault="00C7469E" w:rsidP="00C7469E">
      <w:pPr>
        <w:spacing w:after="0" w:line="360" w:lineRule="auto"/>
        <w:jc w:val="both"/>
        <w:rPr>
          <w:rFonts w:ascii="Arial" w:eastAsia="Calibri" w:hAnsi="Arial" w:cs="Arial"/>
          <w:sz w:val="20"/>
          <w:szCs w:val="20"/>
          <w:highlight w:val="yellow"/>
        </w:rPr>
      </w:pPr>
    </w:p>
    <w:p w14:paraId="515830FE" w14:textId="7885924E" w:rsidR="00C7469E" w:rsidRPr="00D85753" w:rsidRDefault="00C7469E" w:rsidP="00C7469E">
      <w:pPr>
        <w:spacing w:after="0" w:line="240" w:lineRule="auto"/>
        <w:jc w:val="both"/>
        <w:rPr>
          <w:rFonts w:ascii="Arial" w:eastAsia="Calibri" w:hAnsi="Arial" w:cs="Arial"/>
          <w:sz w:val="20"/>
          <w:szCs w:val="20"/>
          <w:highlight w:val="yellow"/>
        </w:rPr>
      </w:pPr>
      <w:r w:rsidRPr="0023152F">
        <w:rPr>
          <w:rFonts w:ascii="Arial" w:eastAsia="Calibri" w:hAnsi="Arial" w:cs="Arial"/>
          <w:sz w:val="20"/>
          <w:szCs w:val="20"/>
        </w:rPr>
        <w:t>Adicionalmente, los Recurso</w:t>
      </w:r>
      <w:r w:rsidR="0023152F" w:rsidRPr="0023152F">
        <w:rPr>
          <w:rFonts w:ascii="Arial" w:eastAsia="Calibri" w:hAnsi="Arial" w:cs="Arial"/>
          <w:sz w:val="20"/>
          <w:szCs w:val="20"/>
        </w:rPr>
        <w:t>s Propios son generados en un 76.68% ($368.208</w:t>
      </w:r>
      <w:r w:rsidRPr="0023152F">
        <w:rPr>
          <w:rFonts w:ascii="Arial" w:eastAsia="Calibri" w:hAnsi="Arial" w:cs="Arial"/>
          <w:sz w:val="20"/>
          <w:szCs w:val="20"/>
        </w:rPr>
        <w:t xml:space="preserve"> millones) por la Agencia Nacional </w:t>
      </w:r>
      <w:r w:rsidR="0023152F" w:rsidRPr="0023152F">
        <w:rPr>
          <w:rFonts w:ascii="Arial" w:eastAsia="Calibri" w:hAnsi="Arial" w:cs="Arial"/>
          <w:sz w:val="20"/>
          <w:szCs w:val="20"/>
        </w:rPr>
        <w:t>de Hidrocarburos - ANH, un 15.79</w:t>
      </w:r>
      <w:r w:rsidRPr="0023152F">
        <w:rPr>
          <w:rFonts w:ascii="Arial" w:eastAsia="Calibri" w:hAnsi="Arial" w:cs="Arial"/>
          <w:sz w:val="20"/>
          <w:szCs w:val="20"/>
        </w:rPr>
        <w:t>% ($75.846 millones) por la Agencia Nacional de Minera - ANM, 3.4</w:t>
      </w:r>
      <w:r w:rsidR="0023152F" w:rsidRPr="0023152F">
        <w:rPr>
          <w:rFonts w:ascii="Arial" w:eastAsia="Calibri" w:hAnsi="Arial" w:cs="Arial"/>
          <w:sz w:val="20"/>
          <w:szCs w:val="20"/>
        </w:rPr>
        <w:t>6</w:t>
      </w:r>
      <w:r w:rsidRPr="0023152F">
        <w:rPr>
          <w:rFonts w:ascii="Arial" w:eastAsia="Calibri" w:hAnsi="Arial" w:cs="Arial"/>
          <w:sz w:val="20"/>
          <w:szCs w:val="20"/>
        </w:rPr>
        <w:t xml:space="preserve">% ($16.622 millones) los genera el Instituto de Planificación y Soluciones Energéticas para las Zonas no Interconectadas – IPSE, </w:t>
      </w:r>
      <w:r w:rsidR="0023152F" w:rsidRPr="0023152F">
        <w:rPr>
          <w:rFonts w:ascii="Arial" w:eastAsia="Calibri" w:hAnsi="Arial" w:cs="Arial"/>
          <w:sz w:val="20"/>
          <w:szCs w:val="20"/>
        </w:rPr>
        <w:t xml:space="preserve">el </w:t>
      </w:r>
      <w:r w:rsidRPr="0023152F">
        <w:rPr>
          <w:rFonts w:ascii="Arial" w:eastAsia="Calibri" w:hAnsi="Arial" w:cs="Arial"/>
          <w:sz w:val="20"/>
          <w:szCs w:val="20"/>
        </w:rPr>
        <w:t>3.</w:t>
      </w:r>
      <w:r w:rsidR="0023152F" w:rsidRPr="0023152F">
        <w:rPr>
          <w:rFonts w:ascii="Arial" w:eastAsia="Calibri" w:hAnsi="Arial" w:cs="Arial"/>
          <w:sz w:val="20"/>
          <w:szCs w:val="20"/>
        </w:rPr>
        <w:t>0</w:t>
      </w:r>
      <w:r w:rsidRPr="0023152F">
        <w:rPr>
          <w:rFonts w:ascii="Arial" w:eastAsia="Calibri" w:hAnsi="Arial" w:cs="Arial"/>
          <w:sz w:val="20"/>
          <w:szCs w:val="20"/>
        </w:rPr>
        <w:t>5% ($1</w:t>
      </w:r>
      <w:r w:rsidR="0023152F" w:rsidRPr="0023152F">
        <w:rPr>
          <w:rFonts w:ascii="Arial" w:eastAsia="Calibri" w:hAnsi="Arial" w:cs="Arial"/>
          <w:sz w:val="20"/>
          <w:szCs w:val="20"/>
        </w:rPr>
        <w:t>4.643</w:t>
      </w:r>
      <w:r w:rsidRPr="0023152F">
        <w:rPr>
          <w:rFonts w:ascii="Arial" w:eastAsia="Calibri" w:hAnsi="Arial" w:cs="Arial"/>
          <w:sz w:val="20"/>
          <w:szCs w:val="20"/>
        </w:rPr>
        <w:t xml:space="preserve"> millones) por la Unidad de Planeación Minero Energética - UPME , y el restante  un 1.4</w:t>
      </w:r>
      <w:r w:rsidR="0023152F" w:rsidRPr="0023152F">
        <w:rPr>
          <w:rFonts w:ascii="Arial" w:eastAsia="Calibri" w:hAnsi="Arial" w:cs="Arial"/>
          <w:sz w:val="20"/>
          <w:szCs w:val="20"/>
        </w:rPr>
        <w:t>9</w:t>
      </w:r>
      <w:r w:rsidRPr="0023152F">
        <w:rPr>
          <w:rFonts w:ascii="Arial" w:eastAsia="Calibri" w:hAnsi="Arial" w:cs="Arial"/>
          <w:sz w:val="20"/>
          <w:szCs w:val="20"/>
        </w:rPr>
        <w:t xml:space="preserve">% ($7.159 millones) por el Servicio Geológico Colombiano – SGC. </w:t>
      </w:r>
    </w:p>
    <w:p w14:paraId="5724A33F" w14:textId="2B17E4C3" w:rsidR="00C7469E" w:rsidRPr="0023152F" w:rsidRDefault="00C7469E" w:rsidP="007B6220">
      <w:pPr>
        <w:pStyle w:val="Ttulo2"/>
        <w:numPr>
          <w:ilvl w:val="1"/>
          <w:numId w:val="5"/>
        </w:numPr>
        <w:rPr>
          <w:rFonts w:ascii="Arial" w:eastAsia="Calibri" w:hAnsi="Arial" w:cs="Arial"/>
          <w:color w:val="auto"/>
          <w:sz w:val="22"/>
          <w:szCs w:val="22"/>
        </w:rPr>
      </w:pPr>
      <w:bookmarkStart w:id="3" w:name="_Toc525652004"/>
      <w:r w:rsidRPr="0023152F">
        <w:rPr>
          <w:rFonts w:ascii="Arial" w:eastAsia="Calibri" w:hAnsi="Arial" w:cs="Arial"/>
          <w:color w:val="auto"/>
          <w:sz w:val="22"/>
          <w:szCs w:val="22"/>
        </w:rPr>
        <w:lastRenderedPageBreak/>
        <w:t>Composición del Pres</w:t>
      </w:r>
      <w:r w:rsidR="008230EB" w:rsidRPr="0023152F">
        <w:rPr>
          <w:rFonts w:ascii="Arial" w:eastAsia="Calibri" w:hAnsi="Arial" w:cs="Arial"/>
          <w:color w:val="auto"/>
          <w:sz w:val="22"/>
          <w:szCs w:val="22"/>
        </w:rPr>
        <w:t>upuesto de Inversión del Sector</w:t>
      </w:r>
      <w:r w:rsidRPr="0023152F">
        <w:rPr>
          <w:rFonts w:ascii="Arial" w:eastAsia="Calibri" w:hAnsi="Arial" w:cs="Arial"/>
          <w:color w:val="auto"/>
          <w:sz w:val="22"/>
          <w:szCs w:val="22"/>
        </w:rPr>
        <w:t xml:space="preserve"> 2018</w:t>
      </w:r>
      <w:bookmarkEnd w:id="3"/>
    </w:p>
    <w:p w14:paraId="33978B8B" w14:textId="77777777" w:rsidR="00C7469E" w:rsidRPr="0023152F" w:rsidRDefault="00C7469E" w:rsidP="00C7469E">
      <w:pPr>
        <w:spacing w:after="0" w:line="240" w:lineRule="auto"/>
        <w:jc w:val="center"/>
        <w:rPr>
          <w:rFonts w:ascii="Arial" w:eastAsia="Calibri" w:hAnsi="Arial" w:cs="Arial"/>
          <w:b/>
          <w:sz w:val="20"/>
          <w:szCs w:val="20"/>
          <w:lang w:eastAsia="es-CO"/>
        </w:rPr>
      </w:pPr>
    </w:p>
    <w:p w14:paraId="57D11D4D" w14:textId="30F38B21" w:rsidR="00C7469E" w:rsidRPr="00D85753" w:rsidRDefault="00C7469E" w:rsidP="00C7469E">
      <w:pPr>
        <w:spacing w:after="0" w:line="240" w:lineRule="auto"/>
        <w:jc w:val="both"/>
        <w:rPr>
          <w:rFonts w:ascii="Arial" w:eastAsia="Calibri" w:hAnsi="Arial" w:cs="Arial"/>
          <w:sz w:val="20"/>
          <w:szCs w:val="20"/>
          <w:highlight w:val="yellow"/>
          <w:lang w:val="es-ES"/>
        </w:rPr>
      </w:pPr>
      <w:r w:rsidRPr="0023152F">
        <w:rPr>
          <w:rFonts w:ascii="Arial" w:eastAsia="Calibri" w:hAnsi="Arial" w:cs="Arial"/>
          <w:sz w:val="20"/>
          <w:szCs w:val="20"/>
          <w:lang w:val="es-ES"/>
        </w:rPr>
        <w:t>El presupuesto de Inversión está distribuido en 7 unidades ejecutoras con una participación presupuestal e</w:t>
      </w:r>
      <w:r w:rsidR="0023152F" w:rsidRPr="0023152F">
        <w:rPr>
          <w:rFonts w:ascii="Arial" w:eastAsia="Calibri" w:hAnsi="Arial" w:cs="Arial"/>
          <w:sz w:val="20"/>
          <w:szCs w:val="20"/>
          <w:lang w:val="es-ES"/>
        </w:rPr>
        <w:t>n el siguiente orden: el 90.82</w:t>
      </w:r>
      <w:r w:rsidRPr="0023152F">
        <w:rPr>
          <w:rFonts w:ascii="Arial" w:eastAsia="Calibri" w:hAnsi="Arial" w:cs="Arial"/>
          <w:sz w:val="20"/>
          <w:szCs w:val="20"/>
          <w:lang w:val="es-ES"/>
        </w:rPr>
        <w:t>% para el Minist</w:t>
      </w:r>
      <w:r w:rsidR="0023152F" w:rsidRPr="0023152F">
        <w:rPr>
          <w:rFonts w:ascii="Arial" w:eastAsia="Calibri" w:hAnsi="Arial" w:cs="Arial"/>
          <w:sz w:val="20"/>
          <w:szCs w:val="20"/>
          <w:lang w:val="es-ES"/>
        </w:rPr>
        <w:t>erio de Minas y Energía, el 7.51</w:t>
      </w:r>
      <w:r w:rsidRPr="0023152F">
        <w:rPr>
          <w:rFonts w:ascii="Arial" w:eastAsia="Calibri" w:hAnsi="Arial" w:cs="Arial"/>
          <w:sz w:val="20"/>
          <w:szCs w:val="20"/>
          <w:lang w:val="es-ES"/>
        </w:rPr>
        <w:t xml:space="preserve">% para la Agencia Nacional de Hidrocarburos – ANH, </w:t>
      </w:r>
      <w:r w:rsidR="0023152F" w:rsidRPr="0023152F">
        <w:rPr>
          <w:rFonts w:ascii="Arial" w:eastAsia="Calibri" w:hAnsi="Arial" w:cs="Arial"/>
          <w:sz w:val="20"/>
          <w:szCs w:val="20"/>
          <w:lang w:val="es-ES"/>
        </w:rPr>
        <w:t>el 0,54</w:t>
      </w:r>
      <w:r w:rsidRPr="0023152F">
        <w:rPr>
          <w:rFonts w:ascii="Arial" w:eastAsia="Calibri" w:hAnsi="Arial" w:cs="Arial"/>
          <w:sz w:val="20"/>
          <w:szCs w:val="20"/>
          <w:lang w:val="es-ES"/>
        </w:rPr>
        <w:t>% para la Unidad de Planeación Mi</w:t>
      </w:r>
      <w:r w:rsidR="0023152F" w:rsidRPr="0023152F">
        <w:rPr>
          <w:rFonts w:ascii="Arial" w:eastAsia="Calibri" w:hAnsi="Arial" w:cs="Arial"/>
          <w:sz w:val="20"/>
          <w:szCs w:val="20"/>
          <w:lang w:val="es-ES"/>
        </w:rPr>
        <w:t>nero Energética – UPME,  el 0,36</w:t>
      </w:r>
      <w:r w:rsidRPr="0023152F">
        <w:rPr>
          <w:rFonts w:ascii="Arial" w:eastAsia="Calibri" w:hAnsi="Arial" w:cs="Arial"/>
          <w:sz w:val="20"/>
          <w:szCs w:val="20"/>
          <w:lang w:val="es-ES"/>
        </w:rPr>
        <w:t>% para la Agencia N</w:t>
      </w:r>
      <w:r w:rsidR="0023152F" w:rsidRPr="0023152F">
        <w:rPr>
          <w:rFonts w:ascii="Arial" w:eastAsia="Calibri" w:hAnsi="Arial" w:cs="Arial"/>
          <w:sz w:val="20"/>
          <w:szCs w:val="20"/>
          <w:lang w:val="es-ES"/>
        </w:rPr>
        <w:t>acional de Minera – ANM, el 0.27</w:t>
      </w:r>
      <w:r w:rsidRPr="0023152F">
        <w:rPr>
          <w:rFonts w:ascii="Arial" w:eastAsia="Calibri" w:hAnsi="Arial" w:cs="Arial"/>
          <w:sz w:val="20"/>
          <w:szCs w:val="20"/>
          <w:lang w:val="es-ES"/>
        </w:rPr>
        <w:t xml:space="preserve">% para el Instituto de Planificación y Promoción de Soluciones Energéticas </w:t>
      </w:r>
      <w:r w:rsidRPr="0023152F">
        <w:rPr>
          <w:rFonts w:ascii="Arial" w:eastAsia="Calibri" w:hAnsi="Arial" w:cs="Arial"/>
          <w:sz w:val="20"/>
          <w:szCs w:val="20"/>
        </w:rPr>
        <w:t>para las Zonas no Interconectadas</w:t>
      </w:r>
      <w:r w:rsidR="0023152F" w:rsidRPr="0023152F">
        <w:rPr>
          <w:rFonts w:ascii="Arial" w:eastAsia="Calibri" w:hAnsi="Arial" w:cs="Arial"/>
          <w:sz w:val="20"/>
          <w:szCs w:val="20"/>
          <w:lang w:val="es-ES"/>
        </w:rPr>
        <w:t xml:space="preserve"> - IPSE, el 0,31</w:t>
      </w:r>
      <w:r w:rsidRPr="0023152F">
        <w:rPr>
          <w:rFonts w:ascii="Arial" w:eastAsia="Calibri" w:hAnsi="Arial" w:cs="Arial"/>
          <w:sz w:val="20"/>
          <w:szCs w:val="20"/>
          <w:lang w:val="es-ES"/>
        </w:rPr>
        <w:t>% para el Servicio Geológico Colombiano- SGC, y el 0.20% para la Comisión de Regulación de Energía y Gas - CREG.</w:t>
      </w:r>
    </w:p>
    <w:p w14:paraId="0C5DE998" w14:textId="77777777" w:rsidR="00C7469E" w:rsidRPr="0023152F" w:rsidRDefault="00C7469E" w:rsidP="00C7469E">
      <w:pPr>
        <w:spacing w:after="0" w:line="240" w:lineRule="auto"/>
        <w:jc w:val="both"/>
        <w:rPr>
          <w:rFonts w:ascii="Arial" w:eastAsia="Calibri" w:hAnsi="Arial" w:cs="Arial"/>
          <w:sz w:val="20"/>
          <w:szCs w:val="20"/>
          <w:lang w:val="es-ES"/>
        </w:rPr>
      </w:pPr>
    </w:p>
    <w:p w14:paraId="09D71ECD" w14:textId="77777777" w:rsidR="00C7469E" w:rsidRPr="0023152F" w:rsidRDefault="00C7469E" w:rsidP="00C7469E">
      <w:pPr>
        <w:spacing w:after="0" w:line="240" w:lineRule="auto"/>
        <w:jc w:val="center"/>
        <w:rPr>
          <w:rFonts w:ascii="Arial" w:eastAsia="Calibri" w:hAnsi="Arial" w:cs="Arial"/>
          <w:b/>
          <w:sz w:val="20"/>
          <w:szCs w:val="20"/>
          <w:lang w:val="es-ES"/>
        </w:rPr>
      </w:pPr>
      <w:r w:rsidRPr="0023152F">
        <w:rPr>
          <w:rFonts w:ascii="Arial" w:eastAsia="Calibri" w:hAnsi="Arial" w:cs="Arial"/>
          <w:b/>
          <w:sz w:val="20"/>
          <w:szCs w:val="20"/>
          <w:lang w:val="es-ES"/>
        </w:rPr>
        <w:t xml:space="preserve">Gráfica N°5 Composición del presupuesto de Inversión Sector Minas y Energía – </w:t>
      </w:r>
    </w:p>
    <w:p w14:paraId="1CC542E4" w14:textId="0A2D4F7A" w:rsidR="00C7469E" w:rsidRPr="0023152F" w:rsidRDefault="00C7469E" w:rsidP="00C7469E">
      <w:pPr>
        <w:spacing w:after="0" w:line="240" w:lineRule="auto"/>
        <w:jc w:val="center"/>
        <w:rPr>
          <w:rFonts w:ascii="Arial" w:eastAsia="Calibri" w:hAnsi="Arial" w:cs="Arial"/>
          <w:b/>
          <w:sz w:val="20"/>
          <w:szCs w:val="20"/>
          <w:lang w:val="es-ES"/>
        </w:rPr>
      </w:pPr>
      <w:r w:rsidRPr="0023152F">
        <w:rPr>
          <w:rFonts w:ascii="Arial" w:eastAsia="Calibri" w:hAnsi="Arial" w:cs="Arial"/>
          <w:b/>
          <w:sz w:val="20"/>
          <w:szCs w:val="20"/>
          <w:lang w:val="es-ES"/>
        </w:rPr>
        <w:t>I</w:t>
      </w:r>
      <w:r w:rsidR="0023152F" w:rsidRPr="0023152F">
        <w:rPr>
          <w:rFonts w:ascii="Arial" w:eastAsia="Calibri" w:hAnsi="Arial" w:cs="Arial"/>
          <w:b/>
          <w:sz w:val="20"/>
          <w:szCs w:val="20"/>
          <w:lang w:val="es-ES"/>
        </w:rPr>
        <w:t>I</w:t>
      </w:r>
      <w:r w:rsidRPr="0023152F">
        <w:rPr>
          <w:rFonts w:ascii="Arial" w:eastAsia="Calibri" w:hAnsi="Arial" w:cs="Arial"/>
          <w:b/>
          <w:sz w:val="20"/>
          <w:szCs w:val="20"/>
          <w:lang w:val="es-ES"/>
        </w:rPr>
        <w:t xml:space="preserve"> Trimestre de 2018</w:t>
      </w:r>
    </w:p>
    <w:p w14:paraId="074EB0AC" w14:textId="77777777" w:rsidR="0023152F" w:rsidRPr="00D85753" w:rsidRDefault="0023152F" w:rsidP="00C7469E">
      <w:pPr>
        <w:spacing w:after="0" w:line="240" w:lineRule="auto"/>
        <w:jc w:val="center"/>
        <w:rPr>
          <w:rFonts w:ascii="Arial" w:eastAsia="Calibri" w:hAnsi="Arial" w:cs="Arial"/>
          <w:b/>
          <w:color w:val="FF0000"/>
          <w:sz w:val="20"/>
          <w:szCs w:val="20"/>
          <w:highlight w:val="yellow"/>
          <w:lang w:val="es-ES"/>
        </w:rPr>
      </w:pPr>
    </w:p>
    <w:p w14:paraId="56A3E2F1" w14:textId="0E1B775E" w:rsidR="00C7469E" w:rsidRPr="0023152F" w:rsidRDefault="0023152F" w:rsidP="00C7469E">
      <w:pPr>
        <w:spacing w:after="0" w:line="240" w:lineRule="auto"/>
        <w:jc w:val="center"/>
        <w:rPr>
          <w:rFonts w:ascii="Arial" w:eastAsia="Calibri" w:hAnsi="Arial" w:cs="Arial"/>
          <w:b/>
          <w:color w:val="FF0000"/>
          <w:sz w:val="20"/>
          <w:szCs w:val="20"/>
          <w:lang w:val="es-ES"/>
        </w:rPr>
      </w:pPr>
      <w:r w:rsidRPr="0023152F">
        <w:rPr>
          <w:noProof/>
          <w:lang w:eastAsia="es-CO"/>
        </w:rPr>
        <w:drawing>
          <wp:inline distT="0" distB="0" distL="0" distR="0" wp14:anchorId="4EBEFC28" wp14:editId="168490DB">
            <wp:extent cx="4572000" cy="3226734"/>
            <wp:effectExtent l="0" t="0" r="0" b="1206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4627A4" w14:textId="77777777" w:rsidR="00C7469E" w:rsidRPr="00D85753" w:rsidRDefault="00C7469E" w:rsidP="00C7469E">
      <w:pPr>
        <w:spacing w:after="0" w:line="240" w:lineRule="auto"/>
        <w:jc w:val="center"/>
        <w:rPr>
          <w:rFonts w:ascii="Arial" w:eastAsia="Calibri" w:hAnsi="Arial" w:cs="Arial"/>
          <w:b/>
          <w:sz w:val="18"/>
          <w:szCs w:val="18"/>
          <w:highlight w:val="yellow"/>
          <w:lang w:val="es-ES"/>
        </w:rPr>
      </w:pPr>
    </w:p>
    <w:p w14:paraId="666BB497" w14:textId="77777777" w:rsidR="00C7469E" w:rsidRPr="0023152F" w:rsidRDefault="00C7469E" w:rsidP="00C7469E">
      <w:pPr>
        <w:spacing w:after="0" w:line="240" w:lineRule="auto"/>
        <w:jc w:val="center"/>
        <w:rPr>
          <w:rFonts w:ascii="Arial" w:eastAsia="Calibri" w:hAnsi="Arial" w:cs="Arial"/>
          <w:noProof/>
          <w:sz w:val="18"/>
          <w:szCs w:val="18"/>
          <w:lang w:val="es-ES" w:eastAsia="es-ES"/>
        </w:rPr>
      </w:pPr>
      <w:r w:rsidRPr="0023152F">
        <w:rPr>
          <w:rFonts w:ascii="Arial" w:eastAsia="Calibri" w:hAnsi="Arial" w:cs="Arial"/>
          <w:i/>
          <w:sz w:val="18"/>
          <w:szCs w:val="18"/>
        </w:rPr>
        <w:t>Fuente: SIIF Nación - MHCP</w:t>
      </w:r>
    </w:p>
    <w:p w14:paraId="4CFBE1EA" w14:textId="77777777" w:rsidR="00C7469E" w:rsidRPr="00D85753" w:rsidRDefault="00C7469E" w:rsidP="00C7469E">
      <w:pPr>
        <w:spacing w:after="0" w:line="240" w:lineRule="auto"/>
        <w:jc w:val="center"/>
        <w:rPr>
          <w:rFonts w:ascii="Arial" w:eastAsia="Calibri" w:hAnsi="Arial" w:cs="Arial"/>
          <w:color w:val="FF0000"/>
          <w:sz w:val="20"/>
          <w:szCs w:val="20"/>
          <w:highlight w:val="yellow"/>
        </w:rPr>
      </w:pPr>
    </w:p>
    <w:p w14:paraId="7616BEC6" w14:textId="283A8193" w:rsidR="00C7469E" w:rsidRPr="0023152F" w:rsidRDefault="00C7469E" w:rsidP="00C7469E">
      <w:pPr>
        <w:tabs>
          <w:tab w:val="left" w:pos="6663"/>
        </w:tabs>
        <w:spacing w:line="240" w:lineRule="auto"/>
        <w:jc w:val="both"/>
        <w:rPr>
          <w:rFonts w:ascii="Arial" w:eastAsia="Calibri" w:hAnsi="Arial" w:cs="Arial"/>
          <w:sz w:val="20"/>
          <w:szCs w:val="20"/>
        </w:rPr>
      </w:pPr>
      <w:r w:rsidRPr="0023152F">
        <w:rPr>
          <w:rFonts w:ascii="Arial" w:eastAsia="Calibri" w:hAnsi="Arial" w:cs="Arial"/>
          <w:sz w:val="20"/>
          <w:szCs w:val="20"/>
        </w:rPr>
        <w:t>A nivel del Tipo de Recurso, el presupuesto de Inversión está compuesto po</w:t>
      </w:r>
      <w:r w:rsidR="0023152F" w:rsidRPr="0023152F">
        <w:rPr>
          <w:rFonts w:ascii="Arial" w:eastAsia="Calibri" w:hAnsi="Arial" w:cs="Arial"/>
          <w:sz w:val="20"/>
          <w:szCs w:val="20"/>
        </w:rPr>
        <w:t>r Recursos de la Nación en un 91.90</w:t>
      </w:r>
      <w:r w:rsidRPr="0023152F">
        <w:rPr>
          <w:rFonts w:ascii="Arial" w:eastAsia="Calibri" w:hAnsi="Arial" w:cs="Arial"/>
          <w:sz w:val="20"/>
          <w:szCs w:val="20"/>
        </w:rPr>
        <w:t>% ($3.3</w:t>
      </w:r>
      <w:r w:rsidR="0023152F" w:rsidRPr="0023152F">
        <w:rPr>
          <w:rFonts w:ascii="Arial" w:eastAsia="Calibri" w:hAnsi="Arial" w:cs="Arial"/>
          <w:sz w:val="20"/>
          <w:szCs w:val="20"/>
        </w:rPr>
        <w:t>08.087 millones) y el restante 8.10</w:t>
      </w:r>
      <w:r w:rsidRPr="0023152F">
        <w:rPr>
          <w:rFonts w:ascii="Arial" w:eastAsia="Calibri" w:hAnsi="Arial" w:cs="Arial"/>
          <w:sz w:val="20"/>
          <w:szCs w:val="20"/>
        </w:rPr>
        <w:t>% ($2</w:t>
      </w:r>
      <w:r w:rsidR="0023152F" w:rsidRPr="0023152F">
        <w:rPr>
          <w:rFonts w:ascii="Arial" w:eastAsia="Calibri" w:hAnsi="Arial" w:cs="Arial"/>
          <w:sz w:val="20"/>
          <w:szCs w:val="20"/>
        </w:rPr>
        <w:t>91.383</w:t>
      </w:r>
      <w:r w:rsidRPr="0023152F">
        <w:rPr>
          <w:rFonts w:ascii="Arial" w:eastAsia="Calibri" w:hAnsi="Arial" w:cs="Arial"/>
          <w:sz w:val="20"/>
          <w:szCs w:val="20"/>
        </w:rPr>
        <w:t xml:space="preserve"> millones) corresponden a Recursos Propios.</w:t>
      </w:r>
    </w:p>
    <w:p w14:paraId="61A199EE" w14:textId="5D951BE1" w:rsidR="00C7469E" w:rsidRPr="00D85753" w:rsidRDefault="00C7469E" w:rsidP="00C7469E">
      <w:pPr>
        <w:spacing w:line="240" w:lineRule="auto"/>
        <w:jc w:val="both"/>
        <w:rPr>
          <w:rFonts w:ascii="Arial" w:eastAsia="Calibri" w:hAnsi="Arial" w:cs="Arial"/>
          <w:sz w:val="20"/>
          <w:szCs w:val="20"/>
          <w:highlight w:val="yellow"/>
          <w:lang w:val="es-ES"/>
        </w:rPr>
      </w:pPr>
      <w:r w:rsidRPr="0023152F">
        <w:rPr>
          <w:rFonts w:ascii="Arial" w:eastAsia="Calibri" w:hAnsi="Arial" w:cs="Arial"/>
          <w:sz w:val="20"/>
          <w:szCs w:val="20"/>
        </w:rPr>
        <w:t>Los Recursos de la Nación se encuentran distribuidos de la siguiente manera: un 98.</w:t>
      </w:r>
      <w:r w:rsidR="0023152F" w:rsidRPr="0023152F">
        <w:rPr>
          <w:rFonts w:ascii="Arial" w:eastAsia="Calibri" w:hAnsi="Arial" w:cs="Arial"/>
          <w:sz w:val="20"/>
          <w:szCs w:val="20"/>
        </w:rPr>
        <w:t>82</w:t>
      </w:r>
      <w:r w:rsidRPr="0023152F">
        <w:rPr>
          <w:rFonts w:ascii="Arial" w:eastAsia="Calibri" w:hAnsi="Arial" w:cs="Arial"/>
          <w:sz w:val="20"/>
          <w:szCs w:val="20"/>
        </w:rPr>
        <w:t>% ($3.</w:t>
      </w:r>
      <w:r w:rsidR="0023152F" w:rsidRPr="0023152F">
        <w:rPr>
          <w:rFonts w:ascii="Arial" w:eastAsia="Calibri" w:hAnsi="Arial" w:cs="Arial"/>
          <w:sz w:val="20"/>
          <w:szCs w:val="20"/>
        </w:rPr>
        <w:t>269.153</w:t>
      </w:r>
      <w:r w:rsidRPr="0023152F">
        <w:rPr>
          <w:rFonts w:ascii="Arial" w:eastAsia="Calibri" w:hAnsi="Arial" w:cs="Arial"/>
          <w:sz w:val="20"/>
          <w:szCs w:val="20"/>
        </w:rPr>
        <w:t xml:space="preserve"> millones) al Minist</w:t>
      </w:r>
      <w:r w:rsidR="0023152F" w:rsidRPr="0023152F">
        <w:rPr>
          <w:rFonts w:ascii="Arial" w:eastAsia="Calibri" w:hAnsi="Arial" w:cs="Arial"/>
          <w:sz w:val="20"/>
          <w:szCs w:val="20"/>
        </w:rPr>
        <w:t>erio de Minas y Energía, un 0,39</w:t>
      </w:r>
      <w:r w:rsidRPr="0023152F">
        <w:rPr>
          <w:rFonts w:ascii="Arial" w:eastAsia="Calibri" w:hAnsi="Arial" w:cs="Arial"/>
          <w:sz w:val="20"/>
          <w:szCs w:val="20"/>
        </w:rPr>
        <w:t>% ($1</w:t>
      </w:r>
      <w:r w:rsidR="0023152F" w:rsidRPr="0023152F">
        <w:rPr>
          <w:rFonts w:ascii="Arial" w:eastAsia="Calibri" w:hAnsi="Arial" w:cs="Arial"/>
          <w:sz w:val="20"/>
          <w:szCs w:val="20"/>
        </w:rPr>
        <w:t>2.934</w:t>
      </w:r>
      <w:r w:rsidRPr="0023152F">
        <w:rPr>
          <w:rFonts w:ascii="Arial" w:eastAsia="Calibri" w:hAnsi="Arial" w:cs="Arial"/>
          <w:sz w:val="20"/>
          <w:szCs w:val="20"/>
        </w:rPr>
        <w:t xml:space="preserve"> millones) a la Agencia Nacional de Minería – ANM, </w:t>
      </w:r>
      <w:r w:rsidR="0023152F" w:rsidRPr="0023152F">
        <w:rPr>
          <w:rFonts w:ascii="Arial" w:eastAsia="Calibri" w:hAnsi="Arial" w:cs="Arial"/>
          <w:sz w:val="20"/>
          <w:szCs w:val="20"/>
        </w:rPr>
        <w:t>un 0.29</w:t>
      </w:r>
      <w:r w:rsidRPr="0023152F">
        <w:rPr>
          <w:rFonts w:ascii="Arial" w:eastAsia="Calibri" w:hAnsi="Arial" w:cs="Arial"/>
          <w:sz w:val="20"/>
          <w:szCs w:val="20"/>
        </w:rPr>
        <w:t>% ($</w:t>
      </w:r>
      <w:r w:rsidR="0023152F" w:rsidRPr="0023152F">
        <w:rPr>
          <w:rFonts w:ascii="Arial" w:eastAsia="Calibri" w:hAnsi="Arial" w:cs="Arial"/>
          <w:sz w:val="20"/>
          <w:szCs w:val="20"/>
        </w:rPr>
        <w:t>9.564</w:t>
      </w:r>
      <w:r w:rsidRPr="0023152F">
        <w:rPr>
          <w:rFonts w:ascii="Arial" w:eastAsia="Calibri" w:hAnsi="Arial" w:cs="Arial"/>
          <w:sz w:val="20"/>
          <w:szCs w:val="20"/>
        </w:rPr>
        <w:t xml:space="preserve"> millones) al Instituto de Planificación y Soluciones </w:t>
      </w:r>
      <w:r w:rsidR="00D71409" w:rsidRPr="0023152F">
        <w:rPr>
          <w:rFonts w:ascii="Arial" w:eastAsia="Calibri" w:hAnsi="Arial" w:cs="Arial"/>
          <w:sz w:val="20"/>
          <w:szCs w:val="20"/>
        </w:rPr>
        <w:t>Energéticas -</w:t>
      </w:r>
      <w:r w:rsidRPr="0023152F">
        <w:rPr>
          <w:rFonts w:ascii="Arial" w:eastAsia="Calibri" w:hAnsi="Arial" w:cs="Arial"/>
          <w:sz w:val="20"/>
          <w:szCs w:val="20"/>
        </w:rPr>
        <w:t xml:space="preserve"> IPSE, </w:t>
      </w:r>
      <w:r w:rsidR="0023152F" w:rsidRPr="0023152F">
        <w:rPr>
          <w:rFonts w:ascii="Arial" w:eastAsia="Calibri" w:hAnsi="Arial" w:cs="Arial"/>
          <w:sz w:val="20"/>
          <w:szCs w:val="20"/>
        </w:rPr>
        <w:t>un 0,27% ($8.987</w:t>
      </w:r>
      <w:r w:rsidRPr="0023152F">
        <w:rPr>
          <w:rFonts w:ascii="Arial" w:eastAsia="Calibri" w:hAnsi="Arial" w:cs="Arial"/>
          <w:sz w:val="20"/>
          <w:szCs w:val="20"/>
        </w:rPr>
        <w:t xml:space="preserve"> millones) al Servicio Geoló</w:t>
      </w:r>
      <w:r w:rsidR="0023152F" w:rsidRPr="0023152F">
        <w:rPr>
          <w:rFonts w:ascii="Arial" w:eastAsia="Calibri" w:hAnsi="Arial" w:cs="Arial"/>
          <w:sz w:val="20"/>
          <w:szCs w:val="20"/>
        </w:rPr>
        <w:t>gico Colombiano - SGC, y un 0,23</w:t>
      </w:r>
      <w:r w:rsidRPr="0023152F">
        <w:rPr>
          <w:rFonts w:ascii="Arial" w:eastAsia="Calibri" w:hAnsi="Arial" w:cs="Arial"/>
          <w:sz w:val="20"/>
          <w:szCs w:val="20"/>
        </w:rPr>
        <w:t xml:space="preserve">% ($7.449 millones) a la Comisión de Regulación de Energía y Gas – CREG. </w:t>
      </w:r>
    </w:p>
    <w:p w14:paraId="0F9B1DCD" w14:textId="5CEB668D" w:rsidR="00C7469E" w:rsidRPr="009A305C" w:rsidRDefault="00C7469E" w:rsidP="00C7469E">
      <w:pPr>
        <w:spacing w:after="0" w:line="240" w:lineRule="auto"/>
        <w:jc w:val="both"/>
        <w:rPr>
          <w:rFonts w:ascii="Arial" w:eastAsia="Calibri" w:hAnsi="Arial" w:cs="Arial"/>
          <w:sz w:val="20"/>
          <w:szCs w:val="20"/>
        </w:rPr>
      </w:pPr>
      <w:r w:rsidRPr="009A305C">
        <w:rPr>
          <w:rFonts w:ascii="Arial" w:eastAsia="Calibri" w:hAnsi="Arial" w:cs="Arial"/>
          <w:sz w:val="20"/>
          <w:szCs w:val="20"/>
        </w:rPr>
        <w:t>Por otra parte, los Recursos Propios son generad</w:t>
      </w:r>
      <w:r w:rsidR="0023152F" w:rsidRPr="009A305C">
        <w:rPr>
          <w:rFonts w:ascii="Arial" w:eastAsia="Calibri" w:hAnsi="Arial" w:cs="Arial"/>
          <w:sz w:val="20"/>
          <w:szCs w:val="20"/>
        </w:rPr>
        <w:t>os de la siguiente manera: un 92.79</w:t>
      </w:r>
      <w:r w:rsidRPr="009A305C">
        <w:rPr>
          <w:rFonts w:ascii="Arial" w:eastAsia="Calibri" w:hAnsi="Arial" w:cs="Arial"/>
          <w:sz w:val="20"/>
          <w:szCs w:val="20"/>
        </w:rPr>
        <w:t>% ($270.371 millones) por la Agencia Na</w:t>
      </w:r>
      <w:r w:rsidR="008230EB" w:rsidRPr="009A305C">
        <w:rPr>
          <w:rFonts w:ascii="Arial" w:eastAsia="Calibri" w:hAnsi="Arial" w:cs="Arial"/>
          <w:sz w:val="20"/>
          <w:szCs w:val="20"/>
        </w:rPr>
        <w:t>cional de Hidrocarburos – ANH y</w:t>
      </w:r>
      <w:r w:rsidR="009A305C" w:rsidRPr="009A305C">
        <w:rPr>
          <w:rFonts w:ascii="Arial" w:eastAsia="Calibri" w:hAnsi="Arial" w:cs="Arial"/>
          <w:sz w:val="20"/>
          <w:szCs w:val="20"/>
        </w:rPr>
        <w:t xml:space="preserve"> en un 6.61</w:t>
      </w:r>
      <w:r w:rsidRPr="009A305C">
        <w:rPr>
          <w:rFonts w:ascii="Arial" w:eastAsia="Calibri" w:hAnsi="Arial" w:cs="Arial"/>
          <w:sz w:val="20"/>
          <w:szCs w:val="20"/>
        </w:rPr>
        <w:t>% ($19.271 millones) por la Unidad de Planea</w:t>
      </w:r>
      <w:r w:rsidR="009A305C" w:rsidRPr="009A305C">
        <w:rPr>
          <w:rFonts w:ascii="Arial" w:eastAsia="Calibri" w:hAnsi="Arial" w:cs="Arial"/>
          <w:sz w:val="20"/>
          <w:szCs w:val="20"/>
        </w:rPr>
        <w:t>ción Minero Energética – UPME y un 0,70% ($2.041 millones) a la Comisión de Regulación de Energía y Gas – CREG.</w:t>
      </w:r>
    </w:p>
    <w:p w14:paraId="523D14C5" w14:textId="77777777" w:rsidR="00C7469E" w:rsidRPr="00D97D2D" w:rsidRDefault="00C7469E" w:rsidP="007B6220">
      <w:pPr>
        <w:pStyle w:val="Ttulo1"/>
        <w:numPr>
          <w:ilvl w:val="0"/>
          <w:numId w:val="4"/>
        </w:numPr>
        <w:ind w:left="426"/>
        <w:rPr>
          <w:rFonts w:ascii="Arial" w:eastAsia="Arial" w:hAnsi="Arial" w:cs="Arial"/>
          <w:b/>
          <w:color w:val="auto"/>
          <w:sz w:val="22"/>
          <w:szCs w:val="22"/>
          <w:lang w:eastAsia="es-CO"/>
        </w:rPr>
      </w:pPr>
      <w:bookmarkStart w:id="4" w:name="_Toc525652005"/>
      <w:r w:rsidRPr="00D97D2D">
        <w:rPr>
          <w:rFonts w:ascii="Arial" w:eastAsia="Arial" w:hAnsi="Arial" w:cs="Arial"/>
          <w:b/>
          <w:color w:val="auto"/>
          <w:sz w:val="22"/>
          <w:szCs w:val="22"/>
          <w:lang w:eastAsia="es-CO"/>
        </w:rPr>
        <w:lastRenderedPageBreak/>
        <w:t>EJECUCIÓN PRESUPUESTAL SECTOR MINAS Y ENERGÍA</w:t>
      </w:r>
      <w:bookmarkEnd w:id="4"/>
      <w:r w:rsidRPr="00D97D2D">
        <w:rPr>
          <w:rFonts w:ascii="Arial" w:eastAsia="Arial" w:hAnsi="Arial" w:cs="Arial"/>
          <w:b/>
          <w:color w:val="auto"/>
          <w:sz w:val="22"/>
          <w:szCs w:val="22"/>
          <w:lang w:eastAsia="es-CO"/>
        </w:rPr>
        <w:t xml:space="preserve"> </w:t>
      </w:r>
    </w:p>
    <w:p w14:paraId="0C52AE46" w14:textId="77777777" w:rsidR="00C7469E" w:rsidRPr="00D97D2D" w:rsidRDefault="00C7469E" w:rsidP="00C7469E">
      <w:pPr>
        <w:spacing w:after="0" w:line="240" w:lineRule="auto"/>
        <w:jc w:val="both"/>
        <w:rPr>
          <w:rFonts w:ascii="Arial" w:eastAsia="Arial" w:hAnsi="Arial" w:cs="Arial"/>
          <w:sz w:val="20"/>
          <w:szCs w:val="20"/>
        </w:rPr>
      </w:pPr>
    </w:p>
    <w:p w14:paraId="5AF46BB3" w14:textId="1BFE739C" w:rsidR="00C7469E" w:rsidRPr="00D97D2D" w:rsidRDefault="00C7469E" w:rsidP="00C7469E">
      <w:pPr>
        <w:spacing w:after="0" w:line="240" w:lineRule="auto"/>
        <w:jc w:val="both"/>
        <w:rPr>
          <w:rFonts w:ascii="Arial" w:eastAsia="Arial" w:hAnsi="Arial" w:cs="Arial"/>
          <w:sz w:val="20"/>
          <w:szCs w:val="20"/>
        </w:rPr>
      </w:pPr>
      <w:r w:rsidRPr="00D97D2D">
        <w:rPr>
          <w:rFonts w:ascii="Arial" w:eastAsia="Arial" w:hAnsi="Arial" w:cs="Arial"/>
          <w:sz w:val="20"/>
          <w:szCs w:val="20"/>
        </w:rPr>
        <w:t xml:space="preserve">Como se puede observar en el cuadro número uno, para el </w:t>
      </w:r>
      <w:r w:rsidR="00D97D2D" w:rsidRPr="00D97D2D">
        <w:rPr>
          <w:rFonts w:ascii="Arial" w:eastAsia="Arial" w:hAnsi="Arial" w:cs="Arial"/>
          <w:sz w:val="20"/>
          <w:szCs w:val="20"/>
        </w:rPr>
        <w:t>segundo</w:t>
      </w:r>
      <w:r w:rsidRPr="00D97D2D">
        <w:rPr>
          <w:rFonts w:ascii="Arial" w:eastAsia="Arial" w:hAnsi="Arial" w:cs="Arial"/>
          <w:sz w:val="20"/>
          <w:szCs w:val="20"/>
        </w:rPr>
        <w:t xml:space="preserve"> trimestre de 2018 el Sector Minas y Energía cuenta con un presupuesto vigente de Funcionamiento e Inversión de $4.</w:t>
      </w:r>
      <w:r w:rsidR="00D97D2D" w:rsidRPr="00D97D2D">
        <w:rPr>
          <w:rFonts w:ascii="Arial" w:eastAsia="Arial" w:hAnsi="Arial" w:cs="Arial"/>
          <w:sz w:val="20"/>
          <w:szCs w:val="20"/>
        </w:rPr>
        <w:t>259.007</w:t>
      </w:r>
      <w:r w:rsidRPr="00D97D2D">
        <w:rPr>
          <w:rFonts w:ascii="Arial" w:eastAsia="Arial" w:hAnsi="Arial" w:cs="Arial"/>
          <w:sz w:val="20"/>
          <w:szCs w:val="20"/>
        </w:rPr>
        <w:t xml:space="preserve"> millones de pesos y alcanzó un nivel de ejecución en compromisos de $</w:t>
      </w:r>
      <w:r w:rsidR="00D97D2D" w:rsidRPr="00D97D2D">
        <w:rPr>
          <w:rFonts w:ascii="Arial" w:eastAsia="Arial" w:hAnsi="Arial" w:cs="Arial"/>
          <w:sz w:val="20"/>
          <w:szCs w:val="20"/>
        </w:rPr>
        <w:t>2.484.694</w:t>
      </w:r>
      <w:r w:rsidRPr="00D97D2D">
        <w:rPr>
          <w:rFonts w:ascii="Arial" w:eastAsia="Arial" w:hAnsi="Arial" w:cs="Arial"/>
          <w:sz w:val="20"/>
          <w:szCs w:val="20"/>
        </w:rPr>
        <w:t xml:space="preserve"> millones correspondientes a un </w:t>
      </w:r>
      <w:r w:rsidR="00D97D2D" w:rsidRPr="00D97D2D">
        <w:rPr>
          <w:rFonts w:ascii="Arial" w:eastAsia="Arial" w:hAnsi="Arial" w:cs="Arial"/>
          <w:sz w:val="20"/>
          <w:szCs w:val="20"/>
        </w:rPr>
        <w:t>58,34</w:t>
      </w:r>
      <w:r w:rsidRPr="00D97D2D">
        <w:rPr>
          <w:rFonts w:ascii="Arial" w:eastAsia="Arial" w:hAnsi="Arial" w:cs="Arial"/>
          <w:sz w:val="20"/>
          <w:szCs w:val="20"/>
        </w:rPr>
        <w:t>% y una ejecución en obligaciones de $1.</w:t>
      </w:r>
      <w:r w:rsidR="00D97D2D" w:rsidRPr="00D97D2D">
        <w:rPr>
          <w:rFonts w:ascii="Arial" w:eastAsia="Arial" w:hAnsi="Arial" w:cs="Arial"/>
          <w:sz w:val="20"/>
          <w:szCs w:val="20"/>
        </w:rPr>
        <w:t>926.633</w:t>
      </w:r>
      <w:r w:rsidRPr="00D97D2D">
        <w:rPr>
          <w:rFonts w:ascii="Arial" w:eastAsia="Arial" w:hAnsi="Arial" w:cs="Arial"/>
          <w:sz w:val="20"/>
          <w:szCs w:val="20"/>
        </w:rPr>
        <w:t xml:space="preserve"> millones correspondientes a un </w:t>
      </w:r>
      <w:r w:rsidR="00D97D2D" w:rsidRPr="00D97D2D">
        <w:rPr>
          <w:rFonts w:ascii="Arial" w:eastAsia="Arial" w:hAnsi="Arial" w:cs="Arial"/>
          <w:sz w:val="20"/>
          <w:szCs w:val="20"/>
        </w:rPr>
        <w:t>45,24</w:t>
      </w:r>
      <w:r w:rsidRPr="00D97D2D">
        <w:rPr>
          <w:rFonts w:ascii="Arial" w:eastAsia="Arial" w:hAnsi="Arial" w:cs="Arial"/>
          <w:sz w:val="20"/>
          <w:szCs w:val="20"/>
        </w:rPr>
        <w:t>%.</w:t>
      </w:r>
    </w:p>
    <w:p w14:paraId="6DD49BAC" w14:textId="77777777" w:rsidR="00C7469E" w:rsidRPr="00D97D2D" w:rsidRDefault="00C7469E" w:rsidP="00C7469E">
      <w:pPr>
        <w:spacing w:after="0" w:line="240" w:lineRule="auto"/>
        <w:jc w:val="both"/>
        <w:rPr>
          <w:rFonts w:ascii="Arial" w:eastAsia="Arial" w:hAnsi="Arial" w:cs="Arial"/>
          <w:sz w:val="20"/>
          <w:szCs w:val="20"/>
        </w:rPr>
      </w:pPr>
    </w:p>
    <w:p w14:paraId="707C6196" w14:textId="77777777" w:rsidR="00C7469E" w:rsidRPr="00D97D2D" w:rsidRDefault="00C7469E" w:rsidP="00C7469E">
      <w:pPr>
        <w:spacing w:after="0" w:line="240" w:lineRule="auto"/>
        <w:jc w:val="both"/>
        <w:rPr>
          <w:rFonts w:ascii="Arial" w:eastAsia="Arial" w:hAnsi="Arial" w:cs="Arial"/>
          <w:sz w:val="20"/>
          <w:szCs w:val="20"/>
        </w:rPr>
      </w:pPr>
    </w:p>
    <w:p w14:paraId="6EB8BDB0" w14:textId="77777777" w:rsidR="00C7469E" w:rsidRPr="00D97D2D" w:rsidRDefault="00C7469E" w:rsidP="00C7469E">
      <w:pPr>
        <w:spacing w:after="0" w:line="240" w:lineRule="auto"/>
        <w:jc w:val="center"/>
        <w:rPr>
          <w:rFonts w:ascii="Arial" w:eastAsia="Arial" w:hAnsi="Arial" w:cs="Arial"/>
          <w:b/>
          <w:sz w:val="20"/>
          <w:szCs w:val="20"/>
          <w:lang w:val="es-ES"/>
        </w:rPr>
      </w:pPr>
      <w:r w:rsidRPr="00D97D2D">
        <w:rPr>
          <w:rFonts w:ascii="Arial" w:eastAsia="Arial" w:hAnsi="Arial" w:cs="Arial"/>
          <w:b/>
          <w:sz w:val="20"/>
          <w:szCs w:val="20"/>
          <w:lang w:val="es-ES"/>
        </w:rPr>
        <w:t>Cuadro N° 1.</w:t>
      </w:r>
    </w:p>
    <w:p w14:paraId="4051EF11" w14:textId="5F3638F6" w:rsidR="00C7469E" w:rsidRPr="00D97D2D" w:rsidRDefault="00C7469E" w:rsidP="00C7469E">
      <w:pPr>
        <w:spacing w:after="0" w:line="240" w:lineRule="auto"/>
        <w:jc w:val="center"/>
        <w:rPr>
          <w:rFonts w:ascii="Arial" w:eastAsia="Calibri" w:hAnsi="Arial" w:cs="Arial"/>
          <w:b/>
          <w:sz w:val="20"/>
          <w:szCs w:val="20"/>
        </w:rPr>
      </w:pPr>
      <w:r w:rsidRPr="00D97D2D">
        <w:rPr>
          <w:rFonts w:ascii="Arial" w:eastAsia="Arial" w:hAnsi="Arial" w:cs="Arial"/>
          <w:b/>
          <w:sz w:val="20"/>
          <w:szCs w:val="20"/>
          <w:lang w:val="es-ES"/>
        </w:rPr>
        <w:t xml:space="preserve">Ejecución Presupuestal Sector Minas y Energía a </w:t>
      </w:r>
      <w:r w:rsidR="00D97D2D" w:rsidRPr="00D97D2D">
        <w:rPr>
          <w:rFonts w:ascii="Arial" w:eastAsia="Arial" w:hAnsi="Arial" w:cs="Arial"/>
          <w:b/>
          <w:sz w:val="20"/>
          <w:szCs w:val="20"/>
          <w:lang w:val="es-ES"/>
        </w:rPr>
        <w:t>junio</w:t>
      </w:r>
      <w:r w:rsidRPr="00D97D2D">
        <w:rPr>
          <w:rFonts w:ascii="Arial" w:eastAsia="Arial" w:hAnsi="Arial" w:cs="Arial"/>
          <w:b/>
          <w:sz w:val="20"/>
          <w:szCs w:val="20"/>
          <w:lang w:val="es-ES"/>
        </w:rPr>
        <w:t xml:space="preserve"> de 2018</w:t>
      </w:r>
      <w:r w:rsidRPr="00D97D2D">
        <w:rPr>
          <w:rFonts w:ascii="Arial" w:eastAsia="Calibri" w:hAnsi="Arial" w:cs="Arial"/>
          <w:b/>
          <w:sz w:val="20"/>
          <w:szCs w:val="20"/>
        </w:rPr>
        <w:t xml:space="preserve"> </w:t>
      </w:r>
    </w:p>
    <w:p w14:paraId="224D28D5" w14:textId="77777777" w:rsidR="00C7469E" w:rsidRPr="00D97D2D" w:rsidRDefault="00C7469E" w:rsidP="00C7469E">
      <w:pPr>
        <w:spacing w:after="0" w:line="240" w:lineRule="auto"/>
        <w:jc w:val="center"/>
        <w:rPr>
          <w:rFonts w:ascii="Arial" w:eastAsia="Calibri" w:hAnsi="Arial" w:cs="Arial"/>
          <w:b/>
          <w:sz w:val="20"/>
          <w:szCs w:val="20"/>
        </w:rPr>
      </w:pPr>
    </w:p>
    <w:p w14:paraId="05243C10" w14:textId="5F376B12" w:rsidR="00C7469E" w:rsidRPr="00D97D2D" w:rsidRDefault="00C7469E" w:rsidP="00C7469E">
      <w:pPr>
        <w:spacing w:after="0" w:line="240" w:lineRule="auto"/>
        <w:jc w:val="both"/>
        <w:rPr>
          <w:rFonts w:ascii="Arial" w:eastAsia="Calibri" w:hAnsi="Arial" w:cs="Arial"/>
          <w:b/>
          <w:i/>
          <w:sz w:val="16"/>
          <w:szCs w:val="16"/>
        </w:rPr>
      </w:pPr>
      <w:r w:rsidRPr="00D97D2D">
        <w:rPr>
          <w:rFonts w:ascii="Arial" w:eastAsia="Calibri" w:hAnsi="Arial" w:cs="Arial"/>
          <w:b/>
          <w:i/>
          <w:sz w:val="20"/>
          <w:szCs w:val="20"/>
        </w:rPr>
        <w:t xml:space="preserve">            </w:t>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r>
      <w:r w:rsidRPr="00D97D2D">
        <w:rPr>
          <w:rFonts w:ascii="Arial" w:eastAsia="Calibri" w:hAnsi="Arial" w:cs="Arial"/>
          <w:b/>
          <w:i/>
          <w:sz w:val="20"/>
          <w:szCs w:val="20"/>
        </w:rPr>
        <w:tab/>
        <w:t xml:space="preserve">   </w:t>
      </w:r>
      <w:r w:rsidRPr="00D97D2D">
        <w:rPr>
          <w:rFonts w:ascii="Arial" w:eastAsia="Calibri" w:hAnsi="Arial" w:cs="Arial"/>
          <w:b/>
          <w:i/>
          <w:sz w:val="16"/>
          <w:szCs w:val="16"/>
        </w:rPr>
        <w:t>Cifras en millones de pesos.</w:t>
      </w:r>
    </w:p>
    <w:p w14:paraId="6C1371AB" w14:textId="43EC767B" w:rsidR="00D97D2D" w:rsidRDefault="00D97D2D" w:rsidP="00EE118A">
      <w:pPr>
        <w:spacing w:after="0" w:line="240" w:lineRule="auto"/>
        <w:jc w:val="center"/>
        <w:rPr>
          <w:rFonts w:ascii="Arial" w:eastAsia="Calibri" w:hAnsi="Arial" w:cs="Arial"/>
          <w:b/>
          <w:i/>
          <w:sz w:val="16"/>
          <w:szCs w:val="16"/>
          <w:highlight w:val="yellow"/>
        </w:rPr>
      </w:pPr>
      <w:r w:rsidRPr="00D97D2D">
        <w:rPr>
          <w:noProof/>
          <w:highlight w:val="yellow"/>
          <w:lang w:eastAsia="es-CO"/>
        </w:rPr>
        <w:drawing>
          <wp:inline distT="0" distB="0" distL="0" distR="0" wp14:anchorId="5FE9D9DF" wp14:editId="12B4F503">
            <wp:extent cx="4986333" cy="1135416"/>
            <wp:effectExtent l="0" t="0" r="508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145" cy="1142887"/>
                    </a:xfrm>
                    <a:prstGeom prst="rect">
                      <a:avLst/>
                    </a:prstGeom>
                    <a:noFill/>
                    <a:ln>
                      <a:noFill/>
                    </a:ln>
                  </pic:spPr>
                </pic:pic>
              </a:graphicData>
            </a:graphic>
          </wp:inline>
        </w:drawing>
      </w:r>
    </w:p>
    <w:p w14:paraId="3C22CCE2" w14:textId="77777777" w:rsidR="00C7469E" w:rsidRPr="00D97D2D" w:rsidRDefault="00C7469E" w:rsidP="00D97D2D">
      <w:pPr>
        <w:spacing w:after="0" w:line="240" w:lineRule="auto"/>
        <w:rPr>
          <w:rFonts w:ascii="Arial" w:eastAsia="Calibri" w:hAnsi="Arial" w:cs="Arial"/>
          <w:i/>
          <w:sz w:val="16"/>
          <w:szCs w:val="16"/>
        </w:rPr>
      </w:pPr>
      <w:r w:rsidRPr="00D97D2D">
        <w:rPr>
          <w:rFonts w:ascii="Arial" w:eastAsia="Calibri" w:hAnsi="Arial" w:cs="Arial"/>
          <w:i/>
          <w:sz w:val="16"/>
          <w:szCs w:val="16"/>
        </w:rPr>
        <w:t>Fuente: SIIF Nación - MHCP</w:t>
      </w:r>
    </w:p>
    <w:p w14:paraId="1E1ABF43" w14:textId="77777777" w:rsidR="00C7469E" w:rsidRPr="00D85753" w:rsidRDefault="00C7469E" w:rsidP="00C7469E">
      <w:pPr>
        <w:spacing w:after="0" w:line="240" w:lineRule="auto"/>
        <w:jc w:val="both"/>
        <w:rPr>
          <w:rFonts w:ascii="Arial" w:eastAsia="Calibri" w:hAnsi="Arial" w:cs="Arial"/>
          <w:sz w:val="20"/>
          <w:szCs w:val="20"/>
          <w:highlight w:val="yellow"/>
        </w:rPr>
      </w:pPr>
    </w:p>
    <w:p w14:paraId="032839EC" w14:textId="08244124" w:rsidR="00C7469E" w:rsidRPr="00D97D2D" w:rsidRDefault="00C7469E" w:rsidP="00C7469E">
      <w:pPr>
        <w:spacing w:after="0" w:line="240" w:lineRule="auto"/>
        <w:jc w:val="both"/>
        <w:rPr>
          <w:rFonts w:ascii="Arial" w:eastAsia="Calibri" w:hAnsi="Arial" w:cs="Arial"/>
          <w:sz w:val="20"/>
          <w:szCs w:val="20"/>
        </w:rPr>
      </w:pPr>
      <w:r w:rsidRPr="00D97D2D">
        <w:rPr>
          <w:rFonts w:ascii="Arial" w:eastAsia="Calibri" w:hAnsi="Arial" w:cs="Arial"/>
          <w:sz w:val="20"/>
          <w:szCs w:val="20"/>
        </w:rPr>
        <w:t xml:space="preserve">A </w:t>
      </w:r>
      <w:r w:rsidR="00D97D2D" w:rsidRPr="00D97D2D">
        <w:rPr>
          <w:rFonts w:ascii="Arial" w:eastAsia="Calibri" w:hAnsi="Arial" w:cs="Arial"/>
          <w:sz w:val="20"/>
          <w:szCs w:val="20"/>
        </w:rPr>
        <w:t>continuación,</w:t>
      </w:r>
      <w:r w:rsidRPr="00D97D2D">
        <w:rPr>
          <w:rFonts w:ascii="Arial" w:eastAsia="Calibri" w:hAnsi="Arial" w:cs="Arial"/>
          <w:sz w:val="20"/>
          <w:szCs w:val="20"/>
        </w:rPr>
        <w:t xml:space="preserve"> se analizará la ejecución presupuestal discriminando el tipo de rubro presupuestal (funcionamiento e inversión).</w:t>
      </w:r>
    </w:p>
    <w:p w14:paraId="3942B846" w14:textId="77777777" w:rsidR="00C7469E" w:rsidRPr="00D85753" w:rsidRDefault="00C7469E" w:rsidP="00C7469E">
      <w:pPr>
        <w:spacing w:after="0" w:line="240" w:lineRule="auto"/>
        <w:jc w:val="both"/>
        <w:rPr>
          <w:rFonts w:ascii="Arial" w:eastAsia="Calibri" w:hAnsi="Arial" w:cs="Arial"/>
          <w:color w:val="FF0000"/>
          <w:sz w:val="20"/>
          <w:szCs w:val="20"/>
          <w:highlight w:val="yellow"/>
        </w:rPr>
      </w:pPr>
    </w:p>
    <w:p w14:paraId="4FA42F58" w14:textId="6A037399" w:rsidR="00C7469E" w:rsidRPr="00EE118A" w:rsidRDefault="00C7469E" w:rsidP="008B4625">
      <w:pPr>
        <w:pStyle w:val="Ttulo2"/>
        <w:numPr>
          <w:ilvl w:val="1"/>
          <w:numId w:val="59"/>
        </w:numPr>
        <w:rPr>
          <w:rFonts w:ascii="Arial" w:eastAsia="Calibri" w:hAnsi="Arial" w:cs="Arial"/>
          <w:color w:val="auto"/>
          <w:sz w:val="22"/>
          <w:szCs w:val="22"/>
        </w:rPr>
      </w:pPr>
      <w:bookmarkStart w:id="5" w:name="_Toc525652006"/>
      <w:r w:rsidRPr="00EE118A">
        <w:rPr>
          <w:rFonts w:ascii="Arial" w:eastAsia="Calibri" w:hAnsi="Arial" w:cs="Arial"/>
          <w:color w:val="auto"/>
          <w:sz w:val="22"/>
          <w:szCs w:val="22"/>
        </w:rPr>
        <w:t>Ejecución Presupuestal Gastos de Funcionamiento – Sector Minas y Energía</w:t>
      </w:r>
      <w:bookmarkEnd w:id="5"/>
      <w:r w:rsidRPr="00EE118A">
        <w:rPr>
          <w:rFonts w:ascii="Arial" w:eastAsia="Calibri" w:hAnsi="Arial" w:cs="Arial"/>
          <w:color w:val="auto"/>
          <w:sz w:val="22"/>
          <w:szCs w:val="22"/>
        </w:rPr>
        <w:t xml:space="preserve"> </w:t>
      </w:r>
    </w:p>
    <w:p w14:paraId="68B9329C" w14:textId="77777777" w:rsidR="00C7469E" w:rsidRPr="00D85753" w:rsidRDefault="00C7469E" w:rsidP="00C7469E">
      <w:pPr>
        <w:spacing w:after="0" w:line="240" w:lineRule="auto"/>
        <w:jc w:val="both"/>
        <w:rPr>
          <w:rFonts w:ascii="Arial" w:eastAsia="Calibri" w:hAnsi="Arial" w:cs="Arial"/>
          <w:b/>
          <w:sz w:val="20"/>
          <w:szCs w:val="20"/>
          <w:highlight w:val="yellow"/>
          <w:lang w:eastAsia="es-CO"/>
        </w:rPr>
      </w:pPr>
    </w:p>
    <w:p w14:paraId="051B9622" w14:textId="722F41CC" w:rsidR="00C7469E" w:rsidRPr="00EE118A" w:rsidRDefault="00C7469E" w:rsidP="00C7469E">
      <w:pPr>
        <w:spacing w:after="0" w:line="240" w:lineRule="auto"/>
        <w:jc w:val="both"/>
        <w:rPr>
          <w:rFonts w:ascii="Arial" w:eastAsia="Arial" w:hAnsi="Arial" w:cs="Arial"/>
          <w:sz w:val="20"/>
          <w:szCs w:val="20"/>
        </w:rPr>
      </w:pPr>
      <w:r w:rsidRPr="00EE118A">
        <w:rPr>
          <w:rFonts w:ascii="Arial" w:eastAsia="Arial" w:hAnsi="Arial" w:cs="Arial"/>
          <w:sz w:val="20"/>
          <w:szCs w:val="20"/>
        </w:rPr>
        <w:t xml:space="preserve">Al cierre del </w:t>
      </w:r>
      <w:r w:rsidR="00EE118A">
        <w:rPr>
          <w:rFonts w:ascii="Arial" w:eastAsia="Arial" w:hAnsi="Arial" w:cs="Arial"/>
          <w:sz w:val="20"/>
          <w:szCs w:val="20"/>
        </w:rPr>
        <w:t>segundo</w:t>
      </w:r>
      <w:r w:rsidRPr="00EE118A">
        <w:rPr>
          <w:rFonts w:ascii="Arial" w:eastAsia="Arial" w:hAnsi="Arial" w:cs="Arial"/>
          <w:sz w:val="20"/>
          <w:szCs w:val="20"/>
        </w:rPr>
        <w:t xml:space="preserve"> trimestre de 2018 el Sector Minas y Energía cuenta con un presupuesto de Funcionamiento de $6</w:t>
      </w:r>
      <w:r w:rsidR="00EE118A" w:rsidRPr="00EE118A">
        <w:rPr>
          <w:rFonts w:ascii="Arial" w:eastAsia="Arial" w:hAnsi="Arial" w:cs="Arial"/>
          <w:sz w:val="20"/>
          <w:szCs w:val="20"/>
        </w:rPr>
        <w:t>59.537</w:t>
      </w:r>
      <w:r w:rsidRPr="00EE118A">
        <w:rPr>
          <w:rFonts w:ascii="Arial" w:eastAsia="Arial" w:hAnsi="Arial" w:cs="Arial"/>
          <w:sz w:val="20"/>
          <w:szCs w:val="20"/>
        </w:rPr>
        <w:t xml:space="preserve"> millones de pesos y alcanzó un nivel de ejecución en compromisos de $4</w:t>
      </w:r>
      <w:r w:rsidR="00EE118A" w:rsidRPr="00EE118A">
        <w:rPr>
          <w:rFonts w:ascii="Arial" w:eastAsia="Arial" w:hAnsi="Arial" w:cs="Arial"/>
          <w:sz w:val="20"/>
          <w:szCs w:val="20"/>
        </w:rPr>
        <w:t>66.857</w:t>
      </w:r>
      <w:r w:rsidRPr="00EE118A">
        <w:rPr>
          <w:rFonts w:ascii="Arial" w:eastAsia="Arial" w:hAnsi="Arial" w:cs="Arial"/>
          <w:sz w:val="20"/>
          <w:szCs w:val="20"/>
        </w:rPr>
        <w:t xml:space="preserve"> millones correspondientes a un </w:t>
      </w:r>
      <w:r w:rsidR="00EE118A" w:rsidRPr="00EE118A">
        <w:rPr>
          <w:rFonts w:ascii="Arial" w:eastAsia="Arial" w:hAnsi="Arial" w:cs="Arial"/>
          <w:sz w:val="20"/>
          <w:szCs w:val="20"/>
        </w:rPr>
        <w:t>70,79</w:t>
      </w:r>
      <w:r w:rsidRPr="00EE118A">
        <w:rPr>
          <w:rFonts w:ascii="Arial" w:eastAsia="Arial" w:hAnsi="Arial" w:cs="Arial"/>
          <w:sz w:val="20"/>
          <w:szCs w:val="20"/>
        </w:rPr>
        <w:t>% y una ejecución en obligaciones de $</w:t>
      </w:r>
      <w:r w:rsidR="00EE118A" w:rsidRPr="00EE118A">
        <w:rPr>
          <w:rFonts w:ascii="Arial" w:eastAsia="Arial" w:hAnsi="Arial" w:cs="Arial"/>
          <w:sz w:val="20"/>
          <w:szCs w:val="20"/>
        </w:rPr>
        <w:t>406.773</w:t>
      </w:r>
      <w:r w:rsidRPr="00EE118A">
        <w:rPr>
          <w:rFonts w:ascii="Arial" w:eastAsia="Arial" w:hAnsi="Arial" w:cs="Arial"/>
          <w:sz w:val="20"/>
          <w:szCs w:val="20"/>
        </w:rPr>
        <w:t xml:space="preserve"> millones correspondientes a un </w:t>
      </w:r>
      <w:r w:rsidR="00EE118A" w:rsidRPr="00EE118A">
        <w:rPr>
          <w:rFonts w:ascii="Arial" w:eastAsia="Arial" w:hAnsi="Arial" w:cs="Arial"/>
          <w:sz w:val="20"/>
          <w:szCs w:val="20"/>
        </w:rPr>
        <w:t>61,68</w:t>
      </w:r>
      <w:r w:rsidRPr="00EE118A">
        <w:rPr>
          <w:rFonts w:ascii="Arial" w:eastAsia="Arial" w:hAnsi="Arial" w:cs="Arial"/>
          <w:sz w:val="20"/>
          <w:szCs w:val="20"/>
        </w:rPr>
        <w:t>%.</w:t>
      </w:r>
    </w:p>
    <w:p w14:paraId="0604E58E" w14:textId="77777777" w:rsidR="00C7469E" w:rsidRPr="00EE118A" w:rsidRDefault="00C7469E" w:rsidP="00C7469E">
      <w:pPr>
        <w:spacing w:after="0" w:line="240" w:lineRule="auto"/>
        <w:jc w:val="center"/>
        <w:rPr>
          <w:rFonts w:ascii="Arial" w:eastAsia="Arial" w:hAnsi="Arial" w:cs="Arial"/>
          <w:b/>
          <w:sz w:val="20"/>
          <w:szCs w:val="20"/>
          <w:lang w:val="es-ES"/>
        </w:rPr>
      </w:pPr>
      <w:r w:rsidRPr="00EE118A">
        <w:rPr>
          <w:rFonts w:ascii="Arial" w:eastAsia="Arial" w:hAnsi="Arial" w:cs="Arial"/>
          <w:b/>
          <w:sz w:val="20"/>
          <w:szCs w:val="20"/>
          <w:lang w:val="es-ES"/>
        </w:rPr>
        <w:t>Cuadro N° 2</w:t>
      </w:r>
    </w:p>
    <w:p w14:paraId="04E7350F" w14:textId="272AB6D7" w:rsidR="00C7469E" w:rsidRPr="00EE118A" w:rsidRDefault="00C7469E" w:rsidP="00C7469E">
      <w:pPr>
        <w:spacing w:after="0" w:line="240" w:lineRule="auto"/>
        <w:jc w:val="center"/>
        <w:rPr>
          <w:rFonts w:ascii="Arial" w:eastAsia="Calibri" w:hAnsi="Arial" w:cs="Arial"/>
          <w:b/>
          <w:sz w:val="20"/>
          <w:szCs w:val="20"/>
        </w:rPr>
      </w:pPr>
      <w:r w:rsidRPr="00EE118A">
        <w:rPr>
          <w:rFonts w:ascii="Arial" w:eastAsia="Arial" w:hAnsi="Arial" w:cs="Arial"/>
          <w:b/>
          <w:sz w:val="20"/>
          <w:szCs w:val="20"/>
          <w:lang w:val="es-ES"/>
        </w:rPr>
        <w:t xml:space="preserve">Ejecución Presupuestal Funcionamiento Sector Minas y Energía a </w:t>
      </w:r>
      <w:r w:rsidR="00EE118A">
        <w:rPr>
          <w:rFonts w:ascii="Arial" w:eastAsia="Arial" w:hAnsi="Arial" w:cs="Arial"/>
          <w:b/>
          <w:sz w:val="20"/>
          <w:szCs w:val="20"/>
          <w:lang w:val="es-ES"/>
        </w:rPr>
        <w:t>junio</w:t>
      </w:r>
      <w:r w:rsidRPr="00EE118A">
        <w:rPr>
          <w:rFonts w:ascii="Arial" w:eastAsia="Arial" w:hAnsi="Arial" w:cs="Arial"/>
          <w:b/>
          <w:sz w:val="20"/>
          <w:szCs w:val="20"/>
          <w:lang w:val="es-ES"/>
        </w:rPr>
        <w:t xml:space="preserve"> de 2018</w:t>
      </w:r>
      <w:r w:rsidRPr="00EE118A">
        <w:rPr>
          <w:rFonts w:ascii="Arial" w:eastAsia="Calibri" w:hAnsi="Arial" w:cs="Arial"/>
          <w:b/>
          <w:sz w:val="20"/>
          <w:szCs w:val="20"/>
        </w:rPr>
        <w:t xml:space="preserve"> </w:t>
      </w:r>
    </w:p>
    <w:p w14:paraId="3BCF9851" w14:textId="03DC3F57" w:rsidR="00C7469E" w:rsidRPr="00EE118A" w:rsidRDefault="00C7469E" w:rsidP="00C7469E">
      <w:pPr>
        <w:spacing w:after="0" w:line="240" w:lineRule="auto"/>
        <w:rPr>
          <w:rFonts w:ascii="Arial" w:eastAsia="Calibri" w:hAnsi="Arial" w:cs="Arial"/>
          <w:b/>
          <w:i/>
          <w:sz w:val="16"/>
          <w:szCs w:val="16"/>
        </w:rPr>
      </w:pPr>
      <w:r w:rsidRPr="00EE118A">
        <w:rPr>
          <w:rFonts w:ascii="Arial" w:eastAsia="Calibri" w:hAnsi="Arial" w:cs="Arial"/>
          <w:b/>
          <w:i/>
          <w:sz w:val="20"/>
          <w:szCs w:val="20"/>
        </w:rPr>
        <w:t xml:space="preserve">            </w:t>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r>
      <w:r w:rsidRPr="00EE118A">
        <w:rPr>
          <w:rFonts w:ascii="Arial" w:eastAsia="Calibri" w:hAnsi="Arial" w:cs="Arial"/>
          <w:b/>
          <w:i/>
          <w:sz w:val="20"/>
          <w:szCs w:val="20"/>
        </w:rPr>
        <w:tab/>
        <w:t xml:space="preserve">   </w:t>
      </w:r>
      <w:r w:rsidRPr="00EE118A">
        <w:rPr>
          <w:rFonts w:ascii="Arial" w:eastAsia="Calibri" w:hAnsi="Arial" w:cs="Arial"/>
          <w:b/>
          <w:i/>
          <w:sz w:val="16"/>
          <w:szCs w:val="16"/>
        </w:rPr>
        <w:t>Cifras en millones de pesos.</w:t>
      </w:r>
    </w:p>
    <w:p w14:paraId="3376A507" w14:textId="77777777" w:rsidR="00EE118A" w:rsidRPr="00EE118A" w:rsidRDefault="00EE118A" w:rsidP="00C7469E">
      <w:pPr>
        <w:spacing w:after="0" w:line="240" w:lineRule="auto"/>
        <w:rPr>
          <w:rFonts w:ascii="Arial" w:eastAsia="Calibri" w:hAnsi="Arial" w:cs="Arial"/>
          <w:b/>
          <w:i/>
          <w:sz w:val="16"/>
          <w:szCs w:val="16"/>
        </w:rPr>
      </w:pPr>
    </w:p>
    <w:p w14:paraId="23794A6C" w14:textId="78D77B2E" w:rsidR="00EE118A" w:rsidRPr="00EE118A" w:rsidRDefault="00EE118A" w:rsidP="00EE118A">
      <w:pPr>
        <w:spacing w:after="0" w:line="240" w:lineRule="auto"/>
        <w:jc w:val="center"/>
        <w:rPr>
          <w:noProof/>
          <w:lang w:eastAsia="es-CO"/>
        </w:rPr>
      </w:pPr>
      <w:r w:rsidRPr="00EE118A">
        <w:rPr>
          <w:noProof/>
          <w:lang w:eastAsia="es-CO"/>
        </w:rPr>
        <w:drawing>
          <wp:inline distT="0" distB="0" distL="0" distR="0" wp14:anchorId="1249EBBF" wp14:editId="4FAA9C9C">
            <wp:extent cx="4954080" cy="193016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3562" cy="1941647"/>
                    </a:xfrm>
                    <a:prstGeom prst="rect">
                      <a:avLst/>
                    </a:prstGeom>
                    <a:noFill/>
                    <a:ln>
                      <a:noFill/>
                    </a:ln>
                  </pic:spPr>
                </pic:pic>
              </a:graphicData>
            </a:graphic>
          </wp:inline>
        </w:drawing>
      </w:r>
    </w:p>
    <w:p w14:paraId="2613303F" w14:textId="7DB87AE3" w:rsidR="00C7469E" w:rsidRPr="00D85753" w:rsidRDefault="00C7469E" w:rsidP="00C7469E">
      <w:pPr>
        <w:spacing w:after="0" w:line="240" w:lineRule="auto"/>
        <w:rPr>
          <w:rFonts w:ascii="Arial" w:eastAsia="Calibri" w:hAnsi="Arial" w:cs="Arial"/>
          <w:i/>
          <w:sz w:val="18"/>
          <w:szCs w:val="18"/>
          <w:highlight w:val="yellow"/>
        </w:rPr>
      </w:pPr>
    </w:p>
    <w:p w14:paraId="492EAC0A" w14:textId="77777777" w:rsidR="00C7469E" w:rsidRPr="00EE118A" w:rsidRDefault="00C7469E" w:rsidP="00D97D2D">
      <w:pPr>
        <w:spacing w:after="0" w:line="240" w:lineRule="auto"/>
        <w:rPr>
          <w:rFonts w:ascii="Arial" w:eastAsia="Calibri" w:hAnsi="Arial" w:cs="Arial"/>
          <w:i/>
          <w:sz w:val="16"/>
          <w:szCs w:val="16"/>
        </w:rPr>
      </w:pPr>
      <w:r w:rsidRPr="00EE118A">
        <w:rPr>
          <w:rFonts w:ascii="Arial" w:eastAsia="Calibri" w:hAnsi="Arial" w:cs="Arial"/>
          <w:i/>
          <w:sz w:val="16"/>
          <w:szCs w:val="16"/>
        </w:rPr>
        <w:t>Fuente: SIIF Nación – MHCP</w:t>
      </w:r>
    </w:p>
    <w:p w14:paraId="503D6858" w14:textId="656FBDF9" w:rsidR="00C7469E" w:rsidRPr="00EE118A" w:rsidRDefault="00C7469E" w:rsidP="008B4625">
      <w:pPr>
        <w:pStyle w:val="Ttulo2"/>
        <w:numPr>
          <w:ilvl w:val="1"/>
          <w:numId w:val="59"/>
        </w:numPr>
        <w:rPr>
          <w:rFonts w:ascii="Arial" w:eastAsia="Calibri" w:hAnsi="Arial" w:cs="Arial"/>
          <w:color w:val="auto"/>
          <w:sz w:val="22"/>
          <w:szCs w:val="22"/>
        </w:rPr>
      </w:pPr>
      <w:bookmarkStart w:id="6" w:name="_Toc525652007"/>
      <w:r w:rsidRPr="00EE118A">
        <w:rPr>
          <w:rFonts w:ascii="Arial" w:eastAsia="Calibri" w:hAnsi="Arial" w:cs="Arial"/>
          <w:color w:val="auto"/>
          <w:sz w:val="22"/>
          <w:szCs w:val="22"/>
        </w:rPr>
        <w:lastRenderedPageBreak/>
        <w:t xml:space="preserve">Ejecución Presupuestal </w:t>
      </w:r>
      <w:r w:rsidR="00EE118A" w:rsidRPr="00EE118A">
        <w:rPr>
          <w:rFonts w:ascii="Arial" w:eastAsia="Calibri" w:hAnsi="Arial" w:cs="Arial"/>
          <w:color w:val="auto"/>
          <w:sz w:val="22"/>
          <w:szCs w:val="22"/>
        </w:rPr>
        <w:t>Inversión –</w:t>
      </w:r>
      <w:r w:rsidRPr="00EE118A">
        <w:rPr>
          <w:rFonts w:ascii="Arial" w:eastAsia="Calibri" w:hAnsi="Arial" w:cs="Arial"/>
          <w:color w:val="auto"/>
          <w:sz w:val="22"/>
          <w:szCs w:val="22"/>
        </w:rPr>
        <w:t xml:space="preserve"> Sector Minas y Energía</w:t>
      </w:r>
      <w:bookmarkEnd w:id="6"/>
    </w:p>
    <w:p w14:paraId="5ED8C97D" w14:textId="77777777" w:rsidR="00C7469E" w:rsidRPr="00EE118A" w:rsidRDefault="00C7469E" w:rsidP="00C7469E">
      <w:pPr>
        <w:spacing w:after="0" w:line="240" w:lineRule="auto"/>
        <w:ind w:left="720"/>
        <w:rPr>
          <w:rFonts w:ascii="Arial" w:eastAsia="Calibri" w:hAnsi="Arial" w:cs="Arial"/>
          <w:b/>
          <w:sz w:val="20"/>
          <w:szCs w:val="20"/>
          <w:lang w:eastAsia="es-CO"/>
        </w:rPr>
      </w:pPr>
    </w:p>
    <w:p w14:paraId="3DB6B23A" w14:textId="6F64E633" w:rsidR="00C7469E" w:rsidRPr="00EE118A" w:rsidRDefault="00C7469E" w:rsidP="00C7469E">
      <w:pPr>
        <w:spacing w:after="0" w:line="240" w:lineRule="auto"/>
        <w:jc w:val="both"/>
        <w:rPr>
          <w:rFonts w:ascii="Arial" w:eastAsia="Arial" w:hAnsi="Arial" w:cs="Arial"/>
          <w:sz w:val="20"/>
          <w:szCs w:val="20"/>
        </w:rPr>
      </w:pPr>
      <w:r w:rsidRPr="00EE118A">
        <w:rPr>
          <w:rFonts w:ascii="Arial" w:eastAsia="Arial" w:hAnsi="Arial" w:cs="Arial"/>
          <w:sz w:val="20"/>
          <w:szCs w:val="20"/>
        </w:rPr>
        <w:t xml:space="preserve">Al cierre del </w:t>
      </w:r>
      <w:r w:rsidR="00EE118A">
        <w:rPr>
          <w:rFonts w:ascii="Arial" w:eastAsia="Arial" w:hAnsi="Arial" w:cs="Arial"/>
          <w:sz w:val="20"/>
          <w:szCs w:val="20"/>
        </w:rPr>
        <w:t>segundo</w:t>
      </w:r>
      <w:r w:rsidRPr="00EE118A">
        <w:rPr>
          <w:rFonts w:ascii="Arial" w:eastAsia="Arial" w:hAnsi="Arial" w:cs="Arial"/>
          <w:sz w:val="20"/>
          <w:szCs w:val="20"/>
        </w:rPr>
        <w:t xml:space="preserve"> trimestre de 2018 el Sector Minas y Energía cuenta con un presupuesto de Inversión vigente de $3.</w:t>
      </w:r>
      <w:r w:rsidR="00EE118A">
        <w:rPr>
          <w:rFonts w:ascii="Arial" w:eastAsia="Arial" w:hAnsi="Arial" w:cs="Arial"/>
          <w:sz w:val="20"/>
          <w:szCs w:val="20"/>
        </w:rPr>
        <w:t>599.470</w:t>
      </w:r>
      <w:r w:rsidRPr="00EE118A">
        <w:rPr>
          <w:rFonts w:ascii="Arial" w:eastAsia="Arial" w:hAnsi="Arial" w:cs="Arial"/>
          <w:sz w:val="20"/>
          <w:szCs w:val="20"/>
        </w:rPr>
        <w:t xml:space="preserve"> millones de pesos y alcanzó un nivel de ejecución en compromisos de $</w:t>
      </w:r>
      <w:r w:rsidR="00EE118A">
        <w:rPr>
          <w:rFonts w:ascii="Arial" w:eastAsia="Arial" w:hAnsi="Arial" w:cs="Arial"/>
          <w:sz w:val="20"/>
          <w:szCs w:val="20"/>
        </w:rPr>
        <w:t xml:space="preserve">2.017.837 </w:t>
      </w:r>
      <w:r w:rsidRPr="00EE118A">
        <w:rPr>
          <w:rFonts w:ascii="Arial" w:eastAsia="Arial" w:hAnsi="Arial" w:cs="Arial"/>
          <w:sz w:val="20"/>
          <w:szCs w:val="20"/>
        </w:rPr>
        <w:t xml:space="preserve">millones correspondientes a un </w:t>
      </w:r>
      <w:r w:rsidR="00EE118A">
        <w:rPr>
          <w:rFonts w:ascii="Arial" w:eastAsia="Arial" w:hAnsi="Arial" w:cs="Arial"/>
          <w:sz w:val="20"/>
          <w:szCs w:val="20"/>
        </w:rPr>
        <w:t>56,06</w:t>
      </w:r>
      <w:r w:rsidRPr="00EE118A">
        <w:rPr>
          <w:rFonts w:ascii="Arial" w:eastAsia="Arial" w:hAnsi="Arial" w:cs="Arial"/>
          <w:sz w:val="20"/>
          <w:szCs w:val="20"/>
        </w:rPr>
        <w:t>% y una ejecución en obligaciones de $</w:t>
      </w:r>
      <w:r w:rsidR="00EE118A">
        <w:rPr>
          <w:rFonts w:ascii="Arial" w:eastAsia="Arial" w:hAnsi="Arial" w:cs="Arial"/>
          <w:sz w:val="20"/>
          <w:szCs w:val="20"/>
        </w:rPr>
        <w:t>1.519.860</w:t>
      </w:r>
      <w:r w:rsidRPr="00EE118A">
        <w:rPr>
          <w:rFonts w:ascii="Arial" w:eastAsia="Arial" w:hAnsi="Arial" w:cs="Arial"/>
          <w:sz w:val="20"/>
          <w:szCs w:val="20"/>
        </w:rPr>
        <w:t xml:space="preserve"> millones correspondientes a un </w:t>
      </w:r>
      <w:r w:rsidR="00EE118A">
        <w:rPr>
          <w:rFonts w:ascii="Arial" w:eastAsia="Arial" w:hAnsi="Arial" w:cs="Arial"/>
          <w:sz w:val="20"/>
          <w:szCs w:val="20"/>
        </w:rPr>
        <w:t>42,22</w:t>
      </w:r>
      <w:r w:rsidRPr="00EE118A">
        <w:rPr>
          <w:rFonts w:ascii="Arial" w:eastAsia="Arial" w:hAnsi="Arial" w:cs="Arial"/>
          <w:sz w:val="20"/>
          <w:szCs w:val="20"/>
        </w:rPr>
        <w:t>%.</w:t>
      </w:r>
    </w:p>
    <w:p w14:paraId="24E0318A" w14:textId="77777777" w:rsidR="00C7469E" w:rsidRPr="00EE118A" w:rsidRDefault="00C7469E" w:rsidP="00C7469E">
      <w:pPr>
        <w:spacing w:after="0" w:line="240" w:lineRule="auto"/>
        <w:jc w:val="both"/>
        <w:rPr>
          <w:rFonts w:ascii="Arial" w:eastAsia="Arial" w:hAnsi="Arial" w:cs="Arial"/>
          <w:sz w:val="20"/>
          <w:szCs w:val="20"/>
        </w:rPr>
      </w:pPr>
    </w:p>
    <w:p w14:paraId="47D94623" w14:textId="77777777" w:rsidR="00C7469E" w:rsidRPr="00EE118A" w:rsidRDefault="00C7469E" w:rsidP="00C7469E">
      <w:pPr>
        <w:spacing w:after="0" w:line="240" w:lineRule="auto"/>
        <w:jc w:val="center"/>
        <w:rPr>
          <w:rFonts w:ascii="Arial" w:eastAsia="Arial" w:hAnsi="Arial" w:cs="Arial"/>
          <w:b/>
          <w:sz w:val="20"/>
          <w:szCs w:val="20"/>
          <w:lang w:val="es-ES"/>
        </w:rPr>
      </w:pPr>
      <w:r w:rsidRPr="00EE118A">
        <w:rPr>
          <w:rFonts w:ascii="Arial" w:eastAsia="Arial" w:hAnsi="Arial" w:cs="Arial"/>
          <w:b/>
          <w:sz w:val="20"/>
          <w:szCs w:val="20"/>
          <w:lang w:val="es-ES"/>
        </w:rPr>
        <w:t>Cuadro N° 3.</w:t>
      </w:r>
    </w:p>
    <w:p w14:paraId="75647FBC" w14:textId="53DBD764" w:rsidR="00C7469E" w:rsidRPr="00EE118A" w:rsidRDefault="00C7469E" w:rsidP="00C7469E">
      <w:pPr>
        <w:spacing w:after="0" w:line="240" w:lineRule="auto"/>
        <w:jc w:val="center"/>
        <w:rPr>
          <w:rFonts w:ascii="Arial" w:eastAsia="Calibri" w:hAnsi="Arial" w:cs="Arial"/>
          <w:b/>
          <w:sz w:val="20"/>
          <w:szCs w:val="20"/>
        </w:rPr>
      </w:pPr>
      <w:r w:rsidRPr="00EE118A">
        <w:rPr>
          <w:rFonts w:ascii="Arial" w:eastAsia="Arial" w:hAnsi="Arial" w:cs="Arial"/>
          <w:b/>
          <w:sz w:val="20"/>
          <w:szCs w:val="20"/>
          <w:lang w:val="es-ES"/>
        </w:rPr>
        <w:t xml:space="preserve">Ejecución Presupuestal Inversión Sector Minas y Energía a </w:t>
      </w:r>
      <w:r w:rsidR="005E4353">
        <w:rPr>
          <w:rFonts w:ascii="Arial" w:eastAsia="Arial" w:hAnsi="Arial" w:cs="Arial"/>
          <w:b/>
          <w:sz w:val="20"/>
          <w:szCs w:val="20"/>
          <w:lang w:val="es-ES"/>
        </w:rPr>
        <w:t>junio</w:t>
      </w:r>
      <w:r w:rsidRPr="00EE118A">
        <w:rPr>
          <w:rFonts w:ascii="Arial" w:eastAsia="Arial" w:hAnsi="Arial" w:cs="Arial"/>
          <w:b/>
          <w:sz w:val="20"/>
          <w:szCs w:val="20"/>
          <w:lang w:val="es-ES"/>
        </w:rPr>
        <w:t xml:space="preserve"> de 2018</w:t>
      </w:r>
      <w:r w:rsidRPr="00EE118A">
        <w:rPr>
          <w:rFonts w:ascii="Arial" w:eastAsia="Calibri" w:hAnsi="Arial" w:cs="Arial"/>
          <w:b/>
          <w:sz w:val="20"/>
          <w:szCs w:val="20"/>
        </w:rPr>
        <w:t xml:space="preserve"> </w:t>
      </w:r>
    </w:p>
    <w:p w14:paraId="2B853307" w14:textId="77777777" w:rsidR="00C7469E" w:rsidRPr="00EE118A" w:rsidRDefault="00C7469E" w:rsidP="00C7469E">
      <w:pPr>
        <w:spacing w:after="0" w:line="240" w:lineRule="auto"/>
        <w:jc w:val="center"/>
        <w:rPr>
          <w:rFonts w:ascii="Arial" w:eastAsia="Calibri" w:hAnsi="Arial" w:cs="Arial"/>
          <w:b/>
          <w:sz w:val="20"/>
          <w:szCs w:val="20"/>
        </w:rPr>
      </w:pPr>
    </w:p>
    <w:p w14:paraId="30036464" w14:textId="7F8DAC2B" w:rsidR="00C7469E" w:rsidRDefault="00C7469E" w:rsidP="00C7469E">
      <w:pPr>
        <w:spacing w:after="0" w:line="240" w:lineRule="auto"/>
        <w:rPr>
          <w:rFonts w:ascii="Arial" w:eastAsia="Calibri" w:hAnsi="Arial" w:cs="Arial"/>
          <w:b/>
          <w:sz w:val="16"/>
          <w:szCs w:val="16"/>
        </w:rPr>
      </w:pPr>
      <w:r w:rsidRPr="00EE118A">
        <w:rPr>
          <w:rFonts w:ascii="Arial" w:eastAsia="Calibri" w:hAnsi="Arial" w:cs="Arial"/>
          <w:b/>
          <w:sz w:val="20"/>
          <w:szCs w:val="20"/>
        </w:rPr>
        <w:t xml:space="preserve">          </w:t>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r>
      <w:r w:rsidRPr="00EE118A">
        <w:rPr>
          <w:rFonts w:ascii="Arial" w:eastAsia="Calibri" w:hAnsi="Arial" w:cs="Arial"/>
          <w:b/>
          <w:sz w:val="20"/>
          <w:szCs w:val="20"/>
        </w:rPr>
        <w:tab/>
        <w:t xml:space="preserve">   </w:t>
      </w:r>
      <w:r w:rsidRPr="00EE118A">
        <w:rPr>
          <w:rFonts w:ascii="Arial" w:eastAsia="Calibri" w:hAnsi="Arial" w:cs="Arial"/>
          <w:b/>
          <w:sz w:val="16"/>
          <w:szCs w:val="16"/>
        </w:rPr>
        <w:t>Cifras en millones de pesos.</w:t>
      </w:r>
    </w:p>
    <w:p w14:paraId="7912F47E" w14:textId="612D78F8" w:rsidR="00EE118A" w:rsidRPr="00EE118A" w:rsidRDefault="00EE118A" w:rsidP="00C7469E">
      <w:pPr>
        <w:spacing w:after="0" w:line="240" w:lineRule="auto"/>
        <w:rPr>
          <w:rFonts w:ascii="Arial" w:eastAsia="Calibri" w:hAnsi="Arial" w:cs="Arial"/>
          <w:b/>
          <w:sz w:val="16"/>
          <w:szCs w:val="16"/>
        </w:rPr>
      </w:pPr>
      <w:r w:rsidRPr="00EE118A">
        <w:rPr>
          <w:noProof/>
          <w:lang w:eastAsia="es-CO"/>
        </w:rPr>
        <w:drawing>
          <wp:inline distT="0" distB="0" distL="0" distR="0" wp14:anchorId="1DA50AA6" wp14:editId="5AACD2A7">
            <wp:extent cx="5120567" cy="1968426"/>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4487" cy="1992998"/>
                    </a:xfrm>
                    <a:prstGeom prst="rect">
                      <a:avLst/>
                    </a:prstGeom>
                    <a:noFill/>
                    <a:ln>
                      <a:noFill/>
                    </a:ln>
                  </pic:spPr>
                </pic:pic>
              </a:graphicData>
            </a:graphic>
          </wp:inline>
        </w:drawing>
      </w:r>
    </w:p>
    <w:p w14:paraId="0D2F29CC" w14:textId="0189FEAF" w:rsidR="00C7469E" w:rsidRPr="00D85753" w:rsidRDefault="00C7469E" w:rsidP="00C7469E">
      <w:pPr>
        <w:spacing w:after="0" w:line="240" w:lineRule="auto"/>
        <w:jc w:val="center"/>
        <w:rPr>
          <w:rFonts w:eastAsia="Calibri" w:cs="Arial"/>
          <w:b/>
          <w:color w:val="FF0000"/>
          <w:sz w:val="20"/>
          <w:szCs w:val="20"/>
          <w:highlight w:val="yellow"/>
          <w:lang w:eastAsia="es-CO"/>
        </w:rPr>
      </w:pPr>
    </w:p>
    <w:p w14:paraId="656325F0" w14:textId="421B9AE7" w:rsidR="00C7469E" w:rsidRPr="00EE118A" w:rsidRDefault="00C7469E" w:rsidP="00EE118A">
      <w:pPr>
        <w:spacing w:after="0" w:line="240" w:lineRule="auto"/>
        <w:rPr>
          <w:rFonts w:ascii="Arial" w:eastAsia="Calibri" w:hAnsi="Arial" w:cs="Arial"/>
          <w:i/>
          <w:sz w:val="18"/>
          <w:szCs w:val="18"/>
        </w:rPr>
      </w:pPr>
      <w:r w:rsidRPr="00EE118A">
        <w:rPr>
          <w:rFonts w:ascii="Arial" w:eastAsia="Calibri" w:hAnsi="Arial" w:cs="Arial"/>
          <w:i/>
          <w:sz w:val="18"/>
          <w:szCs w:val="18"/>
        </w:rPr>
        <w:t xml:space="preserve">Fuente: SIIF </w:t>
      </w:r>
      <w:r w:rsidR="00EE118A" w:rsidRPr="00EE118A">
        <w:rPr>
          <w:rFonts w:ascii="Arial" w:eastAsia="Calibri" w:hAnsi="Arial" w:cs="Arial"/>
          <w:i/>
          <w:sz w:val="18"/>
          <w:szCs w:val="18"/>
        </w:rPr>
        <w:t>Nación -</w:t>
      </w:r>
      <w:r w:rsidRPr="00EE118A">
        <w:rPr>
          <w:rFonts w:ascii="Arial" w:eastAsia="Calibri" w:hAnsi="Arial" w:cs="Arial"/>
          <w:i/>
          <w:sz w:val="18"/>
          <w:szCs w:val="18"/>
        </w:rPr>
        <w:t xml:space="preserve"> MHCP</w:t>
      </w:r>
    </w:p>
    <w:p w14:paraId="27B3562F" w14:textId="77777777" w:rsidR="00C7469E" w:rsidRPr="00D85753" w:rsidRDefault="00C7469E" w:rsidP="00C7469E">
      <w:pPr>
        <w:spacing w:after="0" w:line="240" w:lineRule="auto"/>
        <w:jc w:val="center"/>
        <w:rPr>
          <w:rFonts w:ascii="Arial" w:eastAsia="Calibri" w:hAnsi="Arial" w:cs="Arial"/>
          <w:noProof/>
          <w:sz w:val="18"/>
          <w:szCs w:val="18"/>
          <w:highlight w:val="yellow"/>
          <w:lang w:val="es-ES" w:eastAsia="es-ES"/>
        </w:rPr>
      </w:pPr>
    </w:p>
    <w:p w14:paraId="25FE156E" w14:textId="77777777" w:rsidR="00C7469E" w:rsidRPr="00A45803" w:rsidRDefault="00C7469E" w:rsidP="00C7469E">
      <w:pPr>
        <w:spacing w:after="0" w:line="240" w:lineRule="auto"/>
        <w:jc w:val="both"/>
        <w:rPr>
          <w:rFonts w:ascii="Arial" w:eastAsia="Arial" w:hAnsi="Arial" w:cs="Arial"/>
          <w:sz w:val="20"/>
          <w:szCs w:val="20"/>
        </w:rPr>
      </w:pPr>
      <w:r w:rsidRPr="00A45803">
        <w:rPr>
          <w:rFonts w:ascii="Arial" w:eastAsia="Arial" w:hAnsi="Arial" w:cs="Arial"/>
          <w:sz w:val="20"/>
          <w:szCs w:val="20"/>
        </w:rPr>
        <w:t xml:space="preserve">En la siguiente gráfica, se puede comparar la ejecución de compromisos y obligaciones de los Recursos de Inversión. </w:t>
      </w:r>
    </w:p>
    <w:p w14:paraId="1F88D3F6" w14:textId="77777777" w:rsidR="00C7469E" w:rsidRPr="00A45803" w:rsidRDefault="00C7469E" w:rsidP="00C7469E">
      <w:pPr>
        <w:spacing w:after="0"/>
        <w:jc w:val="center"/>
        <w:rPr>
          <w:rFonts w:ascii="Arial" w:eastAsia="Calibri" w:hAnsi="Arial" w:cs="Arial"/>
          <w:b/>
          <w:sz w:val="20"/>
          <w:szCs w:val="20"/>
          <w:lang w:val="es-ES"/>
        </w:rPr>
      </w:pPr>
    </w:p>
    <w:p w14:paraId="5F384448" w14:textId="77777777" w:rsidR="00C7469E" w:rsidRPr="00A45803" w:rsidRDefault="00C7469E" w:rsidP="00C7469E">
      <w:pPr>
        <w:spacing w:after="0"/>
        <w:jc w:val="center"/>
        <w:rPr>
          <w:rFonts w:ascii="Arial" w:eastAsia="Calibri" w:hAnsi="Arial" w:cs="Arial"/>
          <w:b/>
          <w:sz w:val="20"/>
          <w:szCs w:val="20"/>
          <w:lang w:val="es-ES"/>
        </w:rPr>
      </w:pPr>
      <w:r w:rsidRPr="00A45803">
        <w:rPr>
          <w:rFonts w:ascii="Arial" w:eastAsia="Calibri" w:hAnsi="Arial" w:cs="Arial"/>
          <w:b/>
          <w:sz w:val="20"/>
          <w:szCs w:val="20"/>
          <w:lang w:val="es-ES"/>
        </w:rPr>
        <w:t xml:space="preserve">Gráfica N° 6 Ejecución de Compromisos y Obligaciones en Inversión del Sector Minas y Energía. </w:t>
      </w:r>
    </w:p>
    <w:p w14:paraId="0CA055AD" w14:textId="5C5308DF" w:rsidR="00C7469E" w:rsidRPr="00A45803" w:rsidRDefault="00C7469E" w:rsidP="00C7469E">
      <w:pPr>
        <w:spacing w:after="0"/>
        <w:jc w:val="center"/>
        <w:rPr>
          <w:rFonts w:ascii="Arial" w:eastAsia="Calibri" w:hAnsi="Arial" w:cs="Arial"/>
          <w:b/>
          <w:sz w:val="20"/>
          <w:szCs w:val="20"/>
          <w:lang w:val="es-ES"/>
        </w:rPr>
      </w:pPr>
      <w:r w:rsidRPr="00A45803">
        <w:rPr>
          <w:rFonts w:ascii="Arial" w:eastAsia="Calibri" w:hAnsi="Arial" w:cs="Arial"/>
          <w:b/>
          <w:sz w:val="20"/>
          <w:szCs w:val="20"/>
          <w:lang w:val="es-ES"/>
        </w:rPr>
        <w:t>I</w:t>
      </w:r>
      <w:r w:rsidR="005E4353" w:rsidRPr="00A45803">
        <w:rPr>
          <w:rFonts w:ascii="Arial" w:eastAsia="Calibri" w:hAnsi="Arial" w:cs="Arial"/>
          <w:b/>
          <w:sz w:val="20"/>
          <w:szCs w:val="20"/>
          <w:lang w:val="es-ES"/>
        </w:rPr>
        <w:t>I</w:t>
      </w:r>
      <w:r w:rsidRPr="00A45803">
        <w:rPr>
          <w:rFonts w:ascii="Arial" w:eastAsia="Calibri" w:hAnsi="Arial" w:cs="Arial"/>
          <w:b/>
          <w:sz w:val="20"/>
          <w:szCs w:val="20"/>
          <w:lang w:val="es-ES"/>
        </w:rPr>
        <w:t xml:space="preserve"> Trimestre de 2018</w:t>
      </w:r>
    </w:p>
    <w:p w14:paraId="7E038750" w14:textId="77777777" w:rsidR="00C7469E" w:rsidRPr="00A45803" w:rsidRDefault="00C7469E" w:rsidP="00C7469E">
      <w:pPr>
        <w:spacing w:after="0" w:line="240" w:lineRule="auto"/>
        <w:jc w:val="right"/>
        <w:rPr>
          <w:rFonts w:ascii="Arial" w:eastAsia="Calibri" w:hAnsi="Arial" w:cs="Arial"/>
          <w:b/>
          <w:sz w:val="18"/>
          <w:szCs w:val="18"/>
        </w:rPr>
      </w:pPr>
      <w:r w:rsidRPr="00A45803">
        <w:rPr>
          <w:rFonts w:ascii="Arial" w:eastAsia="Calibri" w:hAnsi="Arial" w:cs="Arial"/>
          <w:b/>
          <w:sz w:val="18"/>
          <w:szCs w:val="18"/>
        </w:rPr>
        <w:t>(En Millones de $)</w:t>
      </w:r>
    </w:p>
    <w:p w14:paraId="686B147A" w14:textId="77777777" w:rsidR="00C7469E" w:rsidRPr="00A45803" w:rsidRDefault="00C7469E" w:rsidP="00C7469E">
      <w:pPr>
        <w:jc w:val="center"/>
        <w:rPr>
          <w:rFonts w:ascii="Arial" w:eastAsia="Calibri" w:hAnsi="Arial" w:cs="Arial"/>
          <w:color w:val="FF0000"/>
          <w:sz w:val="20"/>
          <w:szCs w:val="20"/>
        </w:rPr>
      </w:pPr>
      <w:r w:rsidRPr="00A45803">
        <w:rPr>
          <w:noProof/>
          <w:lang w:eastAsia="es-CO"/>
        </w:rPr>
        <w:drawing>
          <wp:inline distT="0" distB="0" distL="0" distR="0" wp14:anchorId="49A7E76A" wp14:editId="653C7D5B">
            <wp:extent cx="4305300" cy="1593850"/>
            <wp:effectExtent l="0" t="0" r="0" b="63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FD7571" w14:textId="77777777" w:rsidR="00C7469E" w:rsidRPr="00D85753" w:rsidRDefault="00C7469E" w:rsidP="00C7469E">
      <w:pPr>
        <w:spacing w:after="0" w:line="240" w:lineRule="auto"/>
        <w:ind w:left="708" w:firstLine="708"/>
        <w:jc w:val="center"/>
        <w:rPr>
          <w:rFonts w:ascii="Arial" w:eastAsia="Calibri" w:hAnsi="Arial" w:cs="Arial"/>
          <w:i/>
          <w:sz w:val="16"/>
          <w:szCs w:val="16"/>
        </w:rPr>
      </w:pPr>
      <w:r w:rsidRPr="00D85753">
        <w:rPr>
          <w:rFonts w:ascii="Arial" w:eastAsia="Calibri" w:hAnsi="Arial" w:cs="Arial"/>
          <w:i/>
          <w:sz w:val="16"/>
          <w:szCs w:val="16"/>
        </w:rPr>
        <w:t>Fuente: SIIF Nación – MHCP</w:t>
      </w:r>
    </w:p>
    <w:p w14:paraId="0464DF48" w14:textId="77777777" w:rsidR="00C02282" w:rsidRPr="00D85753" w:rsidRDefault="00C02282" w:rsidP="00C02282">
      <w:pPr>
        <w:spacing w:after="0" w:line="240" w:lineRule="auto"/>
        <w:rPr>
          <w:rFonts w:ascii="Arial" w:eastAsia="Calibri" w:hAnsi="Arial" w:cs="Arial"/>
        </w:rPr>
      </w:pPr>
    </w:p>
    <w:p w14:paraId="2CD67ED6" w14:textId="77777777" w:rsidR="00C02282" w:rsidRPr="00D85753" w:rsidRDefault="00C02282" w:rsidP="008B4625">
      <w:pPr>
        <w:pStyle w:val="Ttulo1"/>
        <w:numPr>
          <w:ilvl w:val="0"/>
          <w:numId w:val="33"/>
        </w:numPr>
        <w:rPr>
          <w:rFonts w:ascii="Arial" w:eastAsia="Arial" w:hAnsi="Arial" w:cs="Arial"/>
          <w:b/>
          <w:color w:val="auto"/>
          <w:sz w:val="22"/>
          <w:szCs w:val="22"/>
          <w:lang w:eastAsia="es-CO"/>
        </w:rPr>
      </w:pPr>
      <w:bookmarkStart w:id="7" w:name="_Toc525652008"/>
      <w:r w:rsidRPr="00D85753">
        <w:rPr>
          <w:rFonts w:ascii="Arial" w:eastAsia="Arial" w:hAnsi="Arial" w:cs="Arial"/>
          <w:b/>
          <w:color w:val="auto"/>
          <w:sz w:val="22"/>
          <w:szCs w:val="22"/>
          <w:lang w:eastAsia="es-CO"/>
        </w:rPr>
        <w:lastRenderedPageBreak/>
        <w:t>MINISTERIO DE MINAS Y ENERGÍA- MME</w:t>
      </w:r>
      <w:bookmarkEnd w:id="7"/>
      <w:r w:rsidRPr="00D85753">
        <w:rPr>
          <w:rFonts w:ascii="Arial" w:eastAsia="Arial" w:hAnsi="Arial" w:cs="Arial"/>
          <w:b/>
          <w:color w:val="auto"/>
          <w:sz w:val="22"/>
          <w:szCs w:val="22"/>
          <w:lang w:eastAsia="es-CO"/>
        </w:rPr>
        <w:t xml:space="preserve"> </w:t>
      </w:r>
    </w:p>
    <w:p w14:paraId="3BCC9BA1" w14:textId="3F2A3871" w:rsidR="00C02282" w:rsidRPr="00D85753" w:rsidRDefault="00C02282" w:rsidP="008B4625">
      <w:pPr>
        <w:pStyle w:val="Ttulo1"/>
        <w:numPr>
          <w:ilvl w:val="0"/>
          <w:numId w:val="58"/>
        </w:numPr>
        <w:rPr>
          <w:rFonts w:ascii="Arial" w:hAnsi="Arial" w:cs="Arial"/>
          <w:b/>
          <w:color w:val="auto"/>
          <w:sz w:val="22"/>
          <w:szCs w:val="22"/>
          <w:lang w:eastAsia="es-CO"/>
        </w:rPr>
      </w:pPr>
      <w:bookmarkStart w:id="8" w:name="_Toc525652009"/>
      <w:r w:rsidRPr="00D85753">
        <w:rPr>
          <w:rFonts w:ascii="Arial" w:eastAsia="Arial" w:hAnsi="Arial" w:cs="Arial"/>
          <w:b/>
          <w:color w:val="auto"/>
          <w:sz w:val="22"/>
          <w:szCs w:val="22"/>
          <w:lang w:eastAsia="es-CO"/>
        </w:rPr>
        <w:t>COMPOSICIÓN DEL PRESUPUESTO DE</w:t>
      </w:r>
      <w:r w:rsidRPr="00D85753">
        <w:rPr>
          <w:rFonts w:ascii="Arial" w:hAnsi="Arial" w:cs="Arial"/>
          <w:b/>
          <w:color w:val="auto"/>
          <w:sz w:val="22"/>
          <w:szCs w:val="22"/>
          <w:lang w:eastAsia="es-CO"/>
        </w:rPr>
        <w:t>L MME</w:t>
      </w:r>
      <w:bookmarkEnd w:id="8"/>
      <w:r w:rsidRPr="00D85753">
        <w:rPr>
          <w:rFonts w:ascii="Arial" w:hAnsi="Arial" w:cs="Arial"/>
          <w:b/>
          <w:color w:val="auto"/>
          <w:sz w:val="22"/>
          <w:szCs w:val="22"/>
          <w:lang w:eastAsia="es-CO"/>
        </w:rPr>
        <w:t xml:space="preserve"> </w:t>
      </w:r>
    </w:p>
    <w:p w14:paraId="4485130F" w14:textId="77777777" w:rsidR="00B6251B" w:rsidRDefault="00B6251B" w:rsidP="00B6251B">
      <w:pPr>
        <w:rPr>
          <w:highlight w:val="yellow"/>
          <w:lang w:eastAsia="es-CO"/>
        </w:rPr>
      </w:pPr>
    </w:p>
    <w:p w14:paraId="0E35A806" w14:textId="77777777" w:rsidR="00B6251B" w:rsidRPr="00DE57A6" w:rsidRDefault="00B6251B" w:rsidP="00B6251B">
      <w:pPr>
        <w:spacing w:after="0" w:line="240" w:lineRule="auto"/>
        <w:jc w:val="both"/>
        <w:rPr>
          <w:rFonts w:ascii="Arial" w:hAnsi="Arial" w:cs="Arial"/>
          <w:bCs/>
          <w:snapToGrid w:val="0"/>
          <w:lang w:val="es-MX" w:eastAsia="es-ES"/>
        </w:rPr>
      </w:pPr>
      <w:r w:rsidRPr="00DE57A6">
        <w:rPr>
          <w:rFonts w:ascii="Arial" w:hAnsi="Arial" w:cs="Arial"/>
          <w:bCs/>
          <w:snapToGrid w:val="0"/>
          <w:lang w:val="es-MX" w:eastAsia="es-ES"/>
        </w:rPr>
        <w:t xml:space="preserve">El presupuesto asignado al Ministerio de Minas y Energía – Gestión General, asciende a la suma de $3.347.018 millones, de los cuales el 75% se encuentra financiado con recursos corrientes, otros recursos del tesoro y recursos del crédito externo. </w:t>
      </w:r>
    </w:p>
    <w:p w14:paraId="3B7BB2AA" w14:textId="77777777" w:rsidR="00B6251B" w:rsidRPr="00DE57A6" w:rsidRDefault="00B6251B" w:rsidP="00B6251B">
      <w:pPr>
        <w:spacing w:after="0" w:line="240" w:lineRule="auto"/>
        <w:jc w:val="both"/>
        <w:rPr>
          <w:rFonts w:ascii="Arial" w:hAnsi="Arial" w:cs="Arial"/>
          <w:bCs/>
          <w:snapToGrid w:val="0"/>
          <w:lang w:val="es-MX" w:eastAsia="es-ES"/>
        </w:rPr>
      </w:pPr>
    </w:p>
    <w:p w14:paraId="1381FE59" w14:textId="77777777" w:rsidR="00B6251B" w:rsidRPr="00DE57A6" w:rsidRDefault="00B6251B" w:rsidP="00B6251B">
      <w:pPr>
        <w:spacing w:after="0" w:line="240" w:lineRule="auto"/>
        <w:jc w:val="both"/>
        <w:rPr>
          <w:rFonts w:ascii="Arial" w:hAnsi="Arial" w:cs="Arial"/>
          <w:bCs/>
          <w:snapToGrid w:val="0"/>
          <w:lang w:val="es-MX" w:eastAsia="es-ES"/>
        </w:rPr>
      </w:pPr>
      <w:r w:rsidRPr="00DE57A6">
        <w:rPr>
          <w:rFonts w:ascii="Arial" w:hAnsi="Arial" w:cs="Arial"/>
          <w:bCs/>
          <w:snapToGrid w:val="0"/>
          <w:lang w:val="es-MX" w:eastAsia="es-ES"/>
        </w:rPr>
        <w:t>El restante 25% se financia con préstamos de destinación específica y los recaudos percibidos a través de los Fondos Especiales.</w:t>
      </w:r>
    </w:p>
    <w:p w14:paraId="7D0766F5" w14:textId="77777777" w:rsidR="00B6251B" w:rsidRPr="00DE57A6" w:rsidRDefault="00B6251B" w:rsidP="00B6251B">
      <w:pPr>
        <w:spacing w:after="0" w:line="240" w:lineRule="auto"/>
        <w:rPr>
          <w:rFonts w:ascii="Arial" w:eastAsia="Times New Roman" w:hAnsi="Arial" w:cs="Arial"/>
          <w:b/>
          <w:lang w:val="es-ES" w:eastAsia="es-ES"/>
        </w:rPr>
      </w:pPr>
    </w:p>
    <w:p w14:paraId="2005C1E9" w14:textId="77777777" w:rsidR="00B6251B" w:rsidRPr="00DE57A6" w:rsidRDefault="00B6251B" w:rsidP="00B6251B">
      <w:pPr>
        <w:spacing w:after="0" w:line="240" w:lineRule="auto"/>
        <w:jc w:val="both"/>
        <w:rPr>
          <w:rFonts w:ascii="Arial" w:hAnsi="Arial" w:cs="Arial"/>
          <w:bCs/>
          <w:snapToGrid w:val="0"/>
          <w:lang w:val="es-MX" w:eastAsia="es-ES"/>
        </w:rPr>
      </w:pPr>
      <w:r w:rsidRPr="00DE57A6">
        <w:rPr>
          <w:rFonts w:ascii="Arial" w:hAnsi="Arial" w:cs="Arial"/>
          <w:bCs/>
          <w:snapToGrid w:val="0"/>
          <w:lang w:val="es-MX" w:eastAsia="es-ES"/>
        </w:rPr>
        <w:t xml:space="preserve">En el siguiente gráfico, se puede observar la composición del presupuesto asignado para la vigencia 2018. </w:t>
      </w:r>
    </w:p>
    <w:p w14:paraId="337B38B2" w14:textId="77777777" w:rsidR="00C02282" w:rsidRPr="006A67B4" w:rsidRDefault="00C02282" w:rsidP="00C02282">
      <w:pPr>
        <w:spacing w:after="0" w:line="240" w:lineRule="auto"/>
        <w:jc w:val="center"/>
        <w:rPr>
          <w:rFonts w:eastAsia="Calibri" w:cs="Arial"/>
          <w:highlight w:val="yellow"/>
        </w:rPr>
      </w:pPr>
    </w:p>
    <w:p w14:paraId="193AC9E7" w14:textId="77777777" w:rsidR="00C02282" w:rsidRPr="006A67B4" w:rsidRDefault="00C02282" w:rsidP="00C02282">
      <w:pPr>
        <w:spacing w:after="0" w:line="240" w:lineRule="auto"/>
        <w:jc w:val="both"/>
        <w:rPr>
          <w:rFonts w:ascii="Arial" w:hAnsi="Arial" w:cs="Arial"/>
          <w:highlight w:val="yellow"/>
          <w:lang w:eastAsia="es-ES"/>
        </w:rPr>
      </w:pPr>
    </w:p>
    <w:p w14:paraId="7F605019" w14:textId="1C48CF15" w:rsidR="00C02282" w:rsidRPr="00B6251B" w:rsidRDefault="00C02282" w:rsidP="00C02282">
      <w:pPr>
        <w:pStyle w:val="Descripcin"/>
        <w:keepNext/>
        <w:jc w:val="center"/>
      </w:pPr>
      <w:bookmarkStart w:id="9" w:name="_Toc525652420"/>
      <w:r w:rsidRPr="00B6251B">
        <w:t xml:space="preserve">Gráfica </w:t>
      </w:r>
      <w:r w:rsidR="00B6251B">
        <w:fldChar w:fldCharType="begin"/>
      </w:r>
      <w:r w:rsidR="00B6251B">
        <w:instrText xml:space="preserve"> SEQ Gráfica \* ARABIC </w:instrText>
      </w:r>
      <w:r w:rsidR="00B6251B">
        <w:fldChar w:fldCharType="separate"/>
      </w:r>
      <w:r w:rsidR="00B6251B">
        <w:rPr>
          <w:noProof/>
        </w:rPr>
        <w:t>1</w:t>
      </w:r>
      <w:r w:rsidR="00B6251B">
        <w:fldChar w:fldCharType="end"/>
      </w:r>
      <w:r w:rsidR="00B6251B" w:rsidRPr="00B6251B">
        <w:t xml:space="preserve"> Fuentes De Financiación </w:t>
      </w:r>
      <w:r w:rsidRPr="00B6251B">
        <w:t xml:space="preserve"> - vigencia 2018 MME</w:t>
      </w:r>
      <w:bookmarkEnd w:id="9"/>
    </w:p>
    <w:p w14:paraId="2CEDBD3A" w14:textId="74F2D7EC" w:rsidR="00C02282" w:rsidRPr="00B6251B" w:rsidRDefault="00B6251B" w:rsidP="00C02282">
      <w:pPr>
        <w:spacing w:after="0" w:line="240" w:lineRule="auto"/>
        <w:jc w:val="center"/>
        <w:rPr>
          <w:rFonts w:ascii="Arial" w:eastAsia="Calibri" w:hAnsi="Arial" w:cs="Arial"/>
          <w:sz w:val="16"/>
          <w:szCs w:val="16"/>
        </w:rPr>
      </w:pPr>
      <w:r w:rsidRPr="00B6251B">
        <w:rPr>
          <w:noProof/>
          <w:shd w:val="clear" w:color="auto" w:fill="943634"/>
          <w:lang w:eastAsia="es-CO"/>
        </w:rPr>
        <w:drawing>
          <wp:inline distT="0" distB="0" distL="0" distR="0" wp14:anchorId="55CA9CCE" wp14:editId="38AE2E6B">
            <wp:extent cx="5638800" cy="2076450"/>
            <wp:effectExtent l="0" t="0" r="0" b="0"/>
            <wp:docPr id="69" name="Gráfico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EBFAAC" w14:textId="77777777" w:rsidR="00B6251B" w:rsidRPr="00B6251B" w:rsidRDefault="00B6251B" w:rsidP="00B6251B">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3781345C" w14:textId="77777777" w:rsidR="00C02282" w:rsidRPr="00B6251B" w:rsidRDefault="00C02282" w:rsidP="00B6251B">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0F83E2C6" w14:textId="77777777" w:rsidR="00B6251B" w:rsidRPr="008E4C01" w:rsidRDefault="00B6251B" w:rsidP="00B6251B">
      <w:pPr>
        <w:spacing w:after="0" w:line="240" w:lineRule="auto"/>
        <w:jc w:val="center"/>
        <w:rPr>
          <w:rFonts w:ascii="Arial" w:hAnsi="Arial" w:cs="Arial"/>
          <w:sz w:val="18"/>
          <w:szCs w:val="18"/>
          <w:lang w:eastAsia="es-ES"/>
        </w:rPr>
      </w:pPr>
      <w:r w:rsidRPr="008E4C01">
        <w:rPr>
          <w:rFonts w:ascii="Arial" w:hAnsi="Arial" w:cs="Arial"/>
          <w:sz w:val="18"/>
          <w:szCs w:val="18"/>
          <w:lang w:eastAsia="es-ES"/>
        </w:rPr>
        <w:t>El presupuesto de inversión incluye aplazamiento de $53.870 millones</w:t>
      </w:r>
    </w:p>
    <w:p w14:paraId="72C2828A" w14:textId="77777777" w:rsidR="00C02282" w:rsidRDefault="00C02282" w:rsidP="00B6251B">
      <w:pPr>
        <w:spacing w:after="0" w:line="240" w:lineRule="auto"/>
        <w:jc w:val="center"/>
        <w:rPr>
          <w:rFonts w:ascii="Arial" w:hAnsi="Arial" w:cs="Arial"/>
          <w:highlight w:val="yellow"/>
          <w:lang w:eastAsia="es-ES"/>
        </w:rPr>
      </w:pPr>
    </w:p>
    <w:p w14:paraId="492D0660" w14:textId="77777777" w:rsidR="00B6251B" w:rsidRPr="006A67B4" w:rsidRDefault="00B6251B" w:rsidP="00B6251B">
      <w:pPr>
        <w:spacing w:after="0" w:line="240" w:lineRule="auto"/>
        <w:jc w:val="center"/>
        <w:rPr>
          <w:rFonts w:ascii="Arial" w:hAnsi="Arial" w:cs="Arial"/>
          <w:highlight w:val="yellow"/>
          <w:lang w:eastAsia="es-ES"/>
        </w:rPr>
      </w:pPr>
    </w:p>
    <w:p w14:paraId="2B16CF29" w14:textId="474F10EF" w:rsidR="00C02282" w:rsidRPr="00D85753" w:rsidRDefault="00C02282" w:rsidP="008B4625">
      <w:pPr>
        <w:pStyle w:val="Ttulo2"/>
        <w:numPr>
          <w:ilvl w:val="1"/>
          <w:numId w:val="58"/>
        </w:numPr>
        <w:rPr>
          <w:rFonts w:ascii="Arial" w:eastAsia="Calibri" w:hAnsi="Arial" w:cs="Arial"/>
          <w:color w:val="auto"/>
          <w:sz w:val="22"/>
          <w:szCs w:val="22"/>
        </w:rPr>
      </w:pPr>
      <w:bookmarkStart w:id="10" w:name="_Toc525652010"/>
      <w:r w:rsidRPr="00D85753">
        <w:rPr>
          <w:rFonts w:ascii="Arial" w:eastAsia="Calibri" w:hAnsi="Arial" w:cs="Arial"/>
          <w:color w:val="auto"/>
          <w:sz w:val="22"/>
          <w:szCs w:val="22"/>
        </w:rPr>
        <w:t>Composición del Presupuesto de Funcionamiento</w:t>
      </w:r>
      <w:r w:rsidR="00B6251B" w:rsidRPr="00D85753">
        <w:rPr>
          <w:rFonts w:ascii="Arial" w:eastAsia="Calibri" w:hAnsi="Arial" w:cs="Arial"/>
          <w:color w:val="auto"/>
          <w:sz w:val="22"/>
          <w:szCs w:val="22"/>
        </w:rPr>
        <w:t xml:space="preserve"> – Asignación </w:t>
      </w:r>
      <w:r w:rsidR="00D85753" w:rsidRPr="00D85753">
        <w:rPr>
          <w:rFonts w:ascii="Arial" w:eastAsia="Calibri" w:hAnsi="Arial" w:cs="Arial"/>
          <w:color w:val="auto"/>
          <w:sz w:val="22"/>
          <w:szCs w:val="22"/>
        </w:rPr>
        <w:t>Presupuestal del</w:t>
      </w:r>
      <w:r w:rsidRPr="00D85753">
        <w:rPr>
          <w:rFonts w:ascii="Arial" w:eastAsia="Calibri" w:hAnsi="Arial" w:cs="Arial"/>
          <w:color w:val="auto"/>
          <w:sz w:val="22"/>
          <w:szCs w:val="22"/>
        </w:rPr>
        <w:t xml:space="preserve"> MME</w:t>
      </w:r>
      <w:bookmarkEnd w:id="10"/>
    </w:p>
    <w:p w14:paraId="0D670B60" w14:textId="77777777" w:rsidR="00B6251B" w:rsidRDefault="00B6251B" w:rsidP="00B6251B">
      <w:pPr>
        <w:rPr>
          <w:highlight w:val="yellow"/>
        </w:rPr>
      </w:pPr>
    </w:p>
    <w:p w14:paraId="38F029C2" w14:textId="77777777" w:rsidR="00B6251B" w:rsidRPr="00DE57A6" w:rsidRDefault="00B6251B" w:rsidP="00B6251B">
      <w:pPr>
        <w:spacing w:after="0" w:line="240" w:lineRule="auto"/>
        <w:jc w:val="both"/>
        <w:rPr>
          <w:rFonts w:ascii="Arial" w:hAnsi="Arial" w:cs="Arial"/>
          <w:bCs/>
          <w:snapToGrid w:val="0"/>
          <w:lang w:val="es-MX" w:eastAsia="es-ES"/>
        </w:rPr>
      </w:pPr>
      <w:r w:rsidRPr="00DE57A6">
        <w:rPr>
          <w:rFonts w:ascii="Arial" w:hAnsi="Arial" w:cs="Arial"/>
          <w:bCs/>
          <w:snapToGrid w:val="0"/>
          <w:lang w:val="es-MX" w:eastAsia="es-ES"/>
        </w:rPr>
        <w:t>Del presupuesto total asignado por la suma de $3.347.018 millones, El 98</w:t>
      </w:r>
      <w:r w:rsidRPr="00DE57A6">
        <w:rPr>
          <w:rFonts w:ascii="Arial" w:hAnsi="Arial" w:cs="Arial"/>
          <w:bCs/>
          <w:snapToGrid w:val="0"/>
          <w:shd w:val="clear" w:color="auto" w:fill="FFFFFF"/>
          <w:lang w:val="es-MX" w:eastAsia="es-ES"/>
        </w:rPr>
        <w:t xml:space="preserve">% ($3.3 billones) </w:t>
      </w:r>
      <w:r w:rsidRPr="00DE57A6">
        <w:rPr>
          <w:rFonts w:ascii="Arial" w:hAnsi="Arial" w:cs="Arial"/>
          <w:bCs/>
          <w:snapToGrid w:val="0"/>
          <w:lang w:val="es-MX" w:eastAsia="es-ES"/>
        </w:rPr>
        <w:t xml:space="preserve">está dirigido a la inversión a través de sesenta y tres proyectos orientados a los Sectores Eléctrico, Hidrocarburos, Minero, Ambiental y Administrativo. </w:t>
      </w:r>
    </w:p>
    <w:p w14:paraId="707ED9B4" w14:textId="77777777" w:rsidR="00B6251B" w:rsidRPr="00DE57A6" w:rsidRDefault="00B6251B" w:rsidP="00B6251B">
      <w:pPr>
        <w:spacing w:after="0" w:line="240" w:lineRule="auto"/>
        <w:jc w:val="both"/>
        <w:rPr>
          <w:rFonts w:ascii="Arial" w:hAnsi="Arial" w:cs="Arial"/>
          <w:bCs/>
          <w:snapToGrid w:val="0"/>
          <w:lang w:val="es-MX" w:eastAsia="es-ES"/>
        </w:rPr>
      </w:pPr>
    </w:p>
    <w:p w14:paraId="4D72D39D" w14:textId="77777777" w:rsidR="00B6251B" w:rsidRDefault="00B6251B" w:rsidP="00B6251B">
      <w:pPr>
        <w:spacing w:after="0" w:line="240" w:lineRule="auto"/>
        <w:jc w:val="both"/>
        <w:rPr>
          <w:rFonts w:ascii="Arial" w:hAnsi="Arial" w:cs="Arial"/>
          <w:bCs/>
          <w:snapToGrid w:val="0"/>
          <w:lang w:val="es-MX" w:eastAsia="es-ES"/>
        </w:rPr>
      </w:pPr>
      <w:r w:rsidRPr="00DE57A6">
        <w:rPr>
          <w:rFonts w:ascii="Arial" w:hAnsi="Arial" w:cs="Arial"/>
          <w:bCs/>
          <w:snapToGrid w:val="0"/>
          <w:lang w:val="es-MX" w:eastAsia="es-ES"/>
        </w:rPr>
        <w:lastRenderedPageBreak/>
        <w:t>El restante 2% por la suma de ($77.865 millones) para la atención de los gastos de funcionamiento, así: Gastos de Personal de planta ($26.370) millones, Gastos Generales ($3.558 millones) y Transferencias Corrientes ($47.937 millones), tal como se ilustra en el siguiente gráfico.</w:t>
      </w:r>
    </w:p>
    <w:p w14:paraId="0F701450" w14:textId="77777777" w:rsidR="00D85753" w:rsidRDefault="00D85753" w:rsidP="00B6251B">
      <w:pPr>
        <w:spacing w:after="0" w:line="240" w:lineRule="auto"/>
        <w:jc w:val="both"/>
        <w:rPr>
          <w:rFonts w:ascii="Arial" w:hAnsi="Arial" w:cs="Arial"/>
          <w:bCs/>
          <w:snapToGrid w:val="0"/>
          <w:lang w:val="es-MX" w:eastAsia="es-ES"/>
        </w:rPr>
      </w:pPr>
    </w:p>
    <w:p w14:paraId="47EA92E7" w14:textId="77777777" w:rsidR="00B6251B" w:rsidRPr="00DE57A6" w:rsidRDefault="00B6251B" w:rsidP="00B6251B">
      <w:pPr>
        <w:spacing w:after="0" w:line="240" w:lineRule="auto"/>
        <w:jc w:val="both"/>
        <w:rPr>
          <w:rFonts w:ascii="Arial" w:hAnsi="Arial" w:cs="Arial"/>
          <w:bCs/>
          <w:snapToGrid w:val="0"/>
          <w:lang w:val="es-MX" w:eastAsia="es-ES"/>
        </w:rPr>
      </w:pPr>
    </w:p>
    <w:p w14:paraId="32460722" w14:textId="438C66B6" w:rsidR="00B6251B" w:rsidRPr="00B6251B" w:rsidRDefault="00B6251B" w:rsidP="00B6251B">
      <w:pPr>
        <w:pStyle w:val="Descripcin"/>
        <w:jc w:val="center"/>
        <w:rPr>
          <w:rFonts w:eastAsia="Calibri"/>
          <w:highlight w:val="yellow"/>
        </w:rPr>
      </w:pPr>
      <w:bookmarkStart w:id="11" w:name="_Toc525652421"/>
      <w:r>
        <w:t xml:space="preserve">Gráfica </w:t>
      </w:r>
      <w:r>
        <w:fldChar w:fldCharType="begin"/>
      </w:r>
      <w:r>
        <w:instrText xml:space="preserve"> SEQ Gráfica \* ARABIC </w:instrText>
      </w:r>
      <w:r>
        <w:fldChar w:fldCharType="separate"/>
      </w:r>
      <w:r>
        <w:rPr>
          <w:noProof/>
        </w:rPr>
        <w:t>2</w:t>
      </w:r>
      <w:r>
        <w:fldChar w:fldCharType="end"/>
      </w:r>
      <w:r w:rsidRPr="00B6251B">
        <w:t xml:space="preserve"> </w:t>
      </w:r>
      <w:r>
        <w:t>Asignación Presupuestal Vigencia 2018 Sector</w:t>
      </w:r>
      <w:bookmarkEnd w:id="11"/>
    </w:p>
    <w:p w14:paraId="4C81FCA7" w14:textId="77777777" w:rsidR="00B6251B" w:rsidRDefault="00B6251B" w:rsidP="00B6251B">
      <w:pPr>
        <w:keepNext/>
        <w:jc w:val="center"/>
      </w:pPr>
      <w:r w:rsidRPr="00FA14FE">
        <w:rPr>
          <w:noProof/>
          <w:lang w:eastAsia="es-CO"/>
        </w:rPr>
        <w:drawing>
          <wp:inline distT="0" distB="0" distL="0" distR="0" wp14:anchorId="7BFE43AA" wp14:editId="733396EF">
            <wp:extent cx="5542915" cy="2628900"/>
            <wp:effectExtent l="0" t="0" r="635" b="0"/>
            <wp:docPr id="70" name="Gráfico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98CFCD" w14:textId="77777777" w:rsidR="00B6251B" w:rsidRPr="00B6251B" w:rsidRDefault="00B6251B" w:rsidP="00B6251B">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3868AF22" w14:textId="77777777" w:rsidR="00B6251B" w:rsidRPr="00B6251B" w:rsidRDefault="00B6251B" w:rsidP="00B6251B">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23138604" w14:textId="77777777" w:rsidR="00B6251B" w:rsidRPr="008E4C01" w:rsidRDefault="00B6251B" w:rsidP="00B6251B">
      <w:pPr>
        <w:spacing w:after="0" w:line="240" w:lineRule="auto"/>
        <w:jc w:val="center"/>
        <w:rPr>
          <w:rFonts w:ascii="Arial" w:hAnsi="Arial" w:cs="Arial"/>
          <w:sz w:val="18"/>
          <w:szCs w:val="18"/>
          <w:lang w:eastAsia="es-ES"/>
        </w:rPr>
      </w:pPr>
      <w:r w:rsidRPr="008E4C01">
        <w:rPr>
          <w:rFonts w:ascii="Arial" w:hAnsi="Arial" w:cs="Arial"/>
          <w:sz w:val="18"/>
          <w:szCs w:val="18"/>
          <w:lang w:eastAsia="es-ES"/>
        </w:rPr>
        <w:t>El presupuesto de inversión incluye aplazamiento de $53.870 millones</w:t>
      </w:r>
    </w:p>
    <w:p w14:paraId="5E8BB7DF" w14:textId="77777777" w:rsidR="00B6251B" w:rsidRDefault="00B6251B" w:rsidP="00B6251B">
      <w:pPr>
        <w:keepNext/>
        <w:jc w:val="center"/>
      </w:pPr>
    </w:p>
    <w:p w14:paraId="25162872" w14:textId="77777777" w:rsidR="00C02282" w:rsidRPr="00037C13" w:rsidRDefault="00C02282" w:rsidP="00C02282">
      <w:pPr>
        <w:spacing w:after="0" w:line="240" w:lineRule="auto"/>
        <w:jc w:val="both"/>
        <w:rPr>
          <w:rFonts w:ascii="Arial" w:eastAsia="Calibri" w:hAnsi="Arial" w:cs="Arial"/>
        </w:rPr>
      </w:pPr>
      <w:r w:rsidRPr="00037C13">
        <w:rPr>
          <w:rFonts w:ascii="Arial" w:eastAsia="Calibri" w:hAnsi="Arial" w:cs="Arial"/>
        </w:rPr>
        <w:t>La entidad presenta un presupuesto total para funcionamiento de $77.865 millones de pesos distribuido de la siguiente manera:</w:t>
      </w:r>
    </w:p>
    <w:p w14:paraId="5E1A5B01" w14:textId="77777777" w:rsidR="00C02282" w:rsidRPr="006A67B4" w:rsidRDefault="00C02282" w:rsidP="00C02282">
      <w:pPr>
        <w:spacing w:after="0" w:line="240" w:lineRule="auto"/>
        <w:rPr>
          <w:rFonts w:ascii="Arial" w:hAnsi="Arial" w:cs="Arial"/>
          <w:highlight w:val="yellow"/>
          <w:lang w:eastAsia="es-ES"/>
        </w:rPr>
      </w:pPr>
    </w:p>
    <w:p w14:paraId="34221B0B" w14:textId="77777777" w:rsidR="00C02282" w:rsidRPr="00B6251B" w:rsidRDefault="00C02282" w:rsidP="00C02282">
      <w:pPr>
        <w:pStyle w:val="Descripcin"/>
        <w:keepNext/>
        <w:jc w:val="center"/>
      </w:pPr>
      <w:bookmarkStart w:id="12" w:name="_Toc525652447"/>
      <w:r w:rsidRPr="00B6251B">
        <w:t xml:space="preserve">Tabla </w:t>
      </w:r>
      <w:r w:rsidRPr="00B6251B">
        <w:fldChar w:fldCharType="begin"/>
      </w:r>
      <w:r w:rsidRPr="00B6251B">
        <w:instrText xml:space="preserve"> SEQ Tabla \* ARABIC </w:instrText>
      </w:r>
      <w:r w:rsidRPr="00B6251B">
        <w:fldChar w:fldCharType="separate"/>
      </w:r>
      <w:r w:rsidR="008B4625">
        <w:rPr>
          <w:noProof/>
        </w:rPr>
        <w:t>1</w:t>
      </w:r>
      <w:r w:rsidRPr="00B6251B">
        <w:fldChar w:fldCharType="end"/>
      </w:r>
      <w:r w:rsidRPr="00B6251B">
        <w:t>Distribución Presupuesto Funcionamiento - vigencia 2018 MME</w:t>
      </w:r>
      <w:bookmarkEnd w:id="12"/>
    </w:p>
    <w:tbl>
      <w:tblPr>
        <w:tblW w:w="9434" w:type="dxa"/>
        <w:tblCellMar>
          <w:left w:w="70" w:type="dxa"/>
          <w:right w:w="70" w:type="dxa"/>
        </w:tblCellMar>
        <w:tblLook w:val="04A0" w:firstRow="1" w:lastRow="0" w:firstColumn="1" w:lastColumn="0" w:noHBand="0" w:noVBand="1"/>
      </w:tblPr>
      <w:tblGrid>
        <w:gridCol w:w="4750"/>
        <w:gridCol w:w="2309"/>
        <w:gridCol w:w="2375"/>
      </w:tblGrid>
      <w:tr w:rsidR="00C02282" w:rsidRPr="00B6251B" w14:paraId="5C059073" w14:textId="77777777" w:rsidTr="006A67B4">
        <w:trPr>
          <w:trHeight w:val="499"/>
        </w:trPr>
        <w:tc>
          <w:tcPr>
            <w:tcW w:w="4750" w:type="dxa"/>
            <w:tcBorders>
              <w:top w:val="single" w:sz="8" w:space="0" w:color="auto"/>
              <w:left w:val="single" w:sz="8" w:space="0" w:color="auto"/>
              <w:bottom w:val="single" w:sz="8" w:space="0" w:color="auto"/>
              <w:right w:val="single" w:sz="4" w:space="0" w:color="auto"/>
            </w:tcBorders>
            <w:shd w:val="clear" w:color="auto" w:fill="365F91" w:themeFill="accent1" w:themeFillShade="BF"/>
            <w:vAlign w:val="center"/>
            <w:hideMark/>
          </w:tcPr>
          <w:p w14:paraId="1B743B22" w14:textId="77777777" w:rsidR="00C02282" w:rsidRPr="00B6251B" w:rsidRDefault="00C02282" w:rsidP="006A67B4">
            <w:pPr>
              <w:spacing w:after="0" w:line="240" w:lineRule="auto"/>
              <w:jc w:val="center"/>
              <w:rPr>
                <w:rFonts w:ascii="Arial" w:eastAsia="Times New Roman" w:hAnsi="Arial" w:cs="Arial"/>
                <w:b/>
                <w:bCs/>
                <w:color w:val="FFFFFF"/>
                <w:sz w:val="18"/>
                <w:lang w:eastAsia="es-CO"/>
              </w:rPr>
            </w:pPr>
            <w:r w:rsidRPr="00B6251B">
              <w:rPr>
                <w:rFonts w:ascii="Arial" w:eastAsia="Times New Roman" w:hAnsi="Arial" w:cs="Arial"/>
                <w:b/>
                <w:bCs/>
                <w:color w:val="FFFFFF"/>
                <w:sz w:val="18"/>
                <w:lang w:eastAsia="es-CO"/>
              </w:rPr>
              <w:t>Concepto</w:t>
            </w:r>
          </w:p>
        </w:tc>
        <w:tc>
          <w:tcPr>
            <w:tcW w:w="2309" w:type="dxa"/>
            <w:tcBorders>
              <w:top w:val="single" w:sz="8" w:space="0" w:color="auto"/>
              <w:left w:val="nil"/>
              <w:bottom w:val="single" w:sz="8" w:space="0" w:color="auto"/>
              <w:right w:val="single" w:sz="4" w:space="0" w:color="auto"/>
            </w:tcBorders>
            <w:shd w:val="clear" w:color="000000" w:fill="1F4E78"/>
            <w:vAlign w:val="center"/>
            <w:hideMark/>
          </w:tcPr>
          <w:p w14:paraId="550D3B6D" w14:textId="77777777" w:rsidR="00C02282" w:rsidRPr="00B6251B" w:rsidRDefault="00C02282" w:rsidP="006A67B4">
            <w:pPr>
              <w:spacing w:after="0" w:line="240" w:lineRule="auto"/>
              <w:jc w:val="center"/>
              <w:rPr>
                <w:rFonts w:ascii="Arial" w:eastAsia="Times New Roman" w:hAnsi="Arial" w:cs="Arial"/>
                <w:b/>
                <w:bCs/>
                <w:color w:val="FFFFFF"/>
                <w:sz w:val="18"/>
                <w:lang w:eastAsia="es-CO"/>
              </w:rPr>
            </w:pPr>
            <w:r w:rsidRPr="00B6251B">
              <w:rPr>
                <w:rFonts w:ascii="Arial" w:eastAsia="Times New Roman" w:hAnsi="Arial" w:cs="Arial"/>
                <w:b/>
                <w:bCs/>
                <w:color w:val="FFFFFF"/>
                <w:sz w:val="18"/>
                <w:lang w:eastAsia="es-CO"/>
              </w:rPr>
              <w:t>Apropiación Inicial 2018</w:t>
            </w:r>
          </w:p>
        </w:tc>
        <w:tc>
          <w:tcPr>
            <w:tcW w:w="2375" w:type="dxa"/>
            <w:tcBorders>
              <w:top w:val="single" w:sz="8" w:space="0" w:color="auto"/>
              <w:left w:val="nil"/>
              <w:bottom w:val="single" w:sz="8" w:space="0" w:color="auto"/>
              <w:right w:val="single" w:sz="8" w:space="0" w:color="auto"/>
            </w:tcBorders>
            <w:shd w:val="clear" w:color="000000" w:fill="1F4E78"/>
            <w:vAlign w:val="center"/>
            <w:hideMark/>
          </w:tcPr>
          <w:p w14:paraId="77ADA7A6" w14:textId="77777777" w:rsidR="00C02282" w:rsidRPr="00B6251B" w:rsidRDefault="00C02282" w:rsidP="006A67B4">
            <w:pPr>
              <w:spacing w:after="0" w:line="240" w:lineRule="auto"/>
              <w:jc w:val="center"/>
              <w:rPr>
                <w:rFonts w:ascii="Arial" w:eastAsia="Times New Roman" w:hAnsi="Arial" w:cs="Arial"/>
                <w:b/>
                <w:bCs/>
                <w:color w:val="FFFFFF"/>
                <w:sz w:val="18"/>
                <w:lang w:eastAsia="es-CO"/>
              </w:rPr>
            </w:pPr>
            <w:r w:rsidRPr="00B6251B">
              <w:rPr>
                <w:rFonts w:ascii="Arial" w:eastAsia="Times New Roman" w:hAnsi="Arial" w:cs="Arial"/>
                <w:b/>
                <w:bCs/>
                <w:color w:val="FFFFFF"/>
                <w:sz w:val="18"/>
                <w:lang w:eastAsia="es-CO"/>
              </w:rPr>
              <w:t>Apropiación</w:t>
            </w:r>
            <w:r w:rsidRPr="00B6251B">
              <w:rPr>
                <w:rFonts w:ascii="Arial" w:eastAsia="Times New Roman" w:hAnsi="Arial" w:cs="Arial"/>
                <w:b/>
                <w:bCs/>
                <w:color w:val="FFFFFF"/>
                <w:sz w:val="18"/>
                <w:lang w:eastAsia="es-CO"/>
              </w:rPr>
              <w:br/>
              <w:t>Vigente 2018</w:t>
            </w:r>
          </w:p>
        </w:tc>
      </w:tr>
      <w:tr w:rsidR="00C02282" w:rsidRPr="00B6251B" w14:paraId="16005864" w14:textId="77777777" w:rsidTr="006A67B4">
        <w:trPr>
          <w:trHeight w:val="307"/>
        </w:trPr>
        <w:tc>
          <w:tcPr>
            <w:tcW w:w="4750" w:type="dxa"/>
            <w:tcBorders>
              <w:top w:val="nil"/>
              <w:left w:val="single" w:sz="8" w:space="0" w:color="auto"/>
              <w:bottom w:val="single" w:sz="4" w:space="0" w:color="auto"/>
              <w:right w:val="single" w:sz="4" w:space="0" w:color="auto"/>
            </w:tcBorders>
            <w:shd w:val="clear" w:color="auto" w:fill="auto"/>
            <w:noWrap/>
            <w:vAlign w:val="center"/>
            <w:hideMark/>
          </w:tcPr>
          <w:p w14:paraId="5C838370"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 xml:space="preserve">Gastos de Personal </w:t>
            </w:r>
          </w:p>
        </w:tc>
        <w:tc>
          <w:tcPr>
            <w:tcW w:w="2309" w:type="dxa"/>
            <w:tcBorders>
              <w:top w:val="nil"/>
              <w:left w:val="nil"/>
              <w:bottom w:val="nil"/>
              <w:right w:val="single" w:sz="4" w:space="0" w:color="auto"/>
            </w:tcBorders>
            <w:shd w:val="clear" w:color="000000" w:fill="FFFFFF"/>
            <w:noWrap/>
            <w:vAlign w:val="center"/>
          </w:tcPr>
          <w:p w14:paraId="3C563C99"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$26.370</w:t>
            </w:r>
          </w:p>
        </w:tc>
        <w:tc>
          <w:tcPr>
            <w:tcW w:w="2375" w:type="dxa"/>
            <w:tcBorders>
              <w:top w:val="nil"/>
              <w:left w:val="nil"/>
              <w:bottom w:val="single" w:sz="4" w:space="0" w:color="auto"/>
              <w:right w:val="single" w:sz="8" w:space="0" w:color="auto"/>
            </w:tcBorders>
            <w:shd w:val="clear" w:color="auto" w:fill="auto"/>
            <w:noWrap/>
            <w:vAlign w:val="center"/>
          </w:tcPr>
          <w:p w14:paraId="535F9C69"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$26.370</w:t>
            </w:r>
          </w:p>
        </w:tc>
      </w:tr>
      <w:tr w:rsidR="00C02282" w:rsidRPr="00B6251B" w14:paraId="4C721CC3" w14:textId="77777777" w:rsidTr="006A67B4">
        <w:trPr>
          <w:trHeight w:val="307"/>
        </w:trPr>
        <w:tc>
          <w:tcPr>
            <w:tcW w:w="4750" w:type="dxa"/>
            <w:tcBorders>
              <w:top w:val="nil"/>
              <w:left w:val="single" w:sz="8" w:space="0" w:color="auto"/>
              <w:bottom w:val="single" w:sz="4" w:space="0" w:color="auto"/>
              <w:right w:val="single" w:sz="4" w:space="0" w:color="auto"/>
            </w:tcBorders>
            <w:shd w:val="clear" w:color="auto" w:fill="auto"/>
            <w:noWrap/>
            <w:vAlign w:val="center"/>
            <w:hideMark/>
          </w:tcPr>
          <w:p w14:paraId="264BAB8D"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 xml:space="preserve">Gastos Generales </w:t>
            </w:r>
          </w:p>
        </w:tc>
        <w:tc>
          <w:tcPr>
            <w:tcW w:w="2309" w:type="dxa"/>
            <w:tcBorders>
              <w:top w:val="single" w:sz="4" w:space="0" w:color="auto"/>
              <w:left w:val="nil"/>
              <w:bottom w:val="nil"/>
              <w:right w:val="single" w:sz="4" w:space="0" w:color="auto"/>
            </w:tcBorders>
            <w:shd w:val="clear" w:color="000000" w:fill="FFFFFF"/>
            <w:noWrap/>
            <w:vAlign w:val="center"/>
          </w:tcPr>
          <w:p w14:paraId="4001150B"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$3.558</w:t>
            </w:r>
          </w:p>
        </w:tc>
        <w:tc>
          <w:tcPr>
            <w:tcW w:w="2375" w:type="dxa"/>
            <w:tcBorders>
              <w:top w:val="nil"/>
              <w:left w:val="nil"/>
              <w:bottom w:val="single" w:sz="4" w:space="0" w:color="auto"/>
              <w:right w:val="single" w:sz="8" w:space="0" w:color="auto"/>
            </w:tcBorders>
            <w:shd w:val="clear" w:color="auto" w:fill="auto"/>
            <w:noWrap/>
            <w:vAlign w:val="center"/>
          </w:tcPr>
          <w:p w14:paraId="04911227"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$3.558</w:t>
            </w:r>
          </w:p>
        </w:tc>
      </w:tr>
      <w:tr w:rsidR="00C02282" w:rsidRPr="00B6251B" w14:paraId="64FD4975" w14:textId="77777777" w:rsidTr="006A67B4">
        <w:trPr>
          <w:trHeight w:val="307"/>
        </w:trPr>
        <w:tc>
          <w:tcPr>
            <w:tcW w:w="4750" w:type="dxa"/>
            <w:tcBorders>
              <w:top w:val="nil"/>
              <w:left w:val="single" w:sz="8" w:space="0" w:color="auto"/>
              <w:bottom w:val="single" w:sz="4" w:space="0" w:color="auto"/>
              <w:right w:val="single" w:sz="4" w:space="0" w:color="auto"/>
            </w:tcBorders>
            <w:shd w:val="clear" w:color="auto" w:fill="auto"/>
            <w:noWrap/>
            <w:vAlign w:val="center"/>
            <w:hideMark/>
          </w:tcPr>
          <w:p w14:paraId="50C64054"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 xml:space="preserve">Transferencias </w:t>
            </w:r>
          </w:p>
        </w:tc>
        <w:tc>
          <w:tcPr>
            <w:tcW w:w="2309" w:type="dxa"/>
            <w:tcBorders>
              <w:top w:val="single" w:sz="4" w:space="0" w:color="auto"/>
              <w:left w:val="nil"/>
              <w:bottom w:val="nil"/>
              <w:right w:val="single" w:sz="4" w:space="0" w:color="auto"/>
            </w:tcBorders>
            <w:shd w:val="clear" w:color="000000" w:fill="FFFFFF"/>
            <w:noWrap/>
            <w:vAlign w:val="center"/>
          </w:tcPr>
          <w:p w14:paraId="609EA809"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$47.937</w:t>
            </w:r>
          </w:p>
        </w:tc>
        <w:tc>
          <w:tcPr>
            <w:tcW w:w="2375" w:type="dxa"/>
            <w:tcBorders>
              <w:top w:val="nil"/>
              <w:left w:val="nil"/>
              <w:bottom w:val="single" w:sz="4" w:space="0" w:color="auto"/>
              <w:right w:val="single" w:sz="8" w:space="0" w:color="auto"/>
            </w:tcBorders>
            <w:shd w:val="clear" w:color="auto" w:fill="auto"/>
            <w:noWrap/>
            <w:vAlign w:val="center"/>
          </w:tcPr>
          <w:p w14:paraId="41A15316"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$47.937</w:t>
            </w:r>
          </w:p>
        </w:tc>
      </w:tr>
      <w:tr w:rsidR="00C02282" w:rsidRPr="00B6251B" w14:paraId="4FE3DFFD" w14:textId="77777777" w:rsidTr="006A67B4">
        <w:trPr>
          <w:trHeight w:val="323"/>
        </w:trPr>
        <w:tc>
          <w:tcPr>
            <w:tcW w:w="4750" w:type="dxa"/>
            <w:tcBorders>
              <w:top w:val="nil"/>
              <w:left w:val="single" w:sz="8" w:space="0" w:color="auto"/>
              <w:bottom w:val="single" w:sz="8" w:space="0" w:color="auto"/>
              <w:right w:val="single" w:sz="4" w:space="0" w:color="auto"/>
            </w:tcBorders>
            <w:shd w:val="clear" w:color="auto" w:fill="auto"/>
            <w:noWrap/>
            <w:vAlign w:val="center"/>
            <w:hideMark/>
          </w:tcPr>
          <w:p w14:paraId="63F7FEDE"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Gastos de Comercialización y Operación</w:t>
            </w:r>
          </w:p>
        </w:tc>
        <w:tc>
          <w:tcPr>
            <w:tcW w:w="2309" w:type="dxa"/>
            <w:tcBorders>
              <w:top w:val="single" w:sz="4" w:space="0" w:color="auto"/>
              <w:left w:val="nil"/>
              <w:bottom w:val="single" w:sz="8" w:space="0" w:color="auto"/>
              <w:right w:val="single" w:sz="4" w:space="0" w:color="auto"/>
            </w:tcBorders>
            <w:shd w:val="clear" w:color="000000" w:fill="FFFFFF"/>
            <w:noWrap/>
            <w:vAlign w:val="center"/>
          </w:tcPr>
          <w:p w14:paraId="3BF98408"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$0</w:t>
            </w:r>
          </w:p>
        </w:tc>
        <w:tc>
          <w:tcPr>
            <w:tcW w:w="2375" w:type="dxa"/>
            <w:tcBorders>
              <w:top w:val="nil"/>
              <w:left w:val="nil"/>
              <w:bottom w:val="single" w:sz="8" w:space="0" w:color="auto"/>
              <w:right w:val="single" w:sz="8" w:space="0" w:color="auto"/>
            </w:tcBorders>
            <w:shd w:val="clear" w:color="auto" w:fill="auto"/>
            <w:noWrap/>
            <w:vAlign w:val="center"/>
          </w:tcPr>
          <w:p w14:paraId="6E4B0AA2" w14:textId="77777777" w:rsidR="00C02282" w:rsidRPr="00B6251B" w:rsidRDefault="00C02282" w:rsidP="006A67B4">
            <w:pPr>
              <w:spacing w:after="0" w:line="240" w:lineRule="auto"/>
              <w:jc w:val="center"/>
              <w:rPr>
                <w:rFonts w:ascii="Arial" w:eastAsia="Times New Roman" w:hAnsi="Arial" w:cs="Arial"/>
                <w:sz w:val="18"/>
                <w:lang w:eastAsia="es-CO"/>
              </w:rPr>
            </w:pPr>
            <w:r w:rsidRPr="00B6251B">
              <w:rPr>
                <w:rFonts w:ascii="Arial" w:eastAsia="Times New Roman" w:hAnsi="Arial" w:cs="Arial"/>
                <w:sz w:val="18"/>
                <w:lang w:eastAsia="es-CO"/>
              </w:rPr>
              <w:t>$0</w:t>
            </w:r>
          </w:p>
        </w:tc>
      </w:tr>
      <w:tr w:rsidR="00C02282" w:rsidRPr="00B6251B" w14:paraId="62E4697A" w14:textId="77777777" w:rsidTr="006A67B4">
        <w:trPr>
          <w:trHeight w:val="338"/>
        </w:trPr>
        <w:tc>
          <w:tcPr>
            <w:tcW w:w="4750" w:type="dxa"/>
            <w:tcBorders>
              <w:top w:val="nil"/>
              <w:left w:val="single" w:sz="8" w:space="0" w:color="auto"/>
              <w:bottom w:val="single" w:sz="8" w:space="0" w:color="auto"/>
              <w:right w:val="single" w:sz="4" w:space="0" w:color="auto"/>
            </w:tcBorders>
            <w:shd w:val="clear" w:color="000000" w:fill="1F4E78"/>
            <w:vAlign w:val="center"/>
            <w:hideMark/>
          </w:tcPr>
          <w:p w14:paraId="7414BF67" w14:textId="77777777" w:rsidR="00C02282" w:rsidRPr="00B6251B" w:rsidRDefault="00C02282" w:rsidP="006A67B4">
            <w:pPr>
              <w:spacing w:after="0" w:line="240" w:lineRule="auto"/>
              <w:jc w:val="center"/>
              <w:rPr>
                <w:rFonts w:ascii="Arial" w:eastAsia="Times New Roman" w:hAnsi="Arial" w:cs="Arial"/>
                <w:b/>
                <w:bCs/>
                <w:color w:val="FFFFFF"/>
                <w:sz w:val="18"/>
                <w:lang w:eastAsia="es-CO"/>
              </w:rPr>
            </w:pPr>
            <w:r w:rsidRPr="00B6251B">
              <w:rPr>
                <w:rFonts w:ascii="Arial" w:eastAsia="Times New Roman" w:hAnsi="Arial" w:cs="Arial"/>
                <w:b/>
                <w:bCs/>
                <w:color w:val="FFFFFF"/>
                <w:sz w:val="18"/>
                <w:lang w:eastAsia="es-CO"/>
              </w:rPr>
              <w:t>Total Funcionamiento</w:t>
            </w:r>
          </w:p>
        </w:tc>
        <w:tc>
          <w:tcPr>
            <w:tcW w:w="2309" w:type="dxa"/>
            <w:tcBorders>
              <w:top w:val="nil"/>
              <w:left w:val="nil"/>
              <w:bottom w:val="single" w:sz="8" w:space="0" w:color="auto"/>
              <w:right w:val="single" w:sz="4" w:space="0" w:color="auto"/>
            </w:tcBorders>
            <w:shd w:val="clear" w:color="000000" w:fill="1F4E78"/>
            <w:noWrap/>
            <w:vAlign w:val="center"/>
          </w:tcPr>
          <w:p w14:paraId="5AFFD218" w14:textId="77777777" w:rsidR="00C02282" w:rsidRPr="00B6251B" w:rsidRDefault="00C02282" w:rsidP="006A67B4">
            <w:pPr>
              <w:spacing w:after="0" w:line="240" w:lineRule="auto"/>
              <w:jc w:val="center"/>
              <w:rPr>
                <w:rFonts w:ascii="Arial" w:eastAsia="Times New Roman" w:hAnsi="Arial" w:cs="Arial"/>
                <w:b/>
                <w:bCs/>
                <w:color w:val="FFFFFF"/>
                <w:sz w:val="18"/>
                <w:lang w:eastAsia="es-CO"/>
              </w:rPr>
            </w:pPr>
            <w:r w:rsidRPr="00B6251B">
              <w:rPr>
                <w:rFonts w:ascii="Arial" w:eastAsia="Times New Roman" w:hAnsi="Arial" w:cs="Arial"/>
                <w:b/>
                <w:bCs/>
                <w:color w:val="FFFFFF"/>
                <w:sz w:val="18"/>
                <w:lang w:eastAsia="es-CO"/>
              </w:rPr>
              <w:t>$77.865</w:t>
            </w:r>
          </w:p>
        </w:tc>
        <w:tc>
          <w:tcPr>
            <w:tcW w:w="2375" w:type="dxa"/>
            <w:tcBorders>
              <w:top w:val="nil"/>
              <w:left w:val="nil"/>
              <w:bottom w:val="single" w:sz="8" w:space="0" w:color="auto"/>
              <w:right w:val="single" w:sz="4" w:space="0" w:color="auto"/>
            </w:tcBorders>
            <w:shd w:val="clear" w:color="000000" w:fill="1F4E78"/>
            <w:noWrap/>
            <w:vAlign w:val="center"/>
          </w:tcPr>
          <w:p w14:paraId="232BD057" w14:textId="77777777" w:rsidR="00C02282" w:rsidRPr="00B6251B" w:rsidRDefault="00C02282" w:rsidP="006A67B4">
            <w:pPr>
              <w:spacing w:after="0" w:line="240" w:lineRule="auto"/>
              <w:jc w:val="center"/>
              <w:rPr>
                <w:rFonts w:ascii="Arial" w:eastAsia="Times New Roman" w:hAnsi="Arial" w:cs="Arial"/>
                <w:b/>
                <w:bCs/>
                <w:color w:val="FFFFFF"/>
                <w:sz w:val="18"/>
                <w:lang w:eastAsia="es-CO"/>
              </w:rPr>
            </w:pPr>
            <w:r w:rsidRPr="00B6251B">
              <w:rPr>
                <w:rFonts w:ascii="Arial" w:eastAsia="Times New Roman" w:hAnsi="Arial" w:cs="Arial"/>
                <w:b/>
                <w:bCs/>
                <w:color w:val="FFFFFF"/>
                <w:sz w:val="18"/>
                <w:lang w:eastAsia="es-CO"/>
              </w:rPr>
              <w:t>$77.865</w:t>
            </w:r>
          </w:p>
        </w:tc>
      </w:tr>
    </w:tbl>
    <w:p w14:paraId="6FAF5F49" w14:textId="77777777" w:rsidR="00C02282" w:rsidRPr="00B6251B" w:rsidRDefault="00C02282" w:rsidP="00C02282">
      <w:pPr>
        <w:spacing w:after="0" w:line="240" w:lineRule="auto"/>
        <w:jc w:val="center"/>
        <w:rPr>
          <w:rFonts w:ascii="Arial" w:eastAsia="Calibri" w:hAnsi="Arial" w:cs="Arial"/>
          <w:sz w:val="16"/>
          <w:szCs w:val="16"/>
        </w:rPr>
      </w:pPr>
      <w:r w:rsidRPr="00B6251B">
        <w:rPr>
          <w:rFonts w:ascii="Arial" w:hAnsi="Arial" w:cs="Arial"/>
          <w:sz w:val="16"/>
          <w:szCs w:val="16"/>
          <w:lang w:eastAsia="es-ES"/>
        </w:rPr>
        <w:t>Millones de pesos</w:t>
      </w:r>
    </w:p>
    <w:p w14:paraId="35E757ED" w14:textId="77777777" w:rsidR="00C02282" w:rsidRDefault="00C02282" w:rsidP="00C02282">
      <w:pPr>
        <w:spacing w:after="0" w:line="240" w:lineRule="auto"/>
        <w:jc w:val="center"/>
        <w:rPr>
          <w:rFonts w:ascii="Arial" w:eastAsia="Calibri" w:hAnsi="Arial" w:cs="Arial"/>
          <w:sz w:val="16"/>
          <w:szCs w:val="16"/>
        </w:rPr>
      </w:pPr>
      <w:r w:rsidRPr="00B6251B">
        <w:rPr>
          <w:rFonts w:ascii="Arial" w:eastAsia="Calibri" w:hAnsi="Arial" w:cs="Arial"/>
          <w:sz w:val="16"/>
          <w:szCs w:val="16"/>
        </w:rPr>
        <w:t>Fuente: SIIF – Nación MME</w:t>
      </w:r>
    </w:p>
    <w:p w14:paraId="0DCFE0BE" w14:textId="77777777" w:rsidR="00D85753" w:rsidRDefault="00D85753" w:rsidP="00C02282">
      <w:pPr>
        <w:spacing w:after="0" w:line="240" w:lineRule="auto"/>
        <w:jc w:val="center"/>
        <w:rPr>
          <w:rFonts w:ascii="Arial" w:eastAsia="Calibri" w:hAnsi="Arial" w:cs="Arial"/>
          <w:sz w:val="16"/>
          <w:szCs w:val="16"/>
        </w:rPr>
      </w:pPr>
    </w:p>
    <w:p w14:paraId="7AED8F45" w14:textId="77777777" w:rsidR="00D85753" w:rsidRPr="00B6251B" w:rsidRDefault="00D85753" w:rsidP="00C02282">
      <w:pPr>
        <w:spacing w:after="0" w:line="240" w:lineRule="auto"/>
        <w:jc w:val="center"/>
        <w:rPr>
          <w:rFonts w:ascii="Arial" w:eastAsia="Calibri" w:hAnsi="Arial" w:cs="Arial"/>
          <w:sz w:val="16"/>
          <w:szCs w:val="16"/>
        </w:rPr>
      </w:pPr>
    </w:p>
    <w:p w14:paraId="0724E1DD" w14:textId="77777777" w:rsidR="00C02282" w:rsidRPr="006A67B4" w:rsidRDefault="00C02282" w:rsidP="00C02282">
      <w:pPr>
        <w:spacing w:after="0" w:line="240" w:lineRule="auto"/>
        <w:rPr>
          <w:rFonts w:ascii="Arial" w:eastAsia="Calibri" w:hAnsi="Arial" w:cs="Arial"/>
          <w:sz w:val="16"/>
          <w:szCs w:val="16"/>
          <w:highlight w:val="yellow"/>
        </w:rPr>
      </w:pPr>
    </w:p>
    <w:p w14:paraId="2CF988B1" w14:textId="04096F33" w:rsidR="00C02282" w:rsidRPr="00037C13" w:rsidRDefault="00C02282" w:rsidP="008B4625">
      <w:pPr>
        <w:pStyle w:val="Ttulo2"/>
        <w:numPr>
          <w:ilvl w:val="1"/>
          <w:numId w:val="58"/>
        </w:numPr>
        <w:rPr>
          <w:rFonts w:ascii="Arial" w:eastAsia="Calibri" w:hAnsi="Arial" w:cs="Arial"/>
          <w:color w:val="auto"/>
          <w:sz w:val="22"/>
          <w:szCs w:val="22"/>
        </w:rPr>
      </w:pPr>
      <w:bookmarkStart w:id="13" w:name="_Toc525652011"/>
      <w:r w:rsidRPr="00037C13">
        <w:rPr>
          <w:rFonts w:ascii="Arial" w:eastAsia="Calibri" w:hAnsi="Arial" w:cs="Arial"/>
          <w:color w:val="auto"/>
          <w:sz w:val="22"/>
          <w:szCs w:val="22"/>
        </w:rPr>
        <w:lastRenderedPageBreak/>
        <w:t>Composición del Presupuesto de Inversión del MME</w:t>
      </w:r>
      <w:bookmarkEnd w:id="13"/>
    </w:p>
    <w:p w14:paraId="7BFDCAFC" w14:textId="77777777" w:rsidR="00C02282" w:rsidRPr="006A67B4" w:rsidRDefault="00C02282" w:rsidP="00C02282">
      <w:pPr>
        <w:pStyle w:val="Prrafodelista"/>
        <w:spacing w:after="0" w:line="240" w:lineRule="auto"/>
        <w:ind w:left="709"/>
        <w:jc w:val="both"/>
        <w:rPr>
          <w:rFonts w:eastAsia="Calibri" w:cs="Arial"/>
          <w:highlight w:val="yellow"/>
        </w:rPr>
      </w:pPr>
    </w:p>
    <w:p w14:paraId="6862D50C" w14:textId="77777777" w:rsidR="00037C13" w:rsidRPr="00DE57A6" w:rsidRDefault="00037C13" w:rsidP="00037C13">
      <w:pPr>
        <w:spacing w:after="0" w:line="240" w:lineRule="auto"/>
        <w:jc w:val="both"/>
        <w:rPr>
          <w:rFonts w:ascii="Arial" w:hAnsi="Arial" w:cs="Arial"/>
        </w:rPr>
      </w:pPr>
      <w:r w:rsidRPr="00DE57A6">
        <w:rPr>
          <w:rFonts w:ascii="Arial" w:hAnsi="Arial" w:cs="Arial"/>
        </w:rPr>
        <w:t xml:space="preserve">El presupuesto por concepto de inversión cuenta con un presupuesto total vigente de $3.269.153 millones de pesos. Durante este trimestre el Ministerio presentó una variación en su apropiación de $53.870 millones debido al aplazamiento generado en el mes de abril según Decreto No. 662 de 2018 expedido por el Ministerio de Hacienda y Crédito. </w:t>
      </w:r>
    </w:p>
    <w:p w14:paraId="32941BF4" w14:textId="77777777" w:rsidR="00037C13" w:rsidRPr="00DE57A6" w:rsidRDefault="00037C13" w:rsidP="00037C13">
      <w:pPr>
        <w:spacing w:after="0" w:line="240" w:lineRule="auto"/>
        <w:ind w:left="709"/>
        <w:jc w:val="both"/>
        <w:rPr>
          <w:rFonts w:ascii="Arial" w:hAnsi="Arial" w:cs="Arial"/>
        </w:rPr>
      </w:pPr>
    </w:p>
    <w:p w14:paraId="77013D5F" w14:textId="77777777" w:rsidR="00037C13" w:rsidRDefault="00037C13" w:rsidP="00037C13">
      <w:pPr>
        <w:spacing w:after="0" w:line="240" w:lineRule="auto"/>
        <w:jc w:val="both"/>
        <w:rPr>
          <w:rFonts w:ascii="Arial" w:hAnsi="Arial" w:cs="Arial"/>
        </w:rPr>
      </w:pPr>
      <w:r w:rsidRPr="00DE57A6">
        <w:rPr>
          <w:rFonts w:ascii="Arial" w:hAnsi="Arial" w:cs="Arial"/>
        </w:rPr>
        <w:t>En los siguientes cuadros, se relacionan los proyectos de inversión de la entidad con su respectiva apropiación vigente.</w:t>
      </w:r>
    </w:p>
    <w:p w14:paraId="686B281C" w14:textId="77777777" w:rsidR="00C02282" w:rsidRPr="006A67B4" w:rsidRDefault="00C02282" w:rsidP="00C02282">
      <w:pPr>
        <w:spacing w:after="0" w:line="240" w:lineRule="auto"/>
        <w:jc w:val="center"/>
        <w:rPr>
          <w:rFonts w:ascii="Arial" w:hAnsi="Arial" w:cs="Arial"/>
          <w:b/>
          <w:sz w:val="20"/>
          <w:szCs w:val="20"/>
          <w:highlight w:val="yellow"/>
          <w:lang w:eastAsia="es-ES"/>
        </w:rPr>
      </w:pPr>
    </w:p>
    <w:p w14:paraId="71EE9CC6" w14:textId="77777777" w:rsidR="00C02282" w:rsidRPr="00037C13" w:rsidRDefault="00C02282" w:rsidP="00C02282">
      <w:pPr>
        <w:pStyle w:val="Descripcin"/>
        <w:keepNext/>
        <w:jc w:val="center"/>
      </w:pPr>
      <w:bookmarkStart w:id="14" w:name="_Toc525652448"/>
      <w:r w:rsidRPr="00037C13">
        <w:t xml:space="preserve">Tabla </w:t>
      </w:r>
      <w:r w:rsidRPr="00037C13">
        <w:fldChar w:fldCharType="begin"/>
      </w:r>
      <w:r w:rsidRPr="00037C13">
        <w:instrText xml:space="preserve"> SEQ Tabla \* ARABIC </w:instrText>
      </w:r>
      <w:r w:rsidRPr="00037C13">
        <w:fldChar w:fldCharType="separate"/>
      </w:r>
      <w:r w:rsidR="008B4625">
        <w:rPr>
          <w:noProof/>
        </w:rPr>
        <w:t>2</w:t>
      </w:r>
      <w:r w:rsidRPr="00037C13">
        <w:fldChar w:fldCharType="end"/>
      </w:r>
      <w:r w:rsidRPr="00037C13">
        <w:t xml:space="preserve"> Distribución Presupuesto de Inversión - vigencia 2018 MME</w:t>
      </w:r>
      <w:bookmarkEnd w:id="14"/>
    </w:p>
    <w:tbl>
      <w:tblPr>
        <w:tblW w:w="9488" w:type="dxa"/>
        <w:tblCellMar>
          <w:left w:w="70" w:type="dxa"/>
          <w:right w:w="70" w:type="dxa"/>
        </w:tblCellMar>
        <w:tblLook w:val="04A0" w:firstRow="1" w:lastRow="0" w:firstColumn="1" w:lastColumn="0" w:noHBand="0" w:noVBand="1"/>
      </w:tblPr>
      <w:tblGrid>
        <w:gridCol w:w="6086"/>
        <w:gridCol w:w="1701"/>
        <w:gridCol w:w="1701"/>
      </w:tblGrid>
      <w:tr w:rsidR="00037C13" w:rsidRPr="00037C13" w14:paraId="152BE606" w14:textId="77777777" w:rsidTr="00F77263">
        <w:trPr>
          <w:trHeight w:val="617"/>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6BBE8494" w14:textId="77777777" w:rsidR="00037C13" w:rsidRPr="00037C13" w:rsidRDefault="00037C13" w:rsidP="00F77263">
            <w:pPr>
              <w:spacing w:after="0" w:line="240" w:lineRule="auto"/>
              <w:jc w:val="center"/>
              <w:rPr>
                <w:rFonts w:ascii="Arial" w:eastAsia="Times New Roman" w:hAnsi="Arial" w:cs="Arial"/>
                <w:b/>
                <w:bCs/>
                <w:color w:val="FFFFFF"/>
                <w:lang w:eastAsia="es-CO"/>
              </w:rPr>
            </w:pPr>
            <w:r w:rsidRPr="00037C13">
              <w:rPr>
                <w:rFonts w:ascii="Arial" w:eastAsia="Times New Roman" w:hAnsi="Arial" w:cs="Arial"/>
                <w:b/>
                <w:bCs/>
                <w:color w:val="FFFFFF"/>
                <w:lang w:eastAsia="es-CO"/>
              </w:rPr>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06F118AE" w14:textId="77777777" w:rsidR="00037C13" w:rsidRPr="00037C13" w:rsidRDefault="00037C13" w:rsidP="00F77263">
            <w:pPr>
              <w:spacing w:after="0" w:line="240" w:lineRule="auto"/>
              <w:jc w:val="center"/>
              <w:rPr>
                <w:rFonts w:ascii="Arial" w:eastAsia="Times New Roman" w:hAnsi="Arial" w:cs="Arial"/>
                <w:b/>
                <w:bCs/>
                <w:color w:val="FFFFFF"/>
                <w:lang w:eastAsia="es-CO"/>
              </w:rPr>
            </w:pPr>
            <w:r w:rsidRPr="00037C13">
              <w:rPr>
                <w:rFonts w:ascii="Arial" w:eastAsia="Times New Roman" w:hAnsi="Arial" w:cs="Arial"/>
                <w:b/>
                <w:bCs/>
                <w:color w:val="FFFFFF"/>
                <w:lang w:eastAsia="es-CO"/>
              </w:rPr>
              <w:t>Apropiación Inicial 2018</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6A4C88E0" w14:textId="77777777" w:rsidR="00037C13" w:rsidRPr="00037C13" w:rsidRDefault="00037C13" w:rsidP="00F77263">
            <w:pPr>
              <w:spacing w:after="0" w:line="240" w:lineRule="auto"/>
              <w:jc w:val="center"/>
              <w:rPr>
                <w:rFonts w:ascii="Arial" w:eastAsia="Times New Roman" w:hAnsi="Arial" w:cs="Arial"/>
                <w:b/>
                <w:bCs/>
                <w:color w:val="FFFFFF"/>
                <w:lang w:eastAsia="es-CO"/>
              </w:rPr>
            </w:pPr>
            <w:r w:rsidRPr="00037C13">
              <w:rPr>
                <w:rFonts w:ascii="Arial" w:eastAsia="Times New Roman" w:hAnsi="Arial" w:cs="Arial"/>
                <w:b/>
                <w:bCs/>
                <w:color w:val="FFFFFF"/>
                <w:lang w:eastAsia="es-CO"/>
              </w:rPr>
              <w:t>Apropiación</w:t>
            </w:r>
            <w:r w:rsidRPr="00037C13">
              <w:rPr>
                <w:rFonts w:ascii="Arial" w:eastAsia="Times New Roman" w:hAnsi="Arial" w:cs="Arial"/>
                <w:b/>
                <w:bCs/>
                <w:color w:val="FFFFFF"/>
                <w:lang w:eastAsia="es-CO"/>
              </w:rPr>
              <w:br/>
              <w:t>Vigente 2018</w:t>
            </w:r>
          </w:p>
        </w:tc>
      </w:tr>
      <w:tr w:rsidR="00037C13" w:rsidRPr="00037C13" w14:paraId="352A0938" w14:textId="77777777" w:rsidTr="00F77263">
        <w:trPr>
          <w:trHeight w:val="635"/>
        </w:trPr>
        <w:tc>
          <w:tcPr>
            <w:tcW w:w="6086" w:type="dxa"/>
            <w:tcBorders>
              <w:top w:val="single" w:sz="4" w:space="0" w:color="auto"/>
              <w:left w:val="single" w:sz="8" w:space="0" w:color="auto"/>
              <w:bottom w:val="single" w:sz="4" w:space="0" w:color="auto"/>
              <w:right w:val="single" w:sz="4" w:space="0" w:color="auto"/>
            </w:tcBorders>
            <w:noWrap/>
            <w:vAlign w:val="center"/>
            <w:hideMark/>
          </w:tcPr>
          <w:p w14:paraId="50243631" w14:textId="77777777" w:rsidR="00037C13" w:rsidRPr="00037C13" w:rsidRDefault="00037C13" w:rsidP="00F77263">
            <w:pPr>
              <w:spacing w:after="0" w:line="240" w:lineRule="auto"/>
              <w:jc w:val="both"/>
              <w:rPr>
                <w:rFonts w:ascii="Arial" w:eastAsia="Times New Roman" w:hAnsi="Arial" w:cs="Arial"/>
                <w:sz w:val="18"/>
                <w:szCs w:val="18"/>
                <w:lang w:eastAsia="es-CO"/>
              </w:rPr>
            </w:pPr>
            <w:r w:rsidRPr="00037C13">
              <w:rPr>
                <w:rFonts w:ascii="Arial" w:eastAsia="Times New Roman" w:hAnsi="Arial" w:cs="Arial"/>
                <w:sz w:val="18"/>
                <w:szCs w:val="18"/>
                <w:lang w:eastAsia="es-CO"/>
              </w:rPr>
              <w:t>IMPLEMENTACIÓN DE LOS SERVICIOS DE INFORMACIÓN Y COMUNICACIÓN INSTITUCIONAL DEL MINISTERIO DE MINAS Y ENERGÍA-</w:t>
            </w:r>
          </w:p>
        </w:tc>
        <w:tc>
          <w:tcPr>
            <w:tcW w:w="1701" w:type="dxa"/>
            <w:tcBorders>
              <w:top w:val="nil"/>
              <w:left w:val="nil"/>
              <w:bottom w:val="single" w:sz="4" w:space="0" w:color="auto"/>
              <w:right w:val="single" w:sz="4" w:space="0" w:color="auto"/>
            </w:tcBorders>
            <w:noWrap/>
            <w:vAlign w:val="center"/>
            <w:hideMark/>
          </w:tcPr>
          <w:p w14:paraId="183FD09E"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4.000 </w:t>
            </w:r>
          </w:p>
        </w:tc>
        <w:tc>
          <w:tcPr>
            <w:tcW w:w="1701" w:type="dxa"/>
            <w:tcBorders>
              <w:top w:val="nil"/>
              <w:left w:val="nil"/>
              <w:bottom w:val="single" w:sz="4" w:space="0" w:color="auto"/>
              <w:right w:val="single" w:sz="4" w:space="0" w:color="auto"/>
            </w:tcBorders>
            <w:noWrap/>
            <w:vAlign w:val="center"/>
            <w:hideMark/>
          </w:tcPr>
          <w:p w14:paraId="6332F691"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3.761 </w:t>
            </w:r>
          </w:p>
        </w:tc>
      </w:tr>
      <w:tr w:rsidR="00037C13" w:rsidRPr="00037C13" w14:paraId="33055145" w14:textId="77777777" w:rsidTr="00F77263">
        <w:trPr>
          <w:trHeight w:val="300"/>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28B07C71" w14:textId="77777777" w:rsidR="00037C13" w:rsidRPr="00037C13" w:rsidRDefault="00037C13" w:rsidP="00F77263">
            <w:pPr>
              <w:spacing w:after="0" w:line="240" w:lineRule="auto"/>
              <w:jc w:val="center"/>
              <w:rPr>
                <w:rFonts w:ascii="Arial" w:eastAsia="Times New Roman" w:hAnsi="Arial" w:cs="Arial"/>
                <w:b/>
                <w:bCs/>
                <w:color w:val="FFFFFF"/>
                <w:sz w:val="18"/>
                <w:szCs w:val="18"/>
                <w:lang w:eastAsia="es-CO"/>
              </w:rPr>
            </w:pPr>
            <w:r w:rsidRPr="00037C13">
              <w:rPr>
                <w:rFonts w:ascii="Arial" w:eastAsia="Times New Roman" w:hAnsi="Arial" w:cs="Arial"/>
                <w:b/>
                <w:bCs/>
                <w:color w:val="FFFFFF"/>
                <w:sz w:val="18"/>
                <w:szCs w:val="18"/>
                <w:lang w:eastAsia="es-CO"/>
              </w:rPr>
              <w:t xml:space="preserve">Subtotal Despacho Ministro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15A2BF63" w14:textId="77777777" w:rsidR="00037C13" w:rsidRPr="00037C13" w:rsidRDefault="00037C13" w:rsidP="00F77263">
            <w:pPr>
              <w:spacing w:after="0" w:line="240" w:lineRule="auto"/>
              <w:rPr>
                <w:rFonts w:ascii="Arial" w:eastAsia="Times New Roman" w:hAnsi="Arial" w:cs="Arial"/>
                <w:b/>
                <w:bCs/>
                <w:color w:val="FFFFFF"/>
                <w:sz w:val="18"/>
                <w:szCs w:val="18"/>
                <w:lang w:eastAsia="es-CO"/>
              </w:rPr>
            </w:pPr>
            <w:r w:rsidRPr="00037C13">
              <w:rPr>
                <w:rFonts w:ascii="Arial" w:eastAsia="Times New Roman" w:hAnsi="Arial" w:cs="Arial"/>
                <w:b/>
                <w:bCs/>
                <w:color w:val="FFFFFF"/>
                <w:sz w:val="18"/>
                <w:szCs w:val="18"/>
                <w:lang w:eastAsia="es-CO"/>
              </w:rPr>
              <w:t xml:space="preserve"> $            4.000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1F95059E" w14:textId="77777777" w:rsidR="00037C13" w:rsidRPr="00037C13" w:rsidRDefault="00037C13" w:rsidP="00F77263">
            <w:pPr>
              <w:spacing w:after="0" w:line="240" w:lineRule="auto"/>
              <w:rPr>
                <w:rFonts w:ascii="Arial" w:eastAsia="Times New Roman" w:hAnsi="Arial" w:cs="Arial"/>
                <w:b/>
                <w:bCs/>
                <w:color w:val="FFFFFF"/>
                <w:sz w:val="18"/>
                <w:szCs w:val="18"/>
                <w:lang w:eastAsia="es-CO"/>
              </w:rPr>
            </w:pPr>
            <w:r w:rsidRPr="00037C13">
              <w:rPr>
                <w:rFonts w:ascii="Arial" w:eastAsia="Times New Roman" w:hAnsi="Arial" w:cs="Arial"/>
                <w:b/>
                <w:bCs/>
                <w:color w:val="FFFFFF"/>
                <w:sz w:val="18"/>
                <w:szCs w:val="18"/>
                <w:lang w:eastAsia="es-CO"/>
              </w:rPr>
              <w:t xml:space="preserve"> $         3.761 </w:t>
            </w:r>
          </w:p>
        </w:tc>
      </w:tr>
      <w:tr w:rsidR="00037C13" w:rsidRPr="00037C13" w14:paraId="63E3A62E" w14:textId="77777777" w:rsidTr="00F77263">
        <w:trPr>
          <w:trHeight w:val="571"/>
        </w:trPr>
        <w:tc>
          <w:tcPr>
            <w:tcW w:w="6086" w:type="dxa"/>
            <w:tcBorders>
              <w:top w:val="single" w:sz="4" w:space="0" w:color="auto"/>
              <w:left w:val="single" w:sz="8" w:space="0" w:color="auto"/>
              <w:bottom w:val="single" w:sz="4" w:space="0" w:color="auto"/>
              <w:right w:val="single" w:sz="4" w:space="0" w:color="auto"/>
            </w:tcBorders>
            <w:noWrap/>
            <w:vAlign w:val="center"/>
            <w:hideMark/>
          </w:tcPr>
          <w:p w14:paraId="6E0B99DB" w14:textId="77777777" w:rsidR="00037C13" w:rsidRPr="00037C13" w:rsidRDefault="00037C13" w:rsidP="00F77263">
            <w:pPr>
              <w:spacing w:after="0" w:line="240" w:lineRule="auto"/>
              <w:jc w:val="both"/>
              <w:rPr>
                <w:rFonts w:ascii="Arial" w:eastAsia="Times New Roman" w:hAnsi="Arial" w:cs="Arial"/>
                <w:sz w:val="18"/>
                <w:szCs w:val="18"/>
                <w:lang w:eastAsia="es-CO"/>
              </w:rPr>
            </w:pPr>
            <w:r w:rsidRPr="00037C13">
              <w:rPr>
                <w:rFonts w:ascii="Arial" w:eastAsia="Times New Roman" w:hAnsi="Arial" w:cs="Arial"/>
                <w:sz w:val="18"/>
                <w:szCs w:val="18"/>
                <w:lang w:eastAsia="es-CO"/>
              </w:rPr>
              <w:t>FORTALECIMIENTO AL ACCESO Y TRANSPARENCIA DE LA INFORMACION EXTRACTIVA - EITI NACIONAL</w:t>
            </w:r>
          </w:p>
        </w:tc>
        <w:tc>
          <w:tcPr>
            <w:tcW w:w="1701" w:type="dxa"/>
            <w:tcBorders>
              <w:top w:val="nil"/>
              <w:left w:val="nil"/>
              <w:bottom w:val="single" w:sz="4" w:space="0" w:color="auto"/>
              <w:right w:val="single" w:sz="4" w:space="0" w:color="auto"/>
            </w:tcBorders>
            <w:noWrap/>
            <w:vAlign w:val="center"/>
            <w:hideMark/>
          </w:tcPr>
          <w:p w14:paraId="4E1A65F0"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1.486 </w:t>
            </w:r>
          </w:p>
        </w:tc>
        <w:tc>
          <w:tcPr>
            <w:tcW w:w="1701" w:type="dxa"/>
            <w:tcBorders>
              <w:top w:val="nil"/>
              <w:left w:val="nil"/>
              <w:bottom w:val="single" w:sz="4" w:space="0" w:color="auto"/>
              <w:right w:val="single" w:sz="4" w:space="0" w:color="auto"/>
            </w:tcBorders>
            <w:noWrap/>
            <w:vAlign w:val="center"/>
            <w:hideMark/>
          </w:tcPr>
          <w:p w14:paraId="65C579EF"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1.486 </w:t>
            </w:r>
          </w:p>
        </w:tc>
      </w:tr>
      <w:tr w:rsidR="00037C13" w:rsidRPr="00037C13" w14:paraId="3D503F97" w14:textId="77777777" w:rsidTr="00F77263">
        <w:trPr>
          <w:trHeight w:val="559"/>
        </w:trPr>
        <w:tc>
          <w:tcPr>
            <w:tcW w:w="6086" w:type="dxa"/>
            <w:tcBorders>
              <w:top w:val="nil"/>
              <w:left w:val="single" w:sz="8" w:space="0" w:color="auto"/>
              <w:bottom w:val="single" w:sz="4" w:space="0" w:color="auto"/>
              <w:right w:val="single" w:sz="4" w:space="0" w:color="auto"/>
            </w:tcBorders>
            <w:noWrap/>
            <w:vAlign w:val="center"/>
            <w:hideMark/>
          </w:tcPr>
          <w:p w14:paraId="2F6B232E" w14:textId="77777777" w:rsidR="00037C13" w:rsidRPr="00037C13" w:rsidRDefault="00037C13" w:rsidP="00F77263">
            <w:pPr>
              <w:spacing w:after="0" w:line="240" w:lineRule="auto"/>
              <w:jc w:val="both"/>
              <w:rPr>
                <w:rFonts w:ascii="Arial" w:eastAsia="Times New Roman" w:hAnsi="Arial" w:cs="Arial"/>
                <w:sz w:val="18"/>
                <w:szCs w:val="18"/>
                <w:lang w:eastAsia="es-CO"/>
              </w:rPr>
            </w:pPr>
            <w:r w:rsidRPr="00037C13">
              <w:rPr>
                <w:rFonts w:ascii="Arial" w:eastAsia="Times New Roman" w:hAnsi="Arial" w:cs="Arial"/>
                <w:sz w:val="18"/>
                <w:szCs w:val="18"/>
                <w:lang w:eastAsia="es-CO"/>
              </w:rPr>
              <w:t>FORTALECIMIENTO INSTITUCIONAL DEL SECTOR MINERO ENERGÉTICO NACIONAL</w:t>
            </w:r>
          </w:p>
        </w:tc>
        <w:tc>
          <w:tcPr>
            <w:tcW w:w="1701" w:type="dxa"/>
            <w:tcBorders>
              <w:top w:val="nil"/>
              <w:left w:val="nil"/>
              <w:bottom w:val="single" w:sz="4" w:space="0" w:color="auto"/>
              <w:right w:val="single" w:sz="4" w:space="0" w:color="auto"/>
            </w:tcBorders>
            <w:noWrap/>
            <w:vAlign w:val="center"/>
            <w:hideMark/>
          </w:tcPr>
          <w:p w14:paraId="3C3167D7"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21.537 </w:t>
            </w:r>
          </w:p>
        </w:tc>
        <w:tc>
          <w:tcPr>
            <w:tcW w:w="1701" w:type="dxa"/>
            <w:tcBorders>
              <w:top w:val="nil"/>
              <w:left w:val="nil"/>
              <w:bottom w:val="single" w:sz="4" w:space="0" w:color="auto"/>
              <w:right w:val="single" w:sz="4" w:space="0" w:color="auto"/>
            </w:tcBorders>
            <w:noWrap/>
            <w:vAlign w:val="center"/>
            <w:hideMark/>
          </w:tcPr>
          <w:p w14:paraId="4E696B90"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21.537 </w:t>
            </w:r>
          </w:p>
        </w:tc>
      </w:tr>
      <w:tr w:rsidR="00037C13" w:rsidRPr="00037C13" w14:paraId="2E95B6C0" w14:textId="77777777" w:rsidTr="00F77263">
        <w:trPr>
          <w:trHeight w:val="343"/>
        </w:trPr>
        <w:tc>
          <w:tcPr>
            <w:tcW w:w="6086" w:type="dxa"/>
            <w:tcBorders>
              <w:top w:val="nil"/>
              <w:left w:val="single" w:sz="8" w:space="0" w:color="auto"/>
              <w:bottom w:val="nil"/>
              <w:right w:val="single" w:sz="4" w:space="0" w:color="auto"/>
            </w:tcBorders>
            <w:vAlign w:val="center"/>
            <w:hideMark/>
          </w:tcPr>
          <w:p w14:paraId="4AA45A3F" w14:textId="77777777" w:rsidR="00037C13" w:rsidRPr="00037C13" w:rsidRDefault="00037C13" w:rsidP="00F77263">
            <w:pPr>
              <w:spacing w:after="0" w:line="240" w:lineRule="auto"/>
              <w:jc w:val="both"/>
              <w:rPr>
                <w:rFonts w:ascii="Arial" w:eastAsia="Times New Roman" w:hAnsi="Arial" w:cs="Arial"/>
                <w:sz w:val="18"/>
                <w:szCs w:val="18"/>
                <w:lang w:eastAsia="es-CO"/>
              </w:rPr>
            </w:pPr>
            <w:r w:rsidRPr="00037C13">
              <w:rPr>
                <w:rFonts w:ascii="Arial" w:eastAsia="Times New Roman" w:hAnsi="Arial" w:cs="Arial"/>
                <w:sz w:val="18"/>
                <w:szCs w:val="18"/>
                <w:lang w:eastAsia="es-CO"/>
              </w:rPr>
              <w:t>CONTROL A LA EXPLOTACIÓN ILÍCITA DE MINERALES COLOMBIA -</w:t>
            </w:r>
          </w:p>
        </w:tc>
        <w:tc>
          <w:tcPr>
            <w:tcW w:w="1701" w:type="dxa"/>
            <w:tcBorders>
              <w:top w:val="nil"/>
              <w:left w:val="nil"/>
              <w:bottom w:val="single" w:sz="4" w:space="0" w:color="auto"/>
              <w:right w:val="single" w:sz="4" w:space="0" w:color="auto"/>
            </w:tcBorders>
            <w:noWrap/>
            <w:vAlign w:val="center"/>
            <w:hideMark/>
          </w:tcPr>
          <w:p w14:paraId="1E270D4A"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5.000 </w:t>
            </w:r>
          </w:p>
        </w:tc>
        <w:tc>
          <w:tcPr>
            <w:tcW w:w="1701" w:type="dxa"/>
            <w:tcBorders>
              <w:top w:val="nil"/>
              <w:left w:val="nil"/>
              <w:bottom w:val="single" w:sz="4" w:space="0" w:color="auto"/>
              <w:right w:val="single" w:sz="4" w:space="0" w:color="auto"/>
            </w:tcBorders>
            <w:noWrap/>
            <w:vAlign w:val="center"/>
            <w:hideMark/>
          </w:tcPr>
          <w:p w14:paraId="5B3580A9" w14:textId="77777777" w:rsidR="00037C13" w:rsidRPr="00037C13" w:rsidRDefault="00037C13" w:rsidP="00F77263">
            <w:pPr>
              <w:spacing w:after="0" w:line="240" w:lineRule="auto"/>
              <w:rPr>
                <w:rFonts w:ascii="Arial" w:eastAsia="Times New Roman" w:hAnsi="Arial" w:cs="Arial"/>
                <w:sz w:val="18"/>
                <w:szCs w:val="18"/>
                <w:lang w:eastAsia="es-CO"/>
              </w:rPr>
            </w:pPr>
            <w:r w:rsidRPr="00037C13">
              <w:rPr>
                <w:rFonts w:ascii="Arial" w:eastAsia="Times New Roman" w:hAnsi="Arial" w:cs="Arial"/>
                <w:sz w:val="18"/>
                <w:szCs w:val="18"/>
                <w:lang w:eastAsia="es-CO"/>
              </w:rPr>
              <w:t xml:space="preserve"> $         5.000 </w:t>
            </w:r>
          </w:p>
        </w:tc>
      </w:tr>
      <w:tr w:rsidR="00037C13" w:rsidRPr="00037C13" w14:paraId="1084B88C" w14:textId="77777777" w:rsidTr="00F77263">
        <w:trPr>
          <w:trHeight w:val="34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4090B80B" w14:textId="77777777" w:rsidR="00037C13" w:rsidRPr="00037C13" w:rsidRDefault="00037C13" w:rsidP="00F77263">
            <w:pPr>
              <w:spacing w:after="0" w:line="240" w:lineRule="auto"/>
              <w:jc w:val="center"/>
              <w:rPr>
                <w:rFonts w:ascii="Arial" w:eastAsia="Times New Roman" w:hAnsi="Arial" w:cs="Arial"/>
                <w:b/>
                <w:bCs/>
                <w:color w:val="FFFFFF"/>
                <w:sz w:val="18"/>
                <w:szCs w:val="18"/>
                <w:lang w:eastAsia="es-CO"/>
              </w:rPr>
            </w:pPr>
            <w:r w:rsidRPr="00037C13">
              <w:rPr>
                <w:rFonts w:ascii="Arial" w:eastAsia="Times New Roman" w:hAnsi="Arial" w:cs="Arial"/>
                <w:b/>
                <w:bCs/>
                <w:color w:val="FFFFFF"/>
                <w:sz w:val="18"/>
                <w:szCs w:val="18"/>
                <w:lang w:eastAsia="es-CO"/>
              </w:rPr>
              <w:t xml:space="preserve">Subtotal Viceministerio Minas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0AF1651A" w14:textId="77777777" w:rsidR="00037C13" w:rsidRPr="00037C13" w:rsidRDefault="00037C13" w:rsidP="00F77263">
            <w:pPr>
              <w:spacing w:after="0" w:line="240" w:lineRule="auto"/>
              <w:rPr>
                <w:rFonts w:ascii="Arial" w:eastAsia="Times New Roman" w:hAnsi="Arial" w:cs="Arial"/>
                <w:b/>
                <w:bCs/>
                <w:color w:val="FFFFFF"/>
                <w:sz w:val="18"/>
                <w:szCs w:val="18"/>
                <w:lang w:eastAsia="es-CO"/>
              </w:rPr>
            </w:pPr>
            <w:r w:rsidRPr="00037C13">
              <w:rPr>
                <w:rFonts w:ascii="Arial" w:eastAsia="Times New Roman" w:hAnsi="Arial" w:cs="Arial"/>
                <w:b/>
                <w:bCs/>
                <w:color w:val="FFFFFF"/>
                <w:sz w:val="18"/>
                <w:szCs w:val="18"/>
                <w:lang w:eastAsia="es-CO"/>
              </w:rPr>
              <w:t xml:space="preserve"> $          28.023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69C04785" w14:textId="77777777" w:rsidR="00037C13" w:rsidRPr="00037C13" w:rsidRDefault="00037C13" w:rsidP="00F77263">
            <w:pPr>
              <w:spacing w:after="0" w:line="240" w:lineRule="auto"/>
              <w:jc w:val="center"/>
              <w:rPr>
                <w:rFonts w:ascii="Arial" w:eastAsia="Times New Roman" w:hAnsi="Arial" w:cs="Arial"/>
                <w:b/>
                <w:bCs/>
                <w:color w:val="FFFFFF"/>
                <w:sz w:val="18"/>
                <w:szCs w:val="18"/>
                <w:lang w:eastAsia="es-CO"/>
              </w:rPr>
            </w:pPr>
            <w:r w:rsidRPr="00037C13">
              <w:rPr>
                <w:rFonts w:ascii="Arial" w:eastAsia="Times New Roman" w:hAnsi="Arial" w:cs="Arial"/>
                <w:b/>
                <w:bCs/>
                <w:color w:val="FFFFFF"/>
                <w:sz w:val="18"/>
                <w:szCs w:val="18"/>
                <w:lang w:eastAsia="es-CO"/>
              </w:rPr>
              <w:t xml:space="preserve"> $       28.023 </w:t>
            </w:r>
          </w:p>
        </w:tc>
      </w:tr>
    </w:tbl>
    <w:p w14:paraId="69611141" w14:textId="77777777" w:rsidR="00037C13" w:rsidRPr="00037C13" w:rsidRDefault="00037C13" w:rsidP="00037C13">
      <w:pPr>
        <w:spacing w:after="0" w:line="240" w:lineRule="auto"/>
        <w:jc w:val="center"/>
        <w:rPr>
          <w:rFonts w:ascii="Arial" w:eastAsia="Calibri" w:hAnsi="Arial" w:cs="Arial"/>
          <w:sz w:val="16"/>
          <w:szCs w:val="16"/>
        </w:rPr>
      </w:pPr>
      <w:r w:rsidRPr="00037C13">
        <w:rPr>
          <w:rFonts w:ascii="Arial" w:hAnsi="Arial" w:cs="Arial"/>
          <w:sz w:val="16"/>
          <w:szCs w:val="16"/>
          <w:lang w:eastAsia="es-ES"/>
        </w:rPr>
        <w:t>Cifras en Millones de pesos</w:t>
      </w:r>
    </w:p>
    <w:p w14:paraId="4BDFD443" w14:textId="77777777" w:rsidR="00037C13" w:rsidRPr="00037C13" w:rsidRDefault="00037C13" w:rsidP="00037C13">
      <w:pPr>
        <w:spacing w:after="0" w:line="240" w:lineRule="auto"/>
        <w:jc w:val="center"/>
        <w:rPr>
          <w:rFonts w:ascii="Arial" w:eastAsia="Calibri" w:hAnsi="Arial" w:cs="Arial"/>
          <w:sz w:val="16"/>
          <w:szCs w:val="16"/>
        </w:rPr>
      </w:pPr>
      <w:r w:rsidRPr="00037C13">
        <w:rPr>
          <w:rFonts w:ascii="Arial" w:eastAsia="Calibri" w:hAnsi="Arial" w:cs="Arial"/>
          <w:sz w:val="16"/>
          <w:szCs w:val="16"/>
        </w:rPr>
        <w:t>Fuente: SIIF – Nación MME</w:t>
      </w:r>
    </w:p>
    <w:p w14:paraId="0F1E0847" w14:textId="77777777" w:rsidR="00037C13" w:rsidRDefault="00037C13" w:rsidP="00037C13">
      <w:pPr>
        <w:rPr>
          <w:highlight w:val="yellow"/>
          <w:lang w:val="es-ES" w:eastAsia="es-ES"/>
        </w:rPr>
      </w:pPr>
    </w:p>
    <w:tbl>
      <w:tblPr>
        <w:tblW w:w="9488" w:type="dxa"/>
        <w:tblCellMar>
          <w:left w:w="70" w:type="dxa"/>
          <w:right w:w="70" w:type="dxa"/>
        </w:tblCellMar>
        <w:tblLook w:val="04A0" w:firstRow="1" w:lastRow="0" w:firstColumn="1" w:lastColumn="0" w:noHBand="0" w:noVBand="1"/>
      </w:tblPr>
      <w:tblGrid>
        <w:gridCol w:w="6086"/>
        <w:gridCol w:w="1701"/>
        <w:gridCol w:w="1701"/>
      </w:tblGrid>
      <w:tr w:rsidR="00037C13" w:rsidRPr="00CA0D36" w14:paraId="76084223" w14:textId="77777777" w:rsidTr="00F77263">
        <w:trPr>
          <w:trHeight w:val="57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593386D6"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28C8928A"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31AA86F5"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558A5D0F" w14:textId="77777777" w:rsidTr="00F77263">
        <w:trPr>
          <w:trHeight w:val="683"/>
        </w:trPr>
        <w:tc>
          <w:tcPr>
            <w:tcW w:w="6086" w:type="dxa"/>
            <w:tcBorders>
              <w:top w:val="single" w:sz="4" w:space="0" w:color="auto"/>
              <w:left w:val="single" w:sz="8" w:space="0" w:color="auto"/>
              <w:bottom w:val="single" w:sz="4" w:space="0" w:color="auto"/>
              <w:right w:val="single" w:sz="4" w:space="0" w:color="auto"/>
            </w:tcBorders>
            <w:noWrap/>
            <w:vAlign w:val="center"/>
            <w:hideMark/>
          </w:tcPr>
          <w:p w14:paraId="35DE3074"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IMPLEMENTACIÓN DE LOS SERVICIOS DE INFORMACIÓN Y COMUNICACIÓN INSTITUCIONAL DEL MINISTERIO DE MINAS Y ENERGÍA-</w:t>
            </w:r>
          </w:p>
        </w:tc>
        <w:tc>
          <w:tcPr>
            <w:tcW w:w="1701" w:type="dxa"/>
            <w:tcBorders>
              <w:top w:val="nil"/>
              <w:left w:val="nil"/>
              <w:bottom w:val="single" w:sz="4" w:space="0" w:color="auto"/>
              <w:right w:val="single" w:sz="4" w:space="0" w:color="auto"/>
            </w:tcBorders>
            <w:noWrap/>
            <w:vAlign w:val="center"/>
            <w:hideMark/>
          </w:tcPr>
          <w:p w14:paraId="27F58FCF"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4.000 </w:t>
            </w:r>
          </w:p>
        </w:tc>
        <w:tc>
          <w:tcPr>
            <w:tcW w:w="1701" w:type="dxa"/>
            <w:tcBorders>
              <w:top w:val="nil"/>
              <w:left w:val="nil"/>
              <w:bottom w:val="single" w:sz="4" w:space="0" w:color="auto"/>
              <w:right w:val="single" w:sz="4" w:space="0" w:color="auto"/>
            </w:tcBorders>
            <w:noWrap/>
            <w:vAlign w:val="center"/>
            <w:hideMark/>
          </w:tcPr>
          <w:p w14:paraId="129ABE7C"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3.761 </w:t>
            </w:r>
          </w:p>
        </w:tc>
      </w:tr>
      <w:tr w:rsidR="00037C13" w:rsidRPr="00CA0D36" w14:paraId="457989AE" w14:textId="77777777" w:rsidTr="00F77263">
        <w:trPr>
          <w:trHeight w:val="300"/>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3820E343"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Subtotal Despacho Ministro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60BB60DF" w14:textId="77777777" w:rsidR="00037C13" w:rsidRPr="00CA0D36" w:rsidRDefault="00037C13" w:rsidP="00F77263">
            <w:pPr>
              <w:spacing w:after="0" w:line="240" w:lineRule="auto"/>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4.000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0F803B8F" w14:textId="77777777" w:rsidR="00037C13" w:rsidRPr="00CA0D36" w:rsidRDefault="00037C13" w:rsidP="00F77263">
            <w:pPr>
              <w:spacing w:after="0" w:line="240" w:lineRule="auto"/>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3.761 </w:t>
            </w:r>
          </w:p>
        </w:tc>
      </w:tr>
      <w:tr w:rsidR="00037C13" w:rsidRPr="00CA0D36" w14:paraId="69435B79" w14:textId="77777777" w:rsidTr="00F77263">
        <w:trPr>
          <w:trHeight w:val="513"/>
        </w:trPr>
        <w:tc>
          <w:tcPr>
            <w:tcW w:w="6086" w:type="dxa"/>
            <w:tcBorders>
              <w:top w:val="single" w:sz="4" w:space="0" w:color="auto"/>
              <w:left w:val="single" w:sz="8" w:space="0" w:color="auto"/>
              <w:bottom w:val="single" w:sz="4" w:space="0" w:color="auto"/>
              <w:right w:val="single" w:sz="4" w:space="0" w:color="auto"/>
            </w:tcBorders>
            <w:noWrap/>
            <w:vAlign w:val="center"/>
            <w:hideMark/>
          </w:tcPr>
          <w:p w14:paraId="62A3C2E8"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AL ACCESO Y TRANSPARENCIA DE LA INFORMACION EXTRACTIVA - EITI NACIONAL</w:t>
            </w:r>
          </w:p>
        </w:tc>
        <w:tc>
          <w:tcPr>
            <w:tcW w:w="1701" w:type="dxa"/>
            <w:tcBorders>
              <w:top w:val="nil"/>
              <w:left w:val="nil"/>
              <w:bottom w:val="single" w:sz="4" w:space="0" w:color="auto"/>
              <w:right w:val="single" w:sz="4" w:space="0" w:color="auto"/>
            </w:tcBorders>
            <w:noWrap/>
            <w:vAlign w:val="center"/>
            <w:hideMark/>
          </w:tcPr>
          <w:p w14:paraId="3F79314C"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1.486 </w:t>
            </w:r>
          </w:p>
        </w:tc>
        <w:tc>
          <w:tcPr>
            <w:tcW w:w="1701" w:type="dxa"/>
            <w:tcBorders>
              <w:top w:val="nil"/>
              <w:left w:val="nil"/>
              <w:bottom w:val="single" w:sz="4" w:space="0" w:color="auto"/>
              <w:right w:val="single" w:sz="4" w:space="0" w:color="auto"/>
            </w:tcBorders>
            <w:noWrap/>
            <w:vAlign w:val="center"/>
            <w:hideMark/>
          </w:tcPr>
          <w:p w14:paraId="2765037B"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1.486 </w:t>
            </w:r>
          </w:p>
        </w:tc>
      </w:tr>
      <w:tr w:rsidR="00037C13" w:rsidRPr="00CA0D36" w14:paraId="0996C72D" w14:textId="77777777" w:rsidTr="00F77263">
        <w:trPr>
          <w:trHeight w:val="417"/>
        </w:trPr>
        <w:tc>
          <w:tcPr>
            <w:tcW w:w="6086" w:type="dxa"/>
            <w:tcBorders>
              <w:top w:val="nil"/>
              <w:left w:val="single" w:sz="8" w:space="0" w:color="auto"/>
              <w:bottom w:val="single" w:sz="4" w:space="0" w:color="auto"/>
              <w:right w:val="single" w:sz="4" w:space="0" w:color="auto"/>
            </w:tcBorders>
            <w:noWrap/>
            <w:vAlign w:val="center"/>
            <w:hideMark/>
          </w:tcPr>
          <w:p w14:paraId="58193055"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INSTITUCIONAL DEL SECTOR MINERO ENERGÉTICO NACIONAL</w:t>
            </w:r>
          </w:p>
        </w:tc>
        <w:tc>
          <w:tcPr>
            <w:tcW w:w="1701" w:type="dxa"/>
            <w:tcBorders>
              <w:top w:val="nil"/>
              <w:left w:val="nil"/>
              <w:bottom w:val="single" w:sz="4" w:space="0" w:color="auto"/>
              <w:right w:val="single" w:sz="4" w:space="0" w:color="auto"/>
            </w:tcBorders>
            <w:noWrap/>
            <w:vAlign w:val="center"/>
            <w:hideMark/>
          </w:tcPr>
          <w:p w14:paraId="596024FD"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21.537 </w:t>
            </w:r>
          </w:p>
        </w:tc>
        <w:tc>
          <w:tcPr>
            <w:tcW w:w="1701" w:type="dxa"/>
            <w:tcBorders>
              <w:top w:val="nil"/>
              <w:left w:val="nil"/>
              <w:bottom w:val="single" w:sz="4" w:space="0" w:color="auto"/>
              <w:right w:val="single" w:sz="4" w:space="0" w:color="auto"/>
            </w:tcBorders>
            <w:noWrap/>
            <w:vAlign w:val="center"/>
            <w:hideMark/>
          </w:tcPr>
          <w:p w14:paraId="5877DE44"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21.537 </w:t>
            </w:r>
          </w:p>
        </w:tc>
      </w:tr>
      <w:tr w:rsidR="00037C13" w:rsidRPr="00CA0D36" w14:paraId="46034E7C" w14:textId="77777777" w:rsidTr="00F77263">
        <w:trPr>
          <w:trHeight w:val="410"/>
        </w:trPr>
        <w:tc>
          <w:tcPr>
            <w:tcW w:w="6086" w:type="dxa"/>
            <w:tcBorders>
              <w:top w:val="nil"/>
              <w:left w:val="single" w:sz="8" w:space="0" w:color="auto"/>
              <w:bottom w:val="nil"/>
              <w:right w:val="single" w:sz="4" w:space="0" w:color="auto"/>
            </w:tcBorders>
            <w:vAlign w:val="center"/>
            <w:hideMark/>
          </w:tcPr>
          <w:p w14:paraId="7863AF1C"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CONTROL A LA EXPLOTACIÓN ILÍCITA DE MINERALES COLOMBIA -</w:t>
            </w:r>
          </w:p>
        </w:tc>
        <w:tc>
          <w:tcPr>
            <w:tcW w:w="1701" w:type="dxa"/>
            <w:tcBorders>
              <w:top w:val="nil"/>
              <w:left w:val="nil"/>
              <w:bottom w:val="single" w:sz="4" w:space="0" w:color="auto"/>
              <w:right w:val="single" w:sz="4" w:space="0" w:color="auto"/>
            </w:tcBorders>
            <w:noWrap/>
            <w:vAlign w:val="center"/>
            <w:hideMark/>
          </w:tcPr>
          <w:p w14:paraId="2341B3FE"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5.000 </w:t>
            </w:r>
          </w:p>
        </w:tc>
        <w:tc>
          <w:tcPr>
            <w:tcW w:w="1701" w:type="dxa"/>
            <w:tcBorders>
              <w:top w:val="nil"/>
              <w:left w:val="nil"/>
              <w:bottom w:val="single" w:sz="4" w:space="0" w:color="auto"/>
              <w:right w:val="single" w:sz="4" w:space="0" w:color="auto"/>
            </w:tcBorders>
            <w:noWrap/>
            <w:vAlign w:val="center"/>
            <w:hideMark/>
          </w:tcPr>
          <w:p w14:paraId="2AA2E3A1" w14:textId="77777777" w:rsidR="00037C13" w:rsidRPr="00CA0D36" w:rsidRDefault="00037C13" w:rsidP="00F77263">
            <w:pPr>
              <w:spacing w:after="0" w:line="240" w:lineRule="auto"/>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5.000 </w:t>
            </w:r>
          </w:p>
        </w:tc>
      </w:tr>
      <w:tr w:rsidR="00037C13" w:rsidRPr="00CA0D36" w14:paraId="56156DB1" w14:textId="77777777" w:rsidTr="00F77263">
        <w:trPr>
          <w:trHeight w:val="34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07E6D154"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Subtotal Viceministerio Minas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3CF934AB" w14:textId="77777777" w:rsidR="00037C13" w:rsidRPr="00CA0D36" w:rsidRDefault="00037C13" w:rsidP="00F77263">
            <w:pPr>
              <w:spacing w:after="0" w:line="240" w:lineRule="auto"/>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28.023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3F6663F4"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28.023 </w:t>
            </w:r>
          </w:p>
        </w:tc>
      </w:tr>
    </w:tbl>
    <w:p w14:paraId="26EFD10C" w14:textId="77777777" w:rsidR="00037C13" w:rsidRDefault="00037C13" w:rsidP="00037C13">
      <w:pPr>
        <w:rPr>
          <w:highlight w:val="yellow"/>
          <w:lang w:val="es-ES" w:eastAsia="es-ES"/>
        </w:rPr>
      </w:pPr>
    </w:p>
    <w:tbl>
      <w:tblPr>
        <w:tblW w:w="9337" w:type="dxa"/>
        <w:tblCellMar>
          <w:left w:w="70" w:type="dxa"/>
          <w:right w:w="70" w:type="dxa"/>
        </w:tblCellMar>
        <w:tblLook w:val="04A0" w:firstRow="1" w:lastRow="0" w:firstColumn="1" w:lastColumn="0" w:noHBand="0" w:noVBand="1"/>
      </w:tblPr>
      <w:tblGrid>
        <w:gridCol w:w="5989"/>
        <w:gridCol w:w="1674"/>
        <w:gridCol w:w="1674"/>
      </w:tblGrid>
      <w:tr w:rsidR="00037C13" w:rsidRPr="00CA0D36" w14:paraId="7BCA3687" w14:textId="77777777" w:rsidTr="0090561A">
        <w:trPr>
          <w:trHeight w:val="456"/>
        </w:trPr>
        <w:tc>
          <w:tcPr>
            <w:tcW w:w="5989"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45E56B26" w14:textId="77777777" w:rsidR="00037C13" w:rsidRPr="00CA0D36" w:rsidRDefault="00037C13" w:rsidP="00F77263">
            <w:pPr>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lastRenderedPageBreak/>
              <w:t>Concepto</w:t>
            </w:r>
          </w:p>
        </w:tc>
        <w:tc>
          <w:tcPr>
            <w:tcW w:w="1674" w:type="dxa"/>
            <w:tcBorders>
              <w:top w:val="single" w:sz="8" w:space="0" w:color="auto"/>
              <w:left w:val="nil"/>
              <w:bottom w:val="single" w:sz="8" w:space="0" w:color="auto"/>
              <w:right w:val="single" w:sz="4" w:space="0" w:color="auto"/>
            </w:tcBorders>
            <w:shd w:val="clear" w:color="auto" w:fill="244062"/>
            <w:vAlign w:val="center"/>
            <w:hideMark/>
          </w:tcPr>
          <w:p w14:paraId="0D4C65C7"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674" w:type="dxa"/>
            <w:tcBorders>
              <w:top w:val="single" w:sz="8" w:space="0" w:color="auto"/>
              <w:left w:val="nil"/>
              <w:bottom w:val="single" w:sz="8" w:space="0" w:color="auto"/>
              <w:right w:val="single" w:sz="4" w:space="0" w:color="auto"/>
            </w:tcBorders>
            <w:shd w:val="clear" w:color="auto" w:fill="244062"/>
            <w:vAlign w:val="center"/>
            <w:hideMark/>
          </w:tcPr>
          <w:p w14:paraId="46E93605"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20AA2236" w14:textId="77777777" w:rsidTr="0090561A">
        <w:trPr>
          <w:trHeight w:val="647"/>
        </w:trPr>
        <w:tc>
          <w:tcPr>
            <w:tcW w:w="5989" w:type="dxa"/>
            <w:tcBorders>
              <w:top w:val="nil"/>
              <w:left w:val="single" w:sz="8" w:space="0" w:color="auto"/>
              <w:bottom w:val="single" w:sz="4" w:space="0" w:color="auto"/>
              <w:right w:val="single" w:sz="4" w:space="0" w:color="auto"/>
            </w:tcBorders>
            <w:noWrap/>
            <w:vAlign w:val="center"/>
            <w:hideMark/>
          </w:tcPr>
          <w:p w14:paraId="179ADBA5"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GESTIÓN INSTITUCIONAL EN TERRITORIO Y CONTRIBUCIÓN A LA GOBERNABILIDAD DEL SECTOR MINERO ENERGÉTICO NACIONAL</w:t>
            </w:r>
          </w:p>
        </w:tc>
        <w:tc>
          <w:tcPr>
            <w:tcW w:w="1674" w:type="dxa"/>
            <w:tcBorders>
              <w:top w:val="nil"/>
              <w:left w:val="nil"/>
              <w:bottom w:val="single" w:sz="4" w:space="0" w:color="auto"/>
              <w:right w:val="single" w:sz="4" w:space="0" w:color="auto"/>
            </w:tcBorders>
            <w:noWrap/>
            <w:vAlign w:val="center"/>
            <w:hideMark/>
          </w:tcPr>
          <w:p w14:paraId="2AE9137F"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4.800 </w:t>
            </w:r>
          </w:p>
        </w:tc>
        <w:tc>
          <w:tcPr>
            <w:tcW w:w="1674" w:type="dxa"/>
            <w:tcBorders>
              <w:top w:val="nil"/>
              <w:left w:val="nil"/>
              <w:bottom w:val="single" w:sz="4" w:space="0" w:color="auto"/>
              <w:right w:val="single" w:sz="4" w:space="0" w:color="auto"/>
            </w:tcBorders>
            <w:noWrap/>
            <w:vAlign w:val="center"/>
            <w:hideMark/>
          </w:tcPr>
          <w:p w14:paraId="4A9DBEB6"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4.729 </w:t>
            </w:r>
          </w:p>
        </w:tc>
      </w:tr>
      <w:tr w:rsidR="00037C13" w:rsidRPr="00CA0D36" w14:paraId="2638CE45" w14:textId="77777777" w:rsidTr="0090561A">
        <w:trPr>
          <w:trHeight w:val="364"/>
        </w:trPr>
        <w:tc>
          <w:tcPr>
            <w:tcW w:w="5989" w:type="dxa"/>
            <w:tcBorders>
              <w:top w:val="nil"/>
              <w:left w:val="single" w:sz="8" w:space="0" w:color="auto"/>
              <w:bottom w:val="single" w:sz="4" w:space="0" w:color="auto"/>
              <w:right w:val="single" w:sz="4" w:space="0" w:color="auto"/>
            </w:tcBorders>
            <w:noWrap/>
            <w:vAlign w:val="center"/>
            <w:hideMark/>
          </w:tcPr>
          <w:p w14:paraId="39EF4025"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DIAGNOSTICO MINERO AMBIENTAL DE LOS PASIVOS EN EL TERRITORIO NACIONAL</w:t>
            </w:r>
          </w:p>
        </w:tc>
        <w:tc>
          <w:tcPr>
            <w:tcW w:w="1674" w:type="dxa"/>
            <w:tcBorders>
              <w:top w:val="nil"/>
              <w:left w:val="nil"/>
              <w:bottom w:val="single" w:sz="4" w:space="0" w:color="auto"/>
              <w:right w:val="single" w:sz="4" w:space="0" w:color="auto"/>
            </w:tcBorders>
            <w:noWrap/>
            <w:vAlign w:val="center"/>
            <w:hideMark/>
          </w:tcPr>
          <w:p w14:paraId="2A7C8CB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c>
          <w:tcPr>
            <w:tcW w:w="1674" w:type="dxa"/>
            <w:tcBorders>
              <w:top w:val="nil"/>
              <w:left w:val="nil"/>
              <w:bottom w:val="single" w:sz="4" w:space="0" w:color="auto"/>
              <w:right w:val="single" w:sz="4" w:space="0" w:color="auto"/>
            </w:tcBorders>
            <w:noWrap/>
            <w:vAlign w:val="center"/>
            <w:hideMark/>
          </w:tcPr>
          <w:p w14:paraId="072EB740"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r>
      <w:tr w:rsidR="00037C13" w:rsidRPr="00CA0D36" w14:paraId="241E597D" w14:textId="77777777" w:rsidTr="0090561A">
        <w:trPr>
          <w:trHeight w:val="716"/>
        </w:trPr>
        <w:tc>
          <w:tcPr>
            <w:tcW w:w="5989" w:type="dxa"/>
            <w:tcBorders>
              <w:top w:val="nil"/>
              <w:left w:val="single" w:sz="8" w:space="0" w:color="auto"/>
              <w:bottom w:val="single" w:sz="4" w:space="0" w:color="auto"/>
              <w:right w:val="single" w:sz="4" w:space="0" w:color="auto"/>
            </w:tcBorders>
            <w:noWrap/>
            <w:vAlign w:val="center"/>
            <w:hideMark/>
          </w:tcPr>
          <w:p w14:paraId="6C4DF37F"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FORMULACIÓN Y EJECUCIÓN DE LA ESTRATEGIA DE GESTIÓN AMBIENTAL PARA LA PROMOCIÓN DEL SECTOR BAJO PRINCIPIOS DE COMPETITIVIDAD NACIONAL</w:t>
            </w:r>
          </w:p>
        </w:tc>
        <w:tc>
          <w:tcPr>
            <w:tcW w:w="1674" w:type="dxa"/>
            <w:tcBorders>
              <w:top w:val="nil"/>
              <w:left w:val="nil"/>
              <w:bottom w:val="single" w:sz="4" w:space="0" w:color="auto"/>
              <w:right w:val="single" w:sz="4" w:space="0" w:color="auto"/>
            </w:tcBorders>
            <w:noWrap/>
            <w:vAlign w:val="center"/>
            <w:hideMark/>
          </w:tcPr>
          <w:p w14:paraId="05834574"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1.700 </w:t>
            </w:r>
          </w:p>
        </w:tc>
        <w:tc>
          <w:tcPr>
            <w:tcW w:w="1674" w:type="dxa"/>
            <w:tcBorders>
              <w:top w:val="nil"/>
              <w:left w:val="nil"/>
              <w:bottom w:val="single" w:sz="4" w:space="0" w:color="auto"/>
              <w:right w:val="single" w:sz="4" w:space="0" w:color="auto"/>
            </w:tcBorders>
            <w:noWrap/>
            <w:vAlign w:val="center"/>
            <w:hideMark/>
          </w:tcPr>
          <w:p w14:paraId="180C1F6D"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1.691 </w:t>
            </w:r>
          </w:p>
        </w:tc>
      </w:tr>
      <w:tr w:rsidR="00037C13" w:rsidRPr="00CA0D36" w14:paraId="4402A643" w14:textId="77777777" w:rsidTr="0090561A">
        <w:trPr>
          <w:trHeight w:val="567"/>
        </w:trPr>
        <w:tc>
          <w:tcPr>
            <w:tcW w:w="5989" w:type="dxa"/>
            <w:tcBorders>
              <w:top w:val="nil"/>
              <w:left w:val="single" w:sz="8" w:space="0" w:color="auto"/>
              <w:bottom w:val="nil"/>
              <w:right w:val="single" w:sz="4" w:space="0" w:color="auto"/>
            </w:tcBorders>
            <w:vAlign w:val="center"/>
            <w:hideMark/>
          </w:tcPr>
          <w:p w14:paraId="3B5BCF6D"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DISEÑO E IMPLEMENTACIÓN DE HERRAMIENTAS DE MITIGACIÓN Y ADAPTACIÓN EN EL SECTOR MINERO-ENERGÉTICO FRENTE AL CAMBIO CLIMÁTICO - NACIONAL</w:t>
            </w:r>
          </w:p>
        </w:tc>
        <w:tc>
          <w:tcPr>
            <w:tcW w:w="1674" w:type="dxa"/>
            <w:tcBorders>
              <w:top w:val="nil"/>
              <w:left w:val="nil"/>
              <w:bottom w:val="single" w:sz="4" w:space="0" w:color="auto"/>
              <w:right w:val="single" w:sz="4" w:space="0" w:color="auto"/>
            </w:tcBorders>
            <w:noWrap/>
            <w:vAlign w:val="center"/>
            <w:hideMark/>
          </w:tcPr>
          <w:p w14:paraId="4C31593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c>
          <w:tcPr>
            <w:tcW w:w="1674" w:type="dxa"/>
            <w:tcBorders>
              <w:top w:val="nil"/>
              <w:left w:val="nil"/>
              <w:bottom w:val="single" w:sz="4" w:space="0" w:color="auto"/>
              <w:right w:val="single" w:sz="4" w:space="0" w:color="auto"/>
            </w:tcBorders>
            <w:noWrap/>
            <w:vAlign w:val="center"/>
            <w:hideMark/>
          </w:tcPr>
          <w:p w14:paraId="1C38A44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995 </w:t>
            </w:r>
          </w:p>
        </w:tc>
      </w:tr>
      <w:tr w:rsidR="00037C13" w:rsidRPr="00CA0D36" w14:paraId="7DD8522E" w14:textId="77777777" w:rsidTr="0090561A">
        <w:trPr>
          <w:trHeight w:val="339"/>
        </w:trPr>
        <w:tc>
          <w:tcPr>
            <w:tcW w:w="5989"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34B11ED9"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Subtotal ambiental </w:t>
            </w:r>
          </w:p>
        </w:tc>
        <w:tc>
          <w:tcPr>
            <w:tcW w:w="1674" w:type="dxa"/>
            <w:tcBorders>
              <w:top w:val="single" w:sz="8" w:space="0" w:color="auto"/>
              <w:left w:val="nil"/>
              <w:bottom w:val="single" w:sz="8" w:space="0" w:color="auto"/>
              <w:right w:val="single" w:sz="4" w:space="0" w:color="auto"/>
            </w:tcBorders>
            <w:shd w:val="clear" w:color="auto" w:fill="244062"/>
            <w:noWrap/>
            <w:vAlign w:val="center"/>
            <w:hideMark/>
          </w:tcPr>
          <w:p w14:paraId="09F941C1"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8.500 </w:t>
            </w:r>
          </w:p>
        </w:tc>
        <w:tc>
          <w:tcPr>
            <w:tcW w:w="1674" w:type="dxa"/>
            <w:tcBorders>
              <w:top w:val="single" w:sz="8" w:space="0" w:color="auto"/>
              <w:left w:val="nil"/>
              <w:bottom w:val="single" w:sz="8" w:space="0" w:color="auto"/>
              <w:right w:val="single" w:sz="4" w:space="0" w:color="auto"/>
            </w:tcBorders>
            <w:shd w:val="clear" w:color="auto" w:fill="244062"/>
            <w:noWrap/>
            <w:vAlign w:val="center"/>
            <w:hideMark/>
          </w:tcPr>
          <w:p w14:paraId="3A5C3133"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8.415 </w:t>
            </w:r>
          </w:p>
        </w:tc>
      </w:tr>
    </w:tbl>
    <w:p w14:paraId="5DF086D8" w14:textId="77777777" w:rsidR="00C02282" w:rsidRPr="006A67B4" w:rsidRDefault="00C02282" w:rsidP="00C02282">
      <w:pPr>
        <w:spacing w:after="0" w:line="240" w:lineRule="auto"/>
        <w:jc w:val="center"/>
        <w:rPr>
          <w:rFonts w:ascii="Arial" w:eastAsia="Calibri" w:hAnsi="Arial" w:cs="Arial"/>
          <w:sz w:val="16"/>
          <w:szCs w:val="16"/>
          <w:highlight w:val="yellow"/>
        </w:rPr>
      </w:pPr>
    </w:p>
    <w:p w14:paraId="6F720314" w14:textId="77777777" w:rsidR="00C02282" w:rsidRPr="006A67B4" w:rsidRDefault="00C02282"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559"/>
        <w:gridCol w:w="1701"/>
      </w:tblGrid>
      <w:tr w:rsidR="00037C13" w:rsidRPr="00CA0D36" w14:paraId="143BD92E" w14:textId="77777777" w:rsidTr="00D10189">
        <w:trPr>
          <w:trHeight w:val="975"/>
          <w:tblHeader/>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700B98AA" w14:textId="77777777" w:rsidR="00037C13" w:rsidRPr="00CA0D36" w:rsidRDefault="00037C13" w:rsidP="00F77263">
            <w:pPr>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Concepto</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07ECA29B"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1C26B6B4"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4084EF6B" w14:textId="77777777" w:rsidTr="00F77263">
        <w:trPr>
          <w:trHeight w:val="595"/>
        </w:trPr>
        <w:tc>
          <w:tcPr>
            <w:tcW w:w="6086" w:type="dxa"/>
            <w:tcBorders>
              <w:top w:val="nil"/>
              <w:left w:val="single" w:sz="8" w:space="0" w:color="auto"/>
              <w:bottom w:val="single" w:sz="4" w:space="0" w:color="auto"/>
              <w:right w:val="single" w:sz="4" w:space="0" w:color="auto"/>
            </w:tcBorders>
            <w:vAlign w:val="center"/>
            <w:hideMark/>
          </w:tcPr>
          <w:p w14:paraId="57077F9E"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ASESORIA PARA EL ANALISIS Y FORMULACION DEL DESARROLLO DEL SUBSECTOR DE HIDROCARBUROS NACIONAL</w:t>
            </w:r>
          </w:p>
        </w:tc>
        <w:tc>
          <w:tcPr>
            <w:tcW w:w="1559" w:type="dxa"/>
            <w:tcBorders>
              <w:top w:val="nil"/>
              <w:left w:val="nil"/>
              <w:bottom w:val="single" w:sz="4" w:space="0" w:color="auto"/>
              <w:right w:val="single" w:sz="4" w:space="0" w:color="auto"/>
            </w:tcBorders>
            <w:noWrap/>
            <w:vAlign w:val="center"/>
            <w:hideMark/>
          </w:tcPr>
          <w:p w14:paraId="55B7BC4B"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2.500 </w:t>
            </w:r>
          </w:p>
        </w:tc>
        <w:tc>
          <w:tcPr>
            <w:tcW w:w="1701" w:type="dxa"/>
            <w:tcBorders>
              <w:top w:val="nil"/>
              <w:left w:val="nil"/>
              <w:bottom w:val="single" w:sz="4" w:space="0" w:color="auto"/>
              <w:right w:val="single" w:sz="4" w:space="0" w:color="auto"/>
            </w:tcBorders>
            <w:noWrap/>
            <w:vAlign w:val="center"/>
            <w:hideMark/>
          </w:tcPr>
          <w:p w14:paraId="04BF78AB"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2.350 </w:t>
            </w:r>
          </w:p>
        </w:tc>
      </w:tr>
      <w:tr w:rsidR="00037C13" w:rsidRPr="00CA0D36" w14:paraId="314E1D6E" w14:textId="77777777" w:rsidTr="00F77263">
        <w:trPr>
          <w:trHeight w:val="854"/>
        </w:trPr>
        <w:tc>
          <w:tcPr>
            <w:tcW w:w="6086" w:type="dxa"/>
            <w:tcBorders>
              <w:top w:val="nil"/>
              <w:left w:val="single" w:sz="8" w:space="0" w:color="auto"/>
              <w:bottom w:val="single" w:sz="4" w:space="0" w:color="auto"/>
              <w:right w:val="single" w:sz="4" w:space="0" w:color="auto"/>
            </w:tcBorders>
            <w:vAlign w:val="center"/>
            <w:hideMark/>
          </w:tcPr>
          <w:p w14:paraId="46E1B7A8"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ASESORIA ,  DISEÑO, ADQUISICION, MANTENIMIENTO Y CONSTRUCCION DEL SISTEMA DE INFORMACION DE LA CADENA DE DISTRIBUCION DE COMBUSTIBLES LIQUIDIOS DEREIVADOS DEL PETROLEO - SICOM - REGION NACIONAL</w:t>
            </w:r>
          </w:p>
        </w:tc>
        <w:tc>
          <w:tcPr>
            <w:tcW w:w="1559" w:type="dxa"/>
            <w:tcBorders>
              <w:top w:val="nil"/>
              <w:left w:val="nil"/>
              <w:bottom w:val="single" w:sz="4" w:space="0" w:color="auto"/>
              <w:right w:val="single" w:sz="4" w:space="0" w:color="auto"/>
            </w:tcBorders>
            <w:noWrap/>
            <w:vAlign w:val="center"/>
            <w:hideMark/>
          </w:tcPr>
          <w:p w14:paraId="5C4F956D"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10.600 </w:t>
            </w:r>
          </w:p>
        </w:tc>
        <w:tc>
          <w:tcPr>
            <w:tcW w:w="1701" w:type="dxa"/>
            <w:tcBorders>
              <w:top w:val="nil"/>
              <w:left w:val="nil"/>
              <w:bottom w:val="single" w:sz="4" w:space="0" w:color="auto"/>
              <w:right w:val="single" w:sz="4" w:space="0" w:color="auto"/>
            </w:tcBorders>
            <w:noWrap/>
            <w:vAlign w:val="center"/>
            <w:hideMark/>
          </w:tcPr>
          <w:p w14:paraId="742457ED"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9.120 </w:t>
            </w:r>
          </w:p>
        </w:tc>
      </w:tr>
      <w:tr w:rsidR="00037C13" w:rsidRPr="00CA0D36" w14:paraId="78B76FBD" w14:textId="77777777" w:rsidTr="00F77263">
        <w:trPr>
          <w:trHeight w:val="399"/>
        </w:trPr>
        <w:tc>
          <w:tcPr>
            <w:tcW w:w="6086" w:type="dxa"/>
            <w:tcBorders>
              <w:top w:val="nil"/>
              <w:left w:val="single" w:sz="8" w:space="0" w:color="auto"/>
              <w:bottom w:val="single" w:sz="4" w:space="0" w:color="auto"/>
              <w:right w:val="single" w:sz="4" w:space="0" w:color="auto"/>
            </w:tcBorders>
            <w:vAlign w:val="center"/>
            <w:hideMark/>
          </w:tcPr>
          <w:p w14:paraId="1CCBC208"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ASESORIA TÉCNICA PARA EL SEGUIMIENTO A LOS CONTRATOS Y CONVENIOS DEL SUBSECTOR GAS COMBUSTIBLE NACIONAL</w:t>
            </w:r>
          </w:p>
        </w:tc>
        <w:tc>
          <w:tcPr>
            <w:tcW w:w="1559" w:type="dxa"/>
            <w:tcBorders>
              <w:top w:val="nil"/>
              <w:left w:val="nil"/>
              <w:bottom w:val="single" w:sz="4" w:space="0" w:color="auto"/>
              <w:right w:val="single" w:sz="4" w:space="0" w:color="auto"/>
            </w:tcBorders>
            <w:noWrap/>
            <w:vAlign w:val="center"/>
            <w:hideMark/>
          </w:tcPr>
          <w:p w14:paraId="4FDF61CE"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1.500 </w:t>
            </w:r>
          </w:p>
        </w:tc>
        <w:tc>
          <w:tcPr>
            <w:tcW w:w="1701" w:type="dxa"/>
            <w:tcBorders>
              <w:top w:val="nil"/>
              <w:left w:val="nil"/>
              <w:bottom w:val="single" w:sz="4" w:space="0" w:color="auto"/>
              <w:right w:val="single" w:sz="4" w:space="0" w:color="auto"/>
            </w:tcBorders>
            <w:noWrap/>
            <w:vAlign w:val="center"/>
            <w:hideMark/>
          </w:tcPr>
          <w:p w14:paraId="47B7FED1"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r>
      <w:tr w:rsidR="00037C13" w:rsidRPr="00CA0D36" w14:paraId="32ADBEA4" w14:textId="77777777" w:rsidTr="00F77263">
        <w:trPr>
          <w:trHeight w:val="831"/>
        </w:trPr>
        <w:tc>
          <w:tcPr>
            <w:tcW w:w="6086" w:type="dxa"/>
            <w:tcBorders>
              <w:top w:val="nil"/>
              <w:left w:val="single" w:sz="8" w:space="0" w:color="auto"/>
              <w:bottom w:val="single" w:sz="4" w:space="0" w:color="auto"/>
              <w:right w:val="single" w:sz="4" w:space="0" w:color="auto"/>
            </w:tcBorders>
            <w:vAlign w:val="center"/>
            <w:hideMark/>
          </w:tcPr>
          <w:p w14:paraId="3046A15E"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CONTROL OPERATIVO A LA DISTRIBUCIÓN DE COMBUSTIBLE LÍQUIDOS DERIVADOS DEL PETRÓLEO, AL CONTRABANDO Y A LA DESTINACIÓN ILÍCITA DE ESTOS PRODUCTOS EN ZONAS DE FRONTERA</w:t>
            </w:r>
          </w:p>
        </w:tc>
        <w:tc>
          <w:tcPr>
            <w:tcW w:w="1559" w:type="dxa"/>
            <w:tcBorders>
              <w:top w:val="nil"/>
              <w:left w:val="nil"/>
              <w:bottom w:val="single" w:sz="4" w:space="0" w:color="auto"/>
              <w:right w:val="single" w:sz="4" w:space="0" w:color="auto"/>
            </w:tcBorders>
            <w:noWrap/>
            <w:vAlign w:val="center"/>
            <w:hideMark/>
          </w:tcPr>
          <w:p w14:paraId="20A968CB"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7.800 </w:t>
            </w:r>
          </w:p>
        </w:tc>
        <w:tc>
          <w:tcPr>
            <w:tcW w:w="1701" w:type="dxa"/>
            <w:tcBorders>
              <w:top w:val="nil"/>
              <w:left w:val="nil"/>
              <w:bottom w:val="single" w:sz="4" w:space="0" w:color="auto"/>
              <w:right w:val="single" w:sz="4" w:space="0" w:color="auto"/>
            </w:tcBorders>
            <w:noWrap/>
            <w:vAlign w:val="center"/>
            <w:hideMark/>
          </w:tcPr>
          <w:p w14:paraId="1E25FED4"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7.800 </w:t>
            </w:r>
          </w:p>
        </w:tc>
      </w:tr>
      <w:tr w:rsidR="00037C13" w:rsidRPr="00CA0D36" w14:paraId="53D3344D" w14:textId="77777777" w:rsidTr="00F77263">
        <w:trPr>
          <w:trHeight w:val="559"/>
        </w:trPr>
        <w:tc>
          <w:tcPr>
            <w:tcW w:w="6086" w:type="dxa"/>
            <w:tcBorders>
              <w:top w:val="nil"/>
              <w:left w:val="single" w:sz="8" w:space="0" w:color="auto"/>
              <w:bottom w:val="single" w:sz="4" w:space="0" w:color="auto"/>
              <w:right w:val="single" w:sz="4" w:space="0" w:color="auto"/>
            </w:tcBorders>
            <w:vAlign w:val="center"/>
            <w:hideMark/>
          </w:tcPr>
          <w:p w14:paraId="4E777930"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DISTRIBUCIÓN DE RECURSOS PARA PAGOS POR MENORES TARIFAS SECTOR GAS COMBUSTIBLE DOMICILIARIO POR RED A NIVEL NACIONAL</w:t>
            </w:r>
          </w:p>
        </w:tc>
        <w:tc>
          <w:tcPr>
            <w:tcW w:w="1559" w:type="dxa"/>
            <w:tcBorders>
              <w:top w:val="nil"/>
              <w:left w:val="nil"/>
              <w:bottom w:val="single" w:sz="4" w:space="0" w:color="auto"/>
              <w:right w:val="single" w:sz="4" w:space="0" w:color="auto"/>
            </w:tcBorders>
            <w:noWrap/>
            <w:vAlign w:val="center"/>
            <w:hideMark/>
          </w:tcPr>
          <w:p w14:paraId="5870F79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779.606 </w:t>
            </w:r>
          </w:p>
        </w:tc>
        <w:tc>
          <w:tcPr>
            <w:tcW w:w="1701" w:type="dxa"/>
            <w:tcBorders>
              <w:top w:val="nil"/>
              <w:left w:val="nil"/>
              <w:bottom w:val="single" w:sz="4" w:space="0" w:color="auto"/>
              <w:right w:val="single" w:sz="4" w:space="0" w:color="auto"/>
            </w:tcBorders>
            <w:noWrap/>
            <w:vAlign w:val="center"/>
            <w:hideMark/>
          </w:tcPr>
          <w:p w14:paraId="00D7047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779.606 </w:t>
            </w:r>
          </w:p>
        </w:tc>
      </w:tr>
      <w:tr w:rsidR="00037C13" w:rsidRPr="00CA0D36" w14:paraId="7AA6F688" w14:textId="77777777" w:rsidTr="00F77263">
        <w:trPr>
          <w:trHeight w:val="706"/>
        </w:trPr>
        <w:tc>
          <w:tcPr>
            <w:tcW w:w="6086" w:type="dxa"/>
            <w:tcBorders>
              <w:top w:val="nil"/>
              <w:left w:val="single" w:sz="8" w:space="0" w:color="auto"/>
              <w:bottom w:val="single" w:sz="4" w:space="0" w:color="auto"/>
              <w:right w:val="single" w:sz="4" w:space="0" w:color="auto"/>
            </w:tcBorders>
            <w:vAlign w:val="center"/>
            <w:hideMark/>
          </w:tcPr>
          <w:p w14:paraId="688A5D77"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DISTRIBUCIÓN DE RECURSOS PARA PAGOS POR MENORES TARIFAS SECTOR GLP DISTRIBUIDO EN CILINDROS Y TANQUES ESTACIONARIOS A NIVEL NACIONAL</w:t>
            </w:r>
          </w:p>
        </w:tc>
        <w:tc>
          <w:tcPr>
            <w:tcW w:w="1559" w:type="dxa"/>
            <w:tcBorders>
              <w:top w:val="nil"/>
              <w:left w:val="nil"/>
              <w:bottom w:val="single" w:sz="4" w:space="0" w:color="auto"/>
              <w:right w:val="single" w:sz="4" w:space="0" w:color="auto"/>
            </w:tcBorders>
            <w:noWrap/>
            <w:vAlign w:val="center"/>
            <w:hideMark/>
          </w:tcPr>
          <w:p w14:paraId="1F308E53"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47.000 </w:t>
            </w:r>
          </w:p>
        </w:tc>
        <w:tc>
          <w:tcPr>
            <w:tcW w:w="1701" w:type="dxa"/>
            <w:tcBorders>
              <w:top w:val="nil"/>
              <w:left w:val="nil"/>
              <w:bottom w:val="single" w:sz="4" w:space="0" w:color="auto"/>
              <w:right w:val="single" w:sz="4" w:space="0" w:color="auto"/>
            </w:tcBorders>
            <w:noWrap/>
            <w:vAlign w:val="center"/>
            <w:hideMark/>
          </w:tcPr>
          <w:p w14:paraId="24D0D5CE"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43.956 </w:t>
            </w:r>
          </w:p>
        </w:tc>
      </w:tr>
      <w:tr w:rsidR="00037C13" w:rsidRPr="00CA0D36" w14:paraId="0BD399A5" w14:textId="77777777" w:rsidTr="00F77263">
        <w:trPr>
          <w:trHeight w:val="689"/>
        </w:trPr>
        <w:tc>
          <w:tcPr>
            <w:tcW w:w="6086" w:type="dxa"/>
            <w:tcBorders>
              <w:top w:val="nil"/>
              <w:left w:val="single" w:sz="8" w:space="0" w:color="auto"/>
              <w:bottom w:val="single" w:sz="4" w:space="0" w:color="auto"/>
              <w:right w:val="single" w:sz="4" w:space="0" w:color="auto"/>
            </w:tcBorders>
            <w:vAlign w:val="center"/>
            <w:hideMark/>
          </w:tcPr>
          <w:p w14:paraId="724CB02C"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IMPLEMENTACION COMPENSACION POR EL TRANSPORTE DE COMBUSTIBLES LIQUIDOS DERIVADOS DEL PETROLEO ENTRE YUMBO Y LA CIUDAD DE PASTO</w:t>
            </w:r>
          </w:p>
        </w:tc>
        <w:tc>
          <w:tcPr>
            <w:tcW w:w="1559" w:type="dxa"/>
            <w:tcBorders>
              <w:top w:val="nil"/>
              <w:left w:val="nil"/>
              <w:bottom w:val="single" w:sz="4" w:space="0" w:color="auto"/>
              <w:right w:val="single" w:sz="4" w:space="0" w:color="auto"/>
            </w:tcBorders>
            <w:noWrap/>
            <w:vAlign w:val="center"/>
            <w:hideMark/>
          </w:tcPr>
          <w:p w14:paraId="030F7010"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64.558 </w:t>
            </w:r>
          </w:p>
        </w:tc>
        <w:tc>
          <w:tcPr>
            <w:tcW w:w="1701" w:type="dxa"/>
            <w:tcBorders>
              <w:top w:val="nil"/>
              <w:left w:val="nil"/>
              <w:bottom w:val="single" w:sz="4" w:space="0" w:color="auto"/>
              <w:right w:val="single" w:sz="4" w:space="0" w:color="auto"/>
            </w:tcBorders>
            <w:noWrap/>
            <w:vAlign w:val="center"/>
            <w:hideMark/>
          </w:tcPr>
          <w:p w14:paraId="024AD4D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64.558 </w:t>
            </w:r>
          </w:p>
        </w:tc>
      </w:tr>
      <w:tr w:rsidR="00037C13" w:rsidRPr="00CA0D36" w14:paraId="236DFDFE" w14:textId="77777777" w:rsidTr="00F77263">
        <w:trPr>
          <w:trHeight w:val="631"/>
        </w:trPr>
        <w:tc>
          <w:tcPr>
            <w:tcW w:w="6086" w:type="dxa"/>
            <w:tcBorders>
              <w:top w:val="nil"/>
              <w:left w:val="single" w:sz="8" w:space="0" w:color="auto"/>
              <w:bottom w:val="single" w:sz="4" w:space="0" w:color="auto"/>
              <w:right w:val="single" w:sz="4" w:space="0" w:color="auto"/>
            </w:tcBorders>
            <w:vAlign w:val="center"/>
            <w:hideMark/>
          </w:tcPr>
          <w:p w14:paraId="4FBA0423"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DESARROLLO DE INFRAESTRUCTURA DE TRANSPORTE, DISTRIBUCIÓN Y CONEXIÓN DEL SERVICIO PÚBLICO DE GAS NATURAL A NIVEL NACIONAL</w:t>
            </w:r>
          </w:p>
        </w:tc>
        <w:tc>
          <w:tcPr>
            <w:tcW w:w="1559" w:type="dxa"/>
            <w:tcBorders>
              <w:top w:val="nil"/>
              <w:left w:val="nil"/>
              <w:bottom w:val="single" w:sz="4" w:space="0" w:color="auto"/>
              <w:right w:val="single" w:sz="4" w:space="0" w:color="auto"/>
            </w:tcBorders>
            <w:noWrap/>
            <w:vAlign w:val="center"/>
            <w:hideMark/>
          </w:tcPr>
          <w:p w14:paraId="2E3D839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21.000 </w:t>
            </w:r>
          </w:p>
        </w:tc>
        <w:tc>
          <w:tcPr>
            <w:tcW w:w="1701" w:type="dxa"/>
            <w:tcBorders>
              <w:top w:val="nil"/>
              <w:left w:val="nil"/>
              <w:bottom w:val="single" w:sz="4" w:space="0" w:color="auto"/>
              <w:right w:val="single" w:sz="4" w:space="0" w:color="auto"/>
            </w:tcBorders>
            <w:noWrap/>
            <w:vAlign w:val="center"/>
            <w:hideMark/>
          </w:tcPr>
          <w:p w14:paraId="08EDBCBB"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6.853 </w:t>
            </w:r>
          </w:p>
        </w:tc>
      </w:tr>
      <w:tr w:rsidR="00037C13" w:rsidRPr="00CA0D36" w14:paraId="7AC0AEE3" w14:textId="77777777" w:rsidTr="00F77263">
        <w:trPr>
          <w:trHeight w:val="413"/>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4DB5CB9E"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Subtotal hidrocarburos</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52515E24"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934.564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16955A94"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915.242 </w:t>
            </w:r>
          </w:p>
        </w:tc>
      </w:tr>
    </w:tbl>
    <w:p w14:paraId="03ED04B7" w14:textId="723A3E46" w:rsidR="00C02282" w:rsidRDefault="00C02282" w:rsidP="00C02282">
      <w:pPr>
        <w:spacing w:after="0" w:line="240" w:lineRule="auto"/>
        <w:jc w:val="center"/>
        <w:rPr>
          <w:rFonts w:ascii="Arial" w:eastAsia="Calibri" w:hAnsi="Arial" w:cs="Arial"/>
          <w:sz w:val="16"/>
          <w:szCs w:val="16"/>
          <w:highlight w:val="yellow"/>
        </w:rPr>
      </w:pPr>
    </w:p>
    <w:p w14:paraId="3F73E669" w14:textId="32F28207" w:rsidR="002B2F4A" w:rsidRDefault="002B2F4A" w:rsidP="00C02282">
      <w:pPr>
        <w:spacing w:after="0" w:line="240" w:lineRule="auto"/>
        <w:jc w:val="center"/>
        <w:rPr>
          <w:rFonts w:ascii="Arial" w:eastAsia="Calibri" w:hAnsi="Arial" w:cs="Arial"/>
          <w:sz w:val="16"/>
          <w:szCs w:val="16"/>
          <w:highlight w:val="yellow"/>
        </w:rPr>
      </w:pPr>
    </w:p>
    <w:p w14:paraId="1C73099B" w14:textId="59AF9E88" w:rsidR="002B2F4A" w:rsidRDefault="002B2F4A" w:rsidP="00C02282">
      <w:pPr>
        <w:spacing w:after="0" w:line="240" w:lineRule="auto"/>
        <w:jc w:val="center"/>
        <w:rPr>
          <w:rFonts w:ascii="Arial" w:eastAsia="Calibri" w:hAnsi="Arial" w:cs="Arial"/>
          <w:sz w:val="16"/>
          <w:szCs w:val="16"/>
          <w:highlight w:val="yellow"/>
        </w:rPr>
      </w:pPr>
    </w:p>
    <w:p w14:paraId="4161AECF" w14:textId="77777777" w:rsidR="002B2F4A" w:rsidRDefault="002B2F4A"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559"/>
        <w:gridCol w:w="1701"/>
      </w:tblGrid>
      <w:tr w:rsidR="00037C13" w:rsidRPr="00CA0D36" w14:paraId="5BCF450A" w14:textId="77777777" w:rsidTr="00F77263">
        <w:trPr>
          <w:trHeight w:val="467"/>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7EB21339"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lastRenderedPageBreak/>
              <w:t>Concepto</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109873A3"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4398E67E"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20FA415E" w14:textId="77777777" w:rsidTr="00F77263">
        <w:trPr>
          <w:trHeight w:val="288"/>
        </w:trPr>
        <w:tc>
          <w:tcPr>
            <w:tcW w:w="6086" w:type="dxa"/>
            <w:tcBorders>
              <w:top w:val="nil"/>
              <w:left w:val="single" w:sz="8" w:space="0" w:color="auto"/>
              <w:bottom w:val="nil"/>
              <w:right w:val="single" w:sz="4" w:space="0" w:color="auto"/>
            </w:tcBorders>
            <w:vAlign w:val="center"/>
            <w:hideMark/>
          </w:tcPr>
          <w:p w14:paraId="39988599"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AUTORIDAD REGULADORA PARA EL USO SEGURO DE LOS MATERIALES NUCLEARES Y RADIACTIVOS EN EL TERRITORIO NACIONAL</w:t>
            </w:r>
          </w:p>
        </w:tc>
        <w:tc>
          <w:tcPr>
            <w:tcW w:w="1559" w:type="dxa"/>
            <w:tcBorders>
              <w:top w:val="nil"/>
              <w:left w:val="nil"/>
              <w:bottom w:val="single" w:sz="4" w:space="0" w:color="auto"/>
              <w:right w:val="single" w:sz="4" w:space="0" w:color="auto"/>
            </w:tcBorders>
            <w:noWrap/>
            <w:vAlign w:val="center"/>
            <w:hideMark/>
          </w:tcPr>
          <w:p w14:paraId="2B4A06D1"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c>
          <w:tcPr>
            <w:tcW w:w="1701" w:type="dxa"/>
            <w:tcBorders>
              <w:top w:val="single" w:sz="4" w:space="0" w:color="auto"/>
              <w:left w:val="nil"/>
              <w:bottom w:val="single" w:sz="4" w:space="0" w:color="auto"/>
              <w:right w:val="single" w:sz="4" w:space="0" w:color="auto"/>
            </w:tcBorders>
            <w:noWrap/>
            <w:vAlign w:val="center"/>
            <w:hideMark/>
          </w:tcPr>
          <w:p w14:paraId="51F4374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r>
      <w:tr w:rsidR="00037C13" w:rsidRPr="00CA0D36" w14:paraId="5DF6C67E" w14:textId="77777777" w:rsidTr="00F77263">
        <w:trPr>
          <w:trHeight w:val="52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3BAA760F"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Subtotal Nuclear</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157FFF29"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1.000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6A6C75F9"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1.000 </w:t>
            </w:r>
          </w:p>
        </w:tc>
      </w:tr>
    </w:tbl>
    <w:p w14:paraId="4D023379" w14:textId="77777777" w:rsidR="00037C13" w:rsidRDefault="00037C13"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701"/>
        <w:gridCol w:w="1559"/>
      </w:tblGrid>
      <w:tr w:rsidR="00037C13" w:rsidRPr="00CA0D36" w14:paraId="0535ED0A" w14:textId="77777777" w:rsidTr="00F77263">
        <w:trPr>
          <w:trHeight w:val="97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4E1927E8"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361CBCE8"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0787F104"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2AF08E90" w14:textId="77777777" w:rsidTr="00F77263">
        <w:trPr>
          <w:trHeight w:val="557"/>
        </w:trPr>
        <w:tc>
          <w:tcPr>
            <w:tcW w:w="6086" w:type="dxa"/>
            <w:tcBorders>
              <w:top w:val="nil"/>
              <w:left w:val="single" w:sz="8" w:space="0" w:color="auto"/>
              <w:bottom w:val="single" w:sz="4" w:space="0" w:color="auto"/>
              <w:right w:val="single" w:sz="4" w:space="0" w:color="auto"/>
            </w:tcBorders>
            <w:vAlign w:val="center"/>
            <w:hideMark/>
          </w:tcPr>
          <w:p w14:paraId="00D35029"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DISTRIBUCION DE RECURSOS PARA PAGOS POR MENORES TARIFAS SECTOR ELECTRICO</w:t>
            </w:r>
          </w:p>
        </w:tc>
        <w:tc>
          <w:tcPr>
            <w:tcW w:w="1701" w:type="dxa"/>
            <w:tcBorders>
              <w:top w:val="nil"/>
              <w:left w:val="nil"/>
              <w:bottom w:val="single" w:sz="4" w:space="0" w:color="auto"/>
              <w:right w:val="single" w:sz="4" w:space="0" w:color="auto"/>
            </w:tcBorders>
            <w:noWrap/>
            <w:vAlign w:val="center"/>
            <w:hideMark/>
          </w:tcPr>
          <w:p w14:paraId="45B6D8D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1.857.017 </w:t>
            </w:r>
          </w:p>
        </w:tc>
        <w:tc>
          <w:tcPr>
            <w:tcW w:w="1559" w:type="dxa"/>
            <w:tcBorders>
              <w:top w:val="single" w:sz="4" w:space="0" w:color="auto"/>
              <w:left w:val="nil"/>
              <w:bottom w:val="single" w:sz="4" w:space="0" w:color="auto"/>
              <w:right w:val="single" w:sz="4" w:space="0" w:color="auto"/>
            </w:tcBorders>
            <w:noWrap/>
            <w:vAlign w:val="center"/>
            <w:hideMark/>
          </w:tcPr>
          <w:p w14:paraId="12AA50F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1.829.966 </w:t>
            </w:r>
          </w:p>
        </w:tc>
      </w:tr>
      <w:tr w:rsidR="00037C13" w:rsidRPr="00CA0D36" w14:paraId="75314101" w14:textId="77777777" w:rsidTr="00F77263">
        <w:trPr>
          <w:trHeight w:val="703"/>
        </w:trPr>
        <w:tc>
          <w:tcPr>
            <w:tcW w:w="6086" w:type="dxa"/>
            <w:tcBorders>
              <w:top w:val="nil"/>
              <w:left w:val="single" w:sz="8" w:space="0" w:color="auto"/>
              <w:bottom w:val="single" w:sz="4" w:space="0" w:color="auto"/>
              <w:right w:val="single" w:sz="4" w:space="0" w:color="auto"/>
            </w:tcBorders>
            <w:vAlign w:val="center"/>
            <w:hideMark/>
          </w:tcPr>
          <w:p w14:paraId="6999EFB2"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APOYO PARA CONSTRUCCION DE PROYECTO DE INFRAESTRUCTURA ELECTRICA EN  LAS ZONAS NO INTERCONECTADAS EN EL TERRITORIO NACIONAL</w:t>
            </w:r>
          </w:p>
        </w:tc>
        <w:tc>
          <w:tcPr>
            <w:tcW w:w="1701" w:type="dxa"/>
            <w:tcBorders>
              <w:top w:val="nil"/>
              <w:left w:val="nil"/>
              <w:bottom w:val="single" w:sz="4" w:space="0" w:color="auto"/>
              <w:right w:val="single" w:sz="4" w:space="0" w:color="auto"/>
            </w:tcBorders>
            <w:noWrap/>
            <w:vAlign w:val="center"/>
            <w:hideMark/>
          </w:tcPr>
          <w:p w14:paraId="518D612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105.726 </w:t>
            </w:r>
          </w:p>
        </w:tc>
        <w:tc>
          <w:tcPr>
            <w:tcW w:w="1559" w:type="dxa"/>
            <w:tcBorders>
              <w:top w:val="nil"/>
              <w:left w:val="nil"/>
              <w:bottom w:val="single" w:sz="4" w:space="0" w:color="auto"/>
              <w:right w:val="single" w:sz="4" w:space="0" w:color="auto"/>
            </w:tcBorders>
            <w:noWrap/>
            <w:vAlign w:val="center"/>
            <w:hideMark/>
          </w:tcPr>
          <w:p w14:paraId="37D4AE5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105.726 </w:t>
            </w:r>
          </w:p>
        </w:tc>
      </w:tr>
      <w:tr w:rsidR="00037C13" w:rsidRPr="00CA0D36" w14:paraId="2E32D940" w14:textId="77777777" w:rsidTr="00F77263">
        <w:trPr>
          <w:trHeight w:val="699"/>
        </w:trPr>
        <w:tc>
          <w:tcPr>
            <w:tcW w:w="6086" w:type="dxa"/>
            <w:tcBorders>
              <w:top w:val="nil"/>
              <w:left w:val="single" w:sz="8" w:space="0" w:color="auto"/>
              <w:bottom w:val="nil"/>
              <w:right w:val="single" w:sz="4" w:space="0" w:color="auto"/>
            </w:tcBorders>
            <w:vAlign w:val="center"/>
            <w:hideMark/>
          </w:tcPr>
          <w:p w14:paraId="7D97B7CC"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APOYO Y FINACIACIÓN DE PROGRAMAS DE FUENTES NO CONVENCIONALES DE ENERGÍA Y GESTIÓN EFICIENTE DE ENERGÍA A NIVEL NACIONAL</w:t>
            </w:r>
          </w:p>
        </w:tc>
        <w:tc>
          <w:tcPr>
            <w:tcW w:w="1701" w:type="dxa"/>
            <w:tcBorders>
              <w:top w:val="nil"/>
              <w:left w:val="nil"/>
              <w:bottom w:val="single" w:sz="4" w:space="0" w:color="auto"/>
              <w:right w:val="single" w:sz="4" w:space="0" w:color="auto"/>
            </w:tcBorders>
            <w:noWrap/>
            <w:vAlign w:val="center"/>
            <w:hideMark/>
          </w:tcPr>
          <w:p w14:paraId="407317CD"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34.000 </w:t>
            </w:r>
          </w:p>
        </w:tc>
        <w:tc>
          <w:tcPr>
            <w:tcW w:w="1559" w:type="dxa"/>
            <w:tcBorders>
              <w:top w:val="nil"/>
              <w:left w:val="nil"/>
              <w:bottom w:val="single" w:sz="4" w:space="0" w:color="auto"/>
              <w:right w:val="single" w:sz="4" w:space="0" w:color="auto"/>
            </w:tcBorders>
            <w:noWrap/>
            <w:vAlign w:val="center"/>
            <w:hideMark/>
          </w:tcPr>
          <w:p w14:paraId="1A64F5B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34.000 </w:t>
            </w:r>
          </w:p>
        </w:tc>
      </w:tr>
      <w:tr w:rsidR="00037C13" w:rsidRPr="00CA0D36" w14:paraId="342FADAA" w14:textId="77777777" w:rsidTr="00F77263">
        <w:trPr>
          <w:trHeight w:val="461"/>
        </w:trPr>
        <w:tc>
          <w:tcPr>
            <w:tcW w:w="6086" w:type="dxa"/>
            <w:tcBorders>
              <w:top w:val="single" w:sz="4" w:space="0" w:color="auto"/>
              <w:left w:val="single" w:sz="8" w:space="0" w:color="auto"/>
              <w:bottom w:val="single" w:sz="4" w:space="0" w:color="auto"/>
              <w:right w:val="single" w:sz="4" w:space="0" w:color="auto"/>
            </w:tcBorders>
            <w:vAlign w:val="center"/>
            <w:hideMark/>
          </w:tcPr>
          <w:p w14:paraId="6FC54470"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APOYO ELECTRIFICACION RURAL EN ZONAS INTERCONECTADAS EN EL TERRITORIO NACIONAL</w:t>
            </w:r>
          </w:p>
        </w:tc>
        <w:tc>
          <w:tcPr>
            <w:tcW w:w="1701" w:type="dxa"/>
            <w:tcBorders>
              <w:top w:val="nil"/>
              <w:left w:val="nil"/>
              <w:bottom w:val="single" w:sz="4" w:space="0" w:color="auto"/>
              <w:right w:val="single" w:sz="4" w:space="0" w:color="auto"/>
            </w:tcBorders>
            <w:noWrap/>
            <w:vAlign w:val="center"/>
            <w:hideMark/>
          </w:tcPr>
          <w:p w14:paraId="7DDF74DE"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146.250 </w:t>
            </w:r>
          </w:p>
        </w:tc>
        <w:tc>
          <w:tcPr>
            <w:tcW w:w="1559" w:type="dxa"/>
            <w:tcBorders>
              <w:top w:val="nil"/>
              <w:left w:val="nil"/>
              <w:bottom w:val="single" w:sz="4" w:space="0" w:color="auto"/>
              <w:right w:val="single" w:sz="4" w:space="0" w:color="auto"/>
            </w:tcBorders>
            <w:noWrap/>
            <w:vAlign w:val="center"/>
            <w:hideMark/>
          </w:tcPr>
          <w:p w14:paraId="0093765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146.250 </w:t>
            </w:r>
          </w:p>
        </w:tc>
      </w:tr>
      <w:tr w:rsidR="00037C13" w:rsidRPr="00CA0D36" w14:paraId="52C07F88" w14:textId="77777777" w:rsidTr="00F77263">
        <w:trPr>
          <w:trHeight w:val="549"/>
        </w:trPr>
        <w:tc>
          <w:tcPr>
            <w:tcW w:w="6086" w:type="dxa"/>
            <w:tcBorders>
              <w:top w:val="nil"/>
              <w:left w:val="single" w:sz="8" w:space="0" w:color="auto"/>
              <w:bottom w:val="single" w:sz="4" w:space="0" w:color="auto"/>
              <w:right w:val="single" w:sz="4" w:space="0" w:color="auto"/>
            </w:tcBorders>
            <w:vAlign w:val="center"/>
            <w:hideMark/>
          </w:tcPr>
          <w:p w14:paraId="2426263B"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DISTRIBUCION DE SUBSIDIOS PARA USUARIOS UBICADOS EN AREAS ESPECIALES DEL SISTEMA INTERCONECTADO NACIONAL – SECTOR ELECTRICO</w:t>
            </w:r>
          </w:p>
        </w:tc>
        <w:tc>
          <w:tcPr>
            <w:tcW w:w="1701" w:type="dxa"/>
            <w:tcBorders>
              <w:top w:val="nil"/>
              <w:left w:val="nil"/>
              <w:bottom w:val="single" w:sz="4" w:space="0" w:color="auto"/>
              <w:right w:val="single" w:sz="4" w:space="0" w:color="auto"/>
            </w:tcBorders>
            <w:noWrap/>
            <w:vAlign w:val="center"/>
            <w:hideMark/>
          </w:tcPr>
          <w:p w14:paraId="669571BF"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137.219 </w:t>
            </w:r>
          </w:p>
        </w:tc>
        <w:tc>
          <w:tcPr>
            <w:tcW w:w="1559" w:type="dxa"/>
            <w:tcBorders>
              <w:top w:val="nil"/>
              <w:left w:val="nil"/>
              <w:bottom w:val="single" w:sz="4" w:space="0" w:color="auto"/>
              <w:right w:val="single" w:sz="4" w:space="0" w:color="auto"/>
            </w:tcBorders>
            <w:noWrap/>
            <w:vAlign w:val="center"/>
            <w:hideMark/>
          </w:tcPr>
          <w:p w14:paraId="0E399973"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137.219 </w:t>
            </w:r>
          </w:p>
        </w:tc>
      </w:tr>
      <w:tr w:rsidR="00037C13" w:rsidRPr="00CA0D36" w14:paraId="43C16E85" w14:textId="77777777" w:rsidTr="00F77263">
        <w:trPr>
          <w:trHeight w:val="563"/>
        </w:trPr>
        <w:tc>
          <w:tcPr>
            <w:tcW w:w="6086" w:type="dxa"/>
            <w:tcBorders>
              <w:top w:val="nil"/>
              <w:left w:val="single" w:sz="8" w:space="0" w:color="auto"/>
              <w:bottom w:val="single" w:sz="4" w:space="0" w:color="auto"/>
              <w:right w:val="single" w:sz="4" w:space="0" w:color="auto"/>
            </w:tcBorders>
            <w:vAlign w:val="center"/>
            <w:hideMark/>
          </w:tcPr>
          <w:p w14:paraId="3DE96B6F"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NORMALIZACION DEL SERVICIO DE ENERGIA ELECTRICA EN BARRIOS SUBNORMALES DE LOS MUNICIPIOS DEL SISTEMA INTERCONECTADO NACIONAL</w:t>
            </w:r>
          </w:p>
        </w:tc>
        <w:tc>
          <w:tcPr>
            <w:tcW w:w="1701" w:type="dxa"/>
            <w:tcBorders>
              <w:top w:val="nil"/>
              <w:left w:val="nil"/>
              <w:bottom w:val="single" w:sz="4" w:space="0" w:color="auto"/>
              <w:right w:val="single" w:sz="4" w:space="0" w:color="auto"/>
            </w:tcBorders>
            <w:noWrap/>
            <w:vAlign w:val="center"/>
            <w:hideMark/>
          </w:tcPr>
          <w:p w14:paraId="3ECB51C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250 </w:t>
            </w:r>
          </w:p>
        </w:tc>
        <w:tc>
          <w:tcPr>
            <w:tcW w:w="1559" w:type="dxa"/>
            <w:tcBorders>
              <w:top w:val="nil"/>
              <w:left w:val="nil"/>
              <w:bottom w:val="single" w:sz="4" w:space="0" w:color="auto"/>
              <w:right w:val="single" w:sz="4" w:space="0" w:color="auto"/>
            </w:tcBorders>
            <w:noWrap/>
            <w:vAlign w:val="center"/>
            <w:hideMark/>
          </w:tcPr>
          <w:p w14:paraId="190DDC1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250 </w:t>
            </w:r>
          </w:p>
        </w:tc>
      </w:tr>
      <w:tr w:rsidR="00037C13" w:rsidRPr="00CA0D36" w14:paraId="4376FBC8" w14:textId="77777777" w:rsidTr="00F77263">
        <w:trPr>
          <w:trHeight w:val="567"/>
        </w:trPr>
        <w:tc>
          <w:tcPr>
            <w:tcW w:w="6086" w:type="dxa"/>
            <w:tcBorders>
              <w:top w:val="nil"/>
              <w:left w:val="single" w:sz="8" w:space="0" w:color="auto"/>
              <w:bottom w:val="single" w:sz="4" w:space="0" w:color="auto"/>
              <w:right w:val="single" w:sz="4" w:space="0" w:color="auto"/>
            </w:tcBorders>
            <w:vAlign w:val="center"/>
            <w:hideMark/>
          </w:tcPr>
          <w:p w14:paraId="6EB9AA12"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APOYO AL MEJORAMIENTO DEL DESEMPEÑO ENERGÉTICO EN LA REGIÓN CARIBE NACIONAL</w:t>
            </w:r>
          </w:p>
        </w:tc>
        <w:tc>
          <w:tcPr>
            <w:tcW w:w="1701" w:type="dxa"/>
            <w:tcBorders>
              <w:top w:val="nil"/>
              <w:left w:val="nil"/>
              <w:bottom w:val="single" w:sz="4" w:space="0" w:color="auto"/>
              <w:right w:val="single" w:sz="4" w:space="0" w:color="auto"/>
            </w:tcBorders>
            <w:noWrap/>
            <w:vAlign w:val="center"/>
            <w:hideMark/>
          </w:tcPr>
          <w:p w14:paraId="63BE78D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1.600 </w:t>
            </w:r>
          </w:p>
        </w:tc>
        <w:tc>
          <w:tcPr>
            <w:tcW w:w="1559" w:type="dxa"/>
            <w:tcBorders>
              <w:top w:val="nil"/>
              <w:left w:val="nil"/>
              <w:bottom w:val="single" w:sz="4" w:space="0" w:color="auto"/>
              <w:right w:val="single" w:sz="4" w:space="0" w:color="auto"/>
            </w:tcBorders>
            <w:noWrap/>
            <w:vAlign w:val="center"/>
            <w:hideMark/>
          </w:tcPr>
          <w:p w14:paraId="1D2F87B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 </w:t>
            </w:r>
          </w:p>
        </w:tc>
      </w:tr>
      <w:tr w:rsidR="00037C13" w:rsidRPr="00CA0D36" w14:paraId="393E9D1C" w14:textId="77777777" w:rsidTr="00F77263">
        <w:trPr>
          <w:trHeight w:val="58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46A6023F"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Subtotal Energía</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69B0F583"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2.282.062 </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44C79F7F"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2.253.411 </w:t>
            </w:r>
          </w:p>
        </w:tc>
      </w:tr>
    </w:tbl>
    <w:p w14:paraId="3FF9E008" w14:textId="77777777" w:rsidR="002B2F4A" w:rsidRDefault="00037C13" w:rsidP="00037C13">
      <w:pPr>
        <w:spacing w:after="0" w:line="240" w:lineRule="auto"/>
        <w:jc w:val="center"/>
        <w:rPr>
          <w:rFonts w:ascii="Arial" w:hAnsi="Arial" w:cs="Arial"/>
          <w:sz w:val="16"/>
          <w:szCs w:val="16"/>
          <w:lang w:eastAsia="es-ES"/>
        </w:rPr>
      </w:pPr>
      <w:r w:rsidRPr="00037C13">
        <w:rPr>
          <w:rFonts w:ascii="Arial" w:hAnsi="Arial" w:cs="Arial"/>
          <w:sz w:val="16"/>
          <w:szCs w:val="16"/>
          <w:lang w:eastAsia="es-ES"/>
        </w:rPr>
        <w:t>Cifras en Millones de pesos</w:t>
      </w:r>
      <w:r w:rsidR="00D10189">
        <w:rPr>
          <w:rFonts w:ascii="Arial" w:hAnsi="Arial" w:cs="Arial"/>
          <w:sz w:val="16"/>
          <w:szCs w:val="16"/>
          <w:lang w:eastAsia="es-ES"/>
        </w:rPr>
        <w:t xml:space="preserve">  </w:t>
      </w:r>
    </w:p>
    <w:p w14:paraId="56A9D82A" w14:textId="4D7FEED2" w:rsidR="00037C13" w:rsidRPr="00037C13" w:rsidRDefault="00037C13" w:rsidP="00037C13">
      <w:pPr>
        <w:spacing w:after="0" w:line="240" w:lineRule="auto"/>
        <w:jc w:val="center"/>
        <w:rPr>
          <w:rFonts w:ascii="Arial" w:eastAsia="Calibri" w:hAnsi="Arial" w:cs="Arial"/>
          <w:sz w:val="16"/>
          <w:szCs w:val="16"/>
        </w:rPr>
      </w:pPr>
      <w:r w:rsidRPr="00037C13">
        <w:rPr>
          <w:rFonts w:ascii="Arial" w:eastAsia="Calibri" w:hAnsi="Arial" w:cs="Arial"/>
          <w:sz w:val="16"/>
          <w:szCs w:val="16"/>
        </w:rPr>
        <w:t>Fuente: SIIF – Nación MME</w:t>
      </w:r>
    </w:p>
    <w:p w14:paraId="4FCEDDA0" w14:textId="77777777" w:rsidR="00037C13" w:rsidRDefault="00037C13"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701"/>
        <w:gridCol w:w="1559"/>
      </w:tblGrid>
      <w:tr w:rsidR="00037C13" w:rsidRPr="00CA0D36" w14:paraId="1BE63BF8" w14:textId="77777777" w:rsidTr="00F77263">
        <w:trPr>
          <w:trHeight w:val="62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660A8722" w14:textId="77777777" w:rsidR="00037C13" w:rsidRPr="00CA0D36" w:rsidRDefault="00037C13" w:rsidP="00F77263">
            <w:pPr>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3CEF12B2"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3AAD0D5B"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5F99FE5C" w14:textId="77777777" w:rsidTr="00F77263">
        <w:trPr>
          <w:trHeight w:val="714"/>
        </w:trPr>
        <w:tc>
          <w:tcPr>
            <w:tcW w:w="6086" w:type="dxa"/>
            <w:tcBorders>
              <w:top w:val="single" w:sz="4" w:space="0" w:color="auto"/>
              <w:left w:val="single" w:sz="8" w:space="0" w:color="auto"/>
              <w:bottom w:val="single" w:sz="4" w:space="0" w:color="auto"/>
              <w:right w:val="single" w:sz="4" w:space="0" w:color="auto"/>
            </w:tcBorders>
            <w:vAlign w:val="center"/>
            <w:hideMark/>
          </w:tcPr>
          <w:p w14:paraId="6A975FC0"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MEJORAMIENTO DE LA IMAGEN Y PERCEPCIÓN DE LA INDUSTRIA MINERA PARA FACILITAR LA PUESTA EN MARCHA DE LOS PROYECTOS MINEROS EN EL TERRITORIO NACIONAL</w:t>
            </w:r>
          </w:p>
        </w:tc>
        <w:tc>
          <w:tcPr>
            <w:tcW w:w="1701" w:type="dxa"/>
            <w:tcBorders>
              <w:top w:val="nil"/>
              <w:left w:val="nil"/>
              <w:bottom w:val="single" w:sz="4" w:space="0" w:color="auto"/>
              <w:right w:val="single" w:sz="4" w:space="0" w:color="auto"/>
            </w:tcBorders>
            <w:noWrap/>
            <w:vAlign w:val="center"/>
            <w:hideMark/>
          </w:tcPr>
          <w:p w14:paraId="4C412D9A"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6.000 </w:t>
            </w:r>
          </w:p>
        </w:tc>
        <w:tc>
          <w:tcPr>
            <w:tcW w:w="1559" w:type="dxa"/>
            <w:tcBorders>
              <w:top w:val="nil"/>
              <w:left w:val="nil"/>
              <w:bottom w:val="single" w:sz="4" w:space="0" w:color="auto"/>
              <w:right w:val="single" w:sz="4" w:space="0" w:color="auto"/>
            </w:tcBorders>
            <w:noWrap/>
            <w:vAlign w:val="center"/>
            <w:hideMark/>
          </w:tcPr>
          <w:p w14:paraId="7B7F5983"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5.300 </w:t>
            </w:r>
          </w:p>
        </w:tc>
      </w:tr>
      <w:tr w:rsidR="00037C13" w:rsidRPr="00CA0D36" w14:paraId="03A76FB3" w14:textId="77777777" w:rsidTr="00F77263">
        <w:trPr>
          <w:trHeight w:val="705"/>
        </w:trPr>
        <w:tc>
          <w:tcPr>
            <w:tcW w:w="6086" w:type="dxa"/>
            <w:tcBorders>
              <w:top w:val="nil"/>
              <w:left w:val="single" w:sz="8" w:space="0" w:color="auto"/>
              <w:bottom w:val="single" w:sz="4" w:space="0" w:color="auto"/>
              <w:right w:val="single" w:sz="4" w:space="0" w:color="auto"/>
            </w:tcBorders>
            <w:vAlign w:val="center"/>
            <w:hideMark/>
          </w:tcPr>
          <w:p w14:paraId="31BFEE5B"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COMPETITIVIDAD EN LA INDUSTRIA MINERA EN LOS DEPARTAMENTOS DE CUNDINAMARCA, BOYACA Y NORTE DE SANTANDER</w:t>
            </w:r>
          </w:p>
        </w:tc>
        <w:tc>
          <w:tcPr>
            <w:tcW w:w="1701" w:type="dxa"/>
            <w:tcBorders>
              <w:top w:val="nil"/>
              <w:left w:val="nil"/>
              <w:bottom w:val="single" w:sz="4" w:space="0" w:color="auto"/>
              <w:right w:val="single" w:sz="4" w:space="0" w:color="auto"/>
            </w:tcBorders>
            <w:noWrap/>
            <w:vAlign w:val="center"/>
            <w:hideMark/>
          </w:tcPr>
          <w:p w14:paraId="2B27F83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5.000 </w:t>
            </w:r>
          </w:p>
        </w:tc>
        <w:tc>
          <w:tcPr>
            <w:tcW w:w="1559" w:type="dxa"/>
            <w:tcBorders>
              <w:top w:val="nil"/>
              <w:left w:val="nil"/>
              <w:bottom w:val="single" w:sz="4" w:space="0" w:color="auto"/>
              <w:right w:val="single" w:sz="4" w:space="0" w:color="auto"/>
            </w:tcBorders>
            <w:noWrap/>
            <w:vAlign w:val="center"/>
            <w:hideMark/>
          </w:tcPr>
          <w:p w14:paraId="376A4A0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5.000 </w:t>
            </w:r>
          </w:p>
        </w:tc>
      </w:tr>
      <w:tr w:rsidR="00037C13" w:rsidRPr="00CA0D36" w14:paraId="7453EBAC" w14:textId="77777777" w:rsidTr="00F77263">
        <w:trPr>
          <w:trHeight w:val="465"/>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4974E87D"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Subtotal Minería Empresarial </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2507E1AC"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11.000 </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3A694A4B"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10.300 </w:t>
            </w:r>
          </w:p>
        </w:tc>
      </w:tr>
    </w:tbl>
    <w:p w14:paraId="482C4972" w14:textId="187BBB24" w:rsidR="00037C13" w:rsidRDefault="00037C13" w:rsidP="00C02282">
      <w:pPr>
        <w:spacing w:after="0" w:line="240" w:lineRule="auto"/>
        <w:jc w:val="center"/>
        <w:rPr>
          <w:rFonts w:ascii="Arial" w:eastAsia="Calibri" w:hAnsi="Arial" w:cs="Arial"/>
          <w:sz w:val="16"/>
          <w:szCs w:val="16"/>
          <w:highlight w:val="yellow"/>
        </w:rPr>
      </w:pPr>
    </w:p>
    <w:p w14:paraId="5DC70F32" w14:textId="77777777" w:rsidR="002B2F4A" w:rsidRDefault="002B2F4A"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701"/>
        <w:gridCol w:w="1559"/>
      </w:tblGrid>
      <w:tr w:rsidR="00037C13" w:rsidRPr="00CA0D36" w14:paraId="4DC6F323" w14:textId="77777777" w:rsidTr="00F77263">
        <w:trPr>
          <w:trHeight w:val="60"/>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6B378E60"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lastRenderedPageBreak/>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4D5DD87C"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2446DE32"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47821802" w14:textId="77777777" w:rsidTr="00F77263">
        <w:trPr>
          <w:trHeight w:val="435"/>
        </w:trPr>
        <w:tc>
          <w:tcPr>
            <w:tcW w:w="6086" w:type="dxa"/>
            <w:tcBorders>
              <w:top w:val="nil"/>
              <w:left w:val="single" w:sz="8" w:space="0" w:color="auto"/>
              <w:bottom w:val="nil"/>
              <w:right w:val="single" w:sz="4" w:space="0" w:color="auto"/>
            </w:tcBorders>
            <w:vAlign w:val="center"/>
            <w:hideMark/>
          </w:tcPr>
          <w:p w14:paraId="646A70C9"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PREVENCIÓN Y MITIGACIÓN DEL DAÑO ANTIJURÍDICO EN EL MINISTERIO DE MINAS Y ENERGÍA EN EL NIVEL NACIONAL</w:t>
            </w:r>
          </w:p>
        </w:tc>
        <w:tc>
          <w:tcPr>
            <w:tcW w:w="1701" w:type="dxa"/>
            <w:tcBorders>
              <w:top w:val="nil"/>
              <w:left w:val="nil"/>
              <w:bottom w:val="single" w:sz="4" w:space="0" w:color="auto"/>
              <w:right w:val="single" w:sz="4" w:space="0" w:color="auto"/>
            </w:tcBorders>
            <w:noWrap/>
            <w:vAlign w:val="center"/>
            <w:hideMark/>
          </w:tcPr>
          <w:p w14:paraId="6275BE83"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1.700 </w:t>
            </w:r>
          </w:p>
        </w:tc>
        <w:tc>
          <w:tcPr>
            <w:tcW w:w="1559" w:type="dxa"/>
            <w:tcBorders>
              <w:top w:val="single" w:sz="4" w:space="0" w:color="auto"/>
              <w:left w:val="nil"/>
              <w:bottom w:val="single" w:sz="4" w:space="0" w:color="auto"/>
              <w:right w:val="single" w:sz="4" w:space="0" w:color="auto"/>
            </w:tcBorders>
            <w:noWrap/>
            <w:vAlign w:val="center"/>
            <w:hideMark/>
          </w:tcPr>
          <w:p w14:paraId="5A1A8C3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1.700 </w:t>
            </w:r>
          </w:p>
        </w:tc>
      </w:tr>
      <w:tr w:rsidR="00037C13" w:rsidRPr="00CA0D36" w14:paraId="5F3C3271" w14:textId="77777777" w:rsidTr="00F77263">
        <w:trPr>
          <w:trHeight w:val="276"/>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64DFF27F"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Subtotal Jurídica</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7E66CFF2"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1.700 </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494460A3"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1.700 </w:t>
            </w:r>
          </w:p>
        </w:tc>
      </w:tr>
    </w:tbl>
    <w:p w14:paraId="3A9B19BF" w14:textId="77777777" w:rsidR="00037C13" w:rsidRDefault="00037C13"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701"/>
        <w:gridCol w:w="1559"/>
      </w:tblGrid>
      <w:tr w:rsidR="00037C13" w:rsidRPr="00CA0D36" w14:paraId="126419E1" w14:textId="77777777" w:rsidTr="00F77263">
        <w:trPr>
          <w:trHeight w:val="581"/>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38D2BF9A"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080D4F4A"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01A78348"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6CC9B6F6" w14:textId="77777777" w:rsidTr="00F77263">
        <w:trPr>
          <w:trHeight w:val="581"/>
        </w:trPr>
        <w:tc>
          <w:tcPr>
            <w:tcW w:w="6086" w:type="dxa"/>
            <w:tcBorders>
              <w:top w:val="nil"/>
              <w:left w:val="single" w:sz="8" w:space="0" w:color="auto"/>
              <w:bottom w:val="single" w:sz="4" w:space="0" w:color="auto"/>
              <w:right w:val="single" w:sz="4" w:space="0" w:color="auto"/>
            </w:tcBorders>
            <w:vAlign w:val="center"/>
            <w:hideMark/>
          </w:tcPr>
          <w:p w14:paraId="25419379"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MANTENIMIENTO ADECUACION Y AMPLIACION DE LA INFRAESTRUCTURA PARA SEDES DEL MME , , BOGOTÁ</w:t>
            </w:r>
          </w:p>
        </w:tc>
        <w:tc>
          <w:tcPr>
            <w:tcW w:w="1701" w:type="dxa"/>
            <w:tcBorders>
              <w:top w:val="nil"/>
              <w:left w:val="nil"/>
              <w:bottom w:val="single" w:sz="4" w:space="0" w:color="auto"/>
              <w:right w:val="single" w:sz="4" w:space="0" w:color="auto"/>
            </w:tcBorders>
            <w:noWrap/>
            <w:vAlign w:val="center"/>
            <w:hideMark/>
          </w:tcPr>
          <w:p w14:paraId="5FC359EA"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c>
          <w:tcPr>
            <w:tcW w:w="1559" w:type="dxa"/>
            <w:tcBorders>
              <w:top w:val="single" w:sz="4" w:space="0" w:color="auto"/>
              <w:left w:val="nil"/>
              <w:bottom w:val="single" w:sz="4" w:space="0" w:color="auto"/>
              <w:right w:val="single" w:sz="4" w:space="0" w:color="auto"/>
            </w:tcBorders>
            <w:noWrap/>
            <w:vAlign w:val="center"/>
            <w:hideMark/>
          </w:tcPr>
          <w:p w14:paraId="645D5D1B"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186 </w:t>
            </w:r>
          </w:p>
        </w:tc>
      </w:tr>
      <w:tr w:rsidR="00037C13" w:rsidRPr="00CA0D36" w14:paraId="1C047A13" w14:textId="77777777" w:rsidTr="00F77263">
        <w:trPr>
          <w:trHeight w:val="699"/>
        </w:trPr>
        <w:tc>
          <w:tcPr>
            <w:tcW w:w="6086" w:type="dxa"/>
            <w:tcBorders>
              <w:top w:val="nil"/>
              <w:left w:val="single" w:sz="8" w:space="0" w:color="auto"/>
              <w:bottom w:val="nil"/>
              <w:right w:val="single" w:sz="4" w:space="0" w:color="auto"/>
            </w:tcBorders>
            <w:vAlign w:val="center"/>
            <w:hideMark/>
          </w:tcPr>
          <w:p w14:paraId="117CF9A0"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INFRAESTRUCTURA DE LAS TECNOLOGIAS DE INFORMACIÓN Y COMUNICACIONES DEL MINISTERIO DE MINAS Y ENERGIA A NIVEL NACIONAL</w:t>
            </w:r>
          </w:p>
        </w:tc>
        <w:tc>
          <w:tcPr>
            <w:tcW w:w="1701" w:type="dxa"/>
            <w:tcBorders>
              <w:top w:val="nil"/>
              <w:left w:val="nil"/>
              <w:bottom w:val="single" w:sz="4" w:space="0" w:color="auto"/>
              <w:right w:val="single" w:sz="4" w:space="0" w:color="auto"/>
            </w:tcBorders>
            <w:noWrap/>
            <w:vAlign w:val="center"/>
            <w:hideMark/>
          </w:tcPr>
          <w:p w14:paraId="02812527"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4.500 </w:t>
            </w:r>
          </w:p>
        </w:tc>
        <w:tc>
          <w:tcPr>
            <w:tcW w:w="1559" w:type="dxa"/>
            <w:tcBorders>
              <w:top w:val="nil"/>
              <w:left w:val="nil"/>
              <w:bottom w:val="single" w:sz="4" w:space="0" w:color="auto"/>
              <w:right w:val="single" w:sz="4" w:space="0" w:color="auto"/>
            </w:tcBorders>
            <w:noWrap/>
            <w:vAlign w:val="center"/>
            <w:hideMark/>
          </w:tcPr>
          <w:p w14:paraId="2F7AFB3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4.470 </w:t>
            </w:r>
          </w:p>
        </w:tc>
      </w:tr>
      <w:tr w:rsidR="00037C13" w:rsidRPr="00CA0D36" w14:paraId="55D43CC9" w14:textId="77777777" w:rsidTr="00F77263">
        <w:trPr>
          <w:trHeight w:val="695"/>
        </w:trPr>
        <w:tc>
          <w:tcPr>
            <w:tcW w:w="6086" w:type="dxa"/>
            <w:tcBorders>
              <w:top w:val="single" w:sz="4" w:space="0" w:color="auto"/>
              <w:left w:val="single" w:sz="8" w:space="0" w:color="auto"/>
              <w:bottom w:val="single" w:sz="4" w:space="0" w:color="auto"/>
              <w:right w:val="single" w:sz="4" w:space="0" w:color="auto"/>
            </w:tcBorders>
            <w:vAlign w:val="center"/>
            <w:hideMark/>
          </w:tcPr>
          <w:p w14:paraId="72CBF681"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OPTIMIZACION Y ORGANIZACION ARCHIVISTICA DE DOCUMENTOS DEL ARCHIVOCENTRAL DEL MINISTERIO DE MINAS Y ENERGIA , BOGOTA D.C.</w:t>
            </w:r>
          </w:p>
        </w:tc>
        <w:tc>
          <w:tcPr>
            <w:tcW w:w="1701" w:type="dxa"/>
            <w:tcBorders>
              <w:top w:val="nil"/>
              <w:left w:val="nil"/>
              <w:bottom w:val="single" w:sz="4" w:space="0" w:color="auto"/>
              <w:right w:val="single" w:sz="4" w:space="0" w:color="auto"/>
            </w:tcBorders>
            <w:noWrap/>
            <w:vAlign w:val="center"/>
            <w:hideMark/>
          </w:tcPr>
          <w:p w14:paraId="15BC9745"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800 </w:t>
            </w:r>
          </w:p>
        </w:tc>
        <w:tc>
          <w:tcPr>
            <w:tcW w:w="1559" w:type="dxa"/>
            <w:tcBorders>
              <w:top w:val="nil"/>
              <w:left w:val="nil"/>
              <w:bottom w:val="single" w:sz="4" w:space="0" w:color="auto"/>
              <w:right w:val="single" w:sz="4" w:space="0" w:color="auto"/>
            </w:tcBorders>
            <w:noWrap/>
            <w:vAlign w:val="center"/>
            <w:hideMark/>
          </w:tcPr>
          <w:p w14:paraId="7F03F4D3"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800 </w:t>
            </w:r>
          </w:p>
        </w:tc>
      </w:tr>
      <w:tr w:rsidR="00037C13" w:rsidRPr="00CA0D36" w14:paraId="58197C02" w14:textId="77777777" w:rsidTr="00F77263">
        <w:trPr>
          <w:trHeight w:val="690"/>
        </w:trPr>
        <w:tc>
          <w:tcPr>
            <w:tcW w:w="6086" w:type="dxa"/>
            <w:tcBorders>
              <w:top w:val="nil"/>
              <w:left w:val="single" w:sz="8" w:space="0" w:color="auto"/>
              <w:bottom w:val="single" w:sz="4" w:space="0" w:color="auto"/>
              <w:right w:val="single" w:sz="4" w:space="0" w:color="auto"/>
            </w:tcBorders>
            <w:vAlign w:val="center"/>
            <w:hideMark/>
          </w:tcPr>
          <w:p w14:paraId="4A2CC7DB"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IMPLEMENTACIÓN SISTEMA GESTION DE DOCUMENTOS ELECTRONICOS DE ARCHIVO EN EL MINISTERIO DE MINAS Y ENERGÍA</w:t>
            </w:r>
          </w:p>
        </w:tc>
        <w:tc>
          <w:tcPr>
            <w:tcW w:w="1701" w:type="dxa"/>
            <w:tcBorders>
              <w:top w:val="nil"/>
              <w:left w:val="nil"/>
              <w:bottom w:val="single" w:sz="4" w:space="0" w:color="auto"/>
              <w:right w:val="single" w:sz="4" w:space="0" w:color="auto"/>
            </w:tcBorders>
            <w:noWrap/>
            <w:vAlign w:val="center"/>
            <w:hideMark/>
          </w:tcPr>
          <w:p w14:paraId="32FBF86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800 </w:t>
            </w:r>
          </w:p>
        </w:tc>
        <w:tc>
          <w:tcPr>
            <w:tcW w:w="1559" w:type="dxa"/>
            <w:tcBorders>
              <w:top w:val="nil"/>
              <w:left w:val="nil"/>
              <w:bottom w:val="single" w:sz="4" w:space="0" w:color="auto"/>
              <w:right w:val="single" w:sz="4" w:space="0" w:color="auto"/>
            </w:tcBorders>
            <w:noWrap/>
            <w:vAlign w:val="center"/>
            <w:hideMark/>
          </w:tcPr>
          <w:p w14:paraId="0776153D"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162 </w:t>
            </w:r>
          </w:p>
        </w:tc>
      </w:tr>
      <w:tr w:rsidR="00037C13" w:rsidRPr="00CA0D36" w14:paraId="24CF3C61" w14:textId="77777777" w:rsidTr="00F77263">
        <w:trPr>
          <w:trHeight w:val="573"/>
        </w:trPr>
        <w:tc>
          <w:tcPr>
            <w:tcW w:w="6086" w:type="dxa"/>
            <w:tcBorders>
              <w:top w:val="nil"/>
              <w:left w:val="single" w:sz="8" w:space="0" w:color="auto"/>
              <w:bottom w:val="single" w:sz="4" w:space="0" w:color="auto"/>
              <w:right w:val="single" w:sz="4" w:space="0" w:color="auto"/>
            </w:tcBorders>
            <w:vAlign w:val="center"/>
            <w:hideMark/>
          </w:tcPr>
          <w:p w14:paraId="64B73111"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CULTURA ORGANIZACIONAL DEL MINISTERIO DE MINAS Y ENERGÍA EN LA CIUDAD DE BOGOTÁ</w:t>
            </w:r>
          </w:p>
        </w:tc>
        <w:tc>
          <w:tcPr>
            <w:tcW w:w="1701" w:type="dxa"/>
            <w:tcBorders>
              <w:top w:val="nil"/>
              <w:left w:val="nil"/>
              <w:bottom w:val="single" w:sz="4" w:space="0" w:color="auto"/>
              <w:right w:val="single" w:sz="4" w:space="0" w:color="auto"/>
            </w:tcBorders>
            <w:noWrap/>
            <w:vAlign w:val="center"/>
            <w:hideMark/>
          </w:tcPr>
          <w:p w14:paraId="62E238EF"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600 </w:t>
            </w:r>
          </w:p>
        </w:tc>
        <w:tc>
          <w:tcPr>
            <w:tcW w:w="1559" w:type="dxa"/>
            <w:tcBorders>
              <w:top w:val="nil"/>
              <w:left w:val="nil"/>
              <w:bottom w:val="single" w:sz="4" w:space="0" w:color="auto"/>
              <w:right w:val="single" w:sz="4" w:space="0" w:color="auto"/>
            </w:tcBorders>
            <w:noWrap/>
            <w:vAlign w:val="center"/>
            <w:hideMark/>
          </w:tcPr>
          <w:p w14:paraId="1BAF07E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600 </w:t>
            </w:r>
          </w:p>
        </w:tc>
      </w:tr>
      <w:tr w:rsidR="00037C13" w:rsidRPr="00CA0D36" w14:paraId="49D88FD7" w14:textId="77777777" w:rsidTr="00F77263">
        <w:trPr>
          <w:trHeight w:val="695"/>
        </w:trPr>
        <w:tc>
          <w:tcPr>
            <w:tcW w:w="6086" w:type="dxa"/>
            <w:tcBorders>
              <w:top w:val="nil"/>
              <w:left w:val="single" w:sz="8" w:space="0" w:color="auto"/>
              <w:bottom w:val="single" w:sz="4" w:space="0" w:color="auto"/>
              <w:right w:val="single" w:sz="4" w:space="0" w:color="auto"/>
            </w:tcBorders>
            <w:vAlign w:val="center"/>
            <w:hideMark/>
          </w:tcPr>
          <w:p w14:paraId="3D4C1AB3"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IMPLEMENTAR Y MANTENER ACTUALIZADA LA INFRAESTRUCTURA TIC DEL SECTOR MINERO ENERGÉTICO  DE ACUERDO AL PETIC SECTORIAL – BOGOTÁ</w:t>
            </w:r>
          </w:p>
        </w:tc>
        <w:tc>
          <w:tcPr>
            <w:tcW w:w="1701" w:type="dxa"/>
            <w:tcBorders>
              <w:top w:val="nil"/>
              <w:left w:val="nil"/>
              <w:bottom w:val="single" w:sz="4" w:space="0" w:color="auto"/>
              <w:right w:val="single" w:sz="4" w:space="0" w:color="auto"/>
            </w:tcBorders>
            <w:noWrap/>
            <w:vAlign w:val="center"/>
            <w:hideMark/>
          </w:tcPr>
          <w:p w14:paraId="2BA9071E"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3.800 </w:t>
            </w:r>
          </w:p>
        </w:tc>
        <w:tc>
          <w:tcPr>
            <w:tcW w:w="1559" w:type="dxa"/>
            <w:tcBorders>
              <w:top w:val="nil"/>
              <w:left w:val="nil"/>
              <w:bottom w:val="single" w:sz="4" w:space="0" w:color="auto"/>
              <w:right w:val="single" w:sz="4" w:space="0" w:color="auto"/>
            </w:tcBorders>
            <w:noWrap/>
            <w:vAlign w:val="center"/>
            <w:hideMark/>
          </w:tcPr>
          <w:p w14:paraId="0E82C552"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3.800 </w:t>
            </w:r>
          </w:p>
        </w:tc>
      </w:tr>
      <w:tr w:rsidR="00037C13" w:rsidRPr="00CA0D36" w14:paraId="610F7AF6" w14:textId="77777777" w:rsidTr="00F77263">
        <w:trPr>
          <w:trHeight w:val="563"/>
        </w:trPr>
        <w:tc>
          <w:tcPr>
            <w:tcW w:w="6086" w:type="dxa"/>
            <w:tcBorders>
              <w:top w:val="nil"/>
              <w:left w:val="single" w:sz="8" w:space="0" w:color="auto"/>
              <w:bottom w:val="single" w:sz="4" w:space="0" w:color="auto"/>
              <w:right w:val="single" w:sz="4" w:space="0" w:color="auto"/>
            </w:tcBorders>
            <w:vAlign w:val="center"/>
            <w:hideMark/>
          </w:tcPr>
          <w:p w14:paraId="1412F5AA"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DEL SERVICIO QUE SE PRESTA AL CIUDADANO – CLIENTE DEL MINISTERIO DE MINAS Y ENERGÍA A NIVEL NACIONAL.</w:t>
            </w:r>
          </w:p>
        </w:tc>
        <w:tc>
          <w:tcPr>
            <w:tcW w:w="1701" w:type="dxa"/>
            <w:tcBorders>
              <w:top w:val="nil"/>
              <w:left w:val="nil"/>
              <w:bottom w:val="single" w:sz="4" w:space="0" w:color="auto"/>
              <w:right w:val="single" w:sz="4" w:space="0" w:color="auto"/>
            </w:tcBorders>
            <w:noWrap/>
            <w:vAlign w:val="center"/>
            <w:hideMark/>
          </w:tcPr>
          <w:p w14:paraId="366723F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2.200 </w:t>
            </w:r>
          </w:p>
        </w:tc>
        <w:tc>
          <w:tcPr>
            <w:tcW w:w="1559" w:type="dxa"/>
            <w:tcBorders>
              <w:top w:val="nil"/>
              <w:left w:val="nil"/>
              <w:bottom w:val="single" w:sz="4" w:space="0" w:color="auto"/>
              <w:right w:val="single" w:sz="4" w:space="0" w:color="auto"/>
            </w:tcBorders>
            <w:noWrap/>
            <w:vAlign w:val="center"/>
            <w:hideMark/>
          </w:tcPr>
          <w:p w14:paraId="2DDBB730"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1.843 </w:t>
            </w:r>
          </w:p>
        </w:tc>
      </w:tr>
      <w:tr w:rsidR="00037C13" w:rsidRPr="00CA0D36" w14:paraId="488876F2" w14:textId="77777777" w:rsidTr="00F77263">
        <w:trPr>
          <w:trHeight w:val="345"/>
        </w:trPr>
        <w:tc>
          <w:tcPr>
            <w:tcW w:w="6086" w:type="dxa"/>
            <w:tcBorders>
              <w:top w:val="nil"/>
              <w:left w:val="single" w:sz="8" w:space="0" w:color="auto"/>
              <w:bottom w:val="single" w:sz="8" w:space="0" w:color="auto"/>
              <w:right w:val="single" w:sz="4" w:space="0" w:color="auto"/>
            </w:tcBorders>
            <w:shd w:val="clear" w:color="auto" w:fill="244062"/>
            <w:vAlign w:val="center"/>
            <w:hideMark/>
          </w:tcPr>
          <w:p w14:paraId="29ED16FF"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Subtotal administrativos</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0797F022"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13.700 </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6AE4045E"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11.861 </w:t>
            </w:r>
          </w:p>
        </w:tc>
      </w:tr>
    </w:tbl>
    <w:p w14:paraId="7E99D866" w14:textId="77777777" w:rsidR="00037C13" w:rsidRPr="00037C13" w:rsidRDefault="00037C13" w:rsidP="00037C13">
      <w:pPr>
        <w:spacing w:after="0" w:line="240" w:lineRule="auto"/>
        <w:jc w:val="center"/>
        <w:rPr>
          <w:rFonts w:ascii="Arial" w:eastAsia="Calibri" w:hAnsi="Arial" w:cs="Arial"/>
          <w:sz w:val="16"/>
          <w:szCs w:val="16"/>
        </w:rPr>
      </w:pPr>
      <w:r w:rsidRPr="00037C13">
        <w:rPr>
          <w:rFonts w:ascii="Arial" w:hAnsi="Arial" w:cs="Arial"/>
          <w:sz w:val="16"/>
          <w:szCs w:val="16"/>
          <w:lang w:eastAsia="es-ES"/>
        </w:rPr>
        <w:t>Cifras en Millones de pesos</w:t>
      </w:r>
    </w:p>
    <w:p w14:paraId="6F0FB112" w14:textId="77777777" w:rsidR="00037C13" w:rsidRPr="00037C13" w:rsidRDefault="00037C13" w:rsidP="00037C13">
      <w:pPr>
        <w:spacing w:after="0" w:line="240" w:lineRule="auto"/>
        <w:jc w:val="center"/>
        <w:rPr>
          <w:rFonts w:ascii="Arial" w:eastAsia="Calibri" w:hAnsi="Arial" w:cs="Arial"/>
          <w:sz w:val="16"/>
          <w:szCs w:val="16"/>
        </w:rPr>
      </w:pPr>
      <w:r w:rsidRPr="00037C13">
        <w:rPr>
          <w:rFonts w:ascii="Arial" w:eastAsia="Calibri" w:hAnsi="Arial" w:cs="Arial"/>
          <w:sz w:val="16"/>
          <w:szCs w:val="16"/>
        </w:rPr>
        <w:t>Fuente: SIIF – Nación MME</w:t>
      </w:r>
    </w:p>
    <w:p w14:paraId="4CD69DB2" w14:textId="77777777" w:rsidR="00037C13" w:rsidRDefault="00037C13" w:rsidP="00C02282">
      <w:pPr>
        <w:spacing w:after="0" w:line="240" w:lineRule="auto"/>
        <w:jc w:val="center"/>
        <w:rPr>
          <w:rFonts w:ascii="Arial" w:eastAsia="Calibri" w:hAnsi="Arial" w:cs="Arial"/>
          <w:sz w:val="16"/>
          <w:szCs w:val="16"/>
          <w:highlight w:val="yellow"/>
        </w:rPr>
      </w:pPr>
    </w:p>
    <w:p w14:paraId="606C98B8" w14:textId="77777777" w:rsidR="00037C13" w:rsidRDefault="00037C13" w:rsidP="00C02282">
      <w:pPr>
        <w:spacing w:after="0" w:line="240" w:lineRule="auto"/>
        <w:jc w:val="center"/>
        <w:rPr>
          <w:rFonts w:ascii="Arial" w:eastAsia="Calibri" w:hAnsi="Arial" w:cs="Arial"/>
          <w:sz w:val="16"/>
          <w:szCs w:val="16"/>
          <w:highlight w:val="yellow"/>
        </w:rPr>
      </w:pPr>
    </w:p>
    <w:tbl>
      <w:tblPr>
        <w:tblW w:w="9302" w:type="dxa"/>
        <w:tblInd w:w="-18" w:type="dxa"/>
        <w:tblCellMar>
          <w:left w:w="70" w:type="dxa"/>
          <w:right w:w="70" w:type="dxa"/>
        </w:tblCellMar>
        <w:tblLook w:val="04A0" w:firstRow="1" w:lastRow="0" w:firstColumn="1" w:lastColumn="0" w:noHBand="0" w:noVBand="1"/>
      </w:tblPr>
      <w:tblGrid>
        <w:gridCol w:w="4334"/>
        <w:gridCol w:w="3125"/>
        <w:gridCol w:w="1843"/>
      </w:tblGrid>
      <w:tr w:rsidR="002B2F4A" w:rsidRPr="00CA0D36" w14:paraId="05063066" w14:textId="77777777" w:rsidTr="008B5E15">
        <w:trPr>
          <w:trHeight w:val="975"/>
        </w:trPr>
        <w:tc>
          <w:tcPr>
            <w:tcW w:w="4334" w:type="dxa"/>
            <w:tcBorders>
              <w:top w:val="single" w:sz="8" w:space="0" w:color="auto"/>
              <w:left w:val="single" w:sz="8" w:space="0" w:color="auto"/>
              <w:bottom w:val="single" w:sz="8" w:space="0" w:color="auto"/>
              <w:right w:val="single" w:sz="4" w:space="0" w:color="auto"/>
            </w:tcBorders>
            <w:shd w:val="clear" w:color="000000" w:fill="244062"/>
            <w:vAlign w:val="center"/>
            <w:hideMark/>
          </w:tcPr>
          <w:p w14:paraId="46759AEA" w14:textId="77777777" w:rsidR="002B2F4A" w:rsidRPr="00037C13" w:rsidRDefault="002B2F4A" w:rsidP="008B5E15">
            <w:pPr>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Concepto</w:t>
            </w:r>
          </w:p>
        </w:tc>
        <w:tc>
          <w:tcPr>
            <w:tcW w:w="3125" w:type="dxa"/>
            <w:tcBorders>
              <w:top w:val="single" w:sz="8" w:space="0" w:color="auto"/>
              <w:left w:val="nil"/>
              <w:bottom w:val="single" w:sz="8" w:space="0" w:color="auto"/>
              <w:right w:val="single" w:sz="4" w:space="0" w:color="auto"/>
            </w:tcBorders>
            <w:shd w:val="clear" w:color="000000" w:fill="244062"/>
            <w:vAlign w:val="center"/>
            <w:hideMark/>
          </w:tcPr>
          <w:p w14:paraId="28C4DE1F"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Apropiación Inicial 2018</w:t>
            </w:r>
          </w:p>
        </w:tc>
        <w:tc>
          <w:tcPr>
            <w:tcW w:w="1843" w:type="dxa"/>
            <w:tcBorders>
              <w:top w:val="single" w:sz="8" w:space="0" w:color="auto"/>
              <w:left w:val="nil"/>
              <w:bottom w:val="single" w:sz="8" w:space="0" w:color="auto"/>
              <w:right w:val="single" w:sz="4" w:space="0" w:color="auto"/>
            </w:tcBorders>
            <w:shd w:val="clear" w:color="000000" w:fill="244062"/>
            <w:vAlign w:val="center"/>
            <w:hideMark/>
          </w:tcPr>
          <w:p w14:paraId="238A204F"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Apropiación</w:t>
            </w:r>
            <w:r w:rsidRPr="00037C13">
              <w:rPr>
                <w:rFonts w:ascii="Arial" w:eastAsia="Times New Roman" w:hAnsi="Arial" w:cs="Arial"/>
                <w:b/>
                <w:bCs/>
                <w:color w:val="FFFFFF"/>
                <w:sz w:val="16"/>
                <w:szCs w:val="16"/>
                <w:lang w:eastAsia="es-CO"/>
              </w:rPr>
              <w:br/>
              <w:t>Vigente 2018</w:t>
            </w:r>
          </w:p>
        </w:tc>
      </w:tr>
      <w:tr w:rsidR="002B2F4A" w:rsidRPr="00CA0D36" w14:paraId="6F9AAC23" w14:textId="77777777" w:rsidTr="008B5E15">
        <w:trPr>
          <w:trHeight w:val="685"/>
        </w:trPr>
        <w:tc>
          <w:tcPr>
            <w:tcW w:w="4334" w:type="dxa"/>
            <w:tcBorders>
              <w:top w:val="nil"/>
              <w:left w:val="single" w:sz="8" w:space="0" w:color="auto"/>
              <w:bottom w:val="nil"/>
              <w:right w:val="single" w:sz="4" w:space="0" w:color="auto"/>
            </w:tcBorders>
            <w:shd w:val="clear" w:color="auto" w:fill="auto"/>
            <w:vAlign w:val="center"/>
            <w:hideMark/>
          </w:tcPr>
          <w:p w14:paraId="597B6749" w14:textId="77777777" w:rsidR="002B2F4A" w:rsidRPr="00037C13" w:rsidRDefault="002B2F4A" w:rsidP="008B5E15">
            <w:pPr>
              <w:spacing w:after="0" w:line="240" w:lineRule="auto"/>
              <w:jc w:val="both"/>
              <w:rPr>
                <w:rFonts w:ascii="Arial" w:eastAsia="Times New Roman" w:hAnsi="Arial" w:cs="Arial"/>
                <w:sz w:val="16"/>
                <w:szCs w:val="16"/>
                <w:lang w:eastAsia="es-CO"/>
              </w:rPr>
            </w:pPr>
            <w:r w:rsidRPr="00037C13">
              <w:rPr>
                <w:rFonts w:ascii="Arial" w:eastAsia="Times New Roman" w:hAnsi="Arial" w:cs="Arial"/>
                <w:sz w:val="16"/>
                <w:szCs w:val="16"/>
                <w:lang w:eastAsia="es-CO"/>
              </w:rPr>
              <w:t>PREVENCIÓN Y MITIGACIÓN DEL DAÑO ANTIJURÍDICO EN EL MINISTERIO DE MINAS Y ENERGÍA EN EL NIVEL NACIONAL</w:t>
            </w:r>
          </w:p>
        </w:tc>
        <w:tc>
          <w:tcPr>
            <w:tcW w:w="3125" w:type="dxa"/>
            <w:tcBorders>
              <w:top w:val="nil"/>
              <w:left w:val="nil"/>
              <w:bottom w:val="single" w:sz="4" w:space="0" w:color="auto"/>
              <w:right w:val="single" w:sz="4" w:space="0" w:color="auto"/>
            </w:tcBorders>
            <w:shd w:val="clear" w:color="auto" w:fill="auto"/>
            <w:noWrap/>
            <w:vAlign w:val="center"/>
            <w:hideMark/>
          </w:tcPr>
          <w:p w14:paraId="6E363821" w14:textId="77777777" w:rsidR="002B2F4A" w:rsidRPr="00037C13" w:rsidRDefault="002B2F4A" w:rsidP="008B5E15">
            <w:pPr>
              <w:spacing w:after="0" w:line="240" w:lineRule="auto"/>
              <w:jc w:val="center"/>
              <w:rPr>
                <w:rFonts w:ascii="Arial" w:eastAsia="Times New Roman" w:hAnsi="Arial" w:cs="Arial"/>
                <w:sz w:val="16"/>
                <w:szCs w:val="16"/>
                <w:lang w:eastAsia="es-CO"/>
              </w:rPr>
            </w:pPr>
            <w:r w:rsidRPr="00037C13">
              <w:rPr>
                <w:rFonts w:ascii="Arial" w:eastAsia="Times New Roman" w:hAnsi="Arial" w:cs="Arial"/>
                <w:sz w:val="16"/>
                <w:szCs w:val="16"/>
                <w:lang w:eastAsia="es-CO"/>
              </w:rPr>
              <w:t xml:space="preserve"> $        1.700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114374F" w14:textId="77777777" w:rsidR="002B2F4A" w:rsidRPr="00037C13" w:rsidRDefault="002B2F4A" w:rsidP="008B5E15">
            <w:pPr>
              <w:spacing w:after="0" w:line="240" w:lineRule="auto"/>
              <w:jc w:val="center"/>
              <w:rPr>
                <w:rFonts w:ascii="Arial" w:eastAsia="Times New Roman" w:hAnsi="Arial" w:cs="Arial"/>
                <w:sz w:val="16"/>
                <w:szCs w:val="16"/>
                <w:lang w:eastAsia="es-CO"/>
              </w:rPr>
            </w:pPr>
            <w:r w:rsidRPr="00037C13">
              <w:rPr>
                <w:rFonts w:ascii="Arial" w:eastAsia="Times New Roman" w:hAnsi="Arial" w:cs="Arial"/>
                <w:sz w:val="16"/>
                <w:szCs w:val="16"/>
                <w:lang w:eastAsia="es-CO"/>
              </w:rPr>
              <w:t xml:space="preserve"> $         1.700 </w:t>
            </w:r>
          </w:p>
        </w:tc>
      </w:tr>
      <w:tr w:rsidR="002B2F4A" w:rsidRPr="00CA0D36" w14:paraId="30726F19" w14:textId="77777777" w:rsidTr="008B5E15">
        <w:trPr>
          <w:trHeight w:val="525"/>
        </w:trPr>
        <w:tc>
          <w:tcPr>
            <w:tcW w:w="4334" w:type="dxa"/>
            <w:tcBorders>
              <w:top w:val="single" w:sz="8" w:space="0" w:color="auto"/>
              <w:left w:val="single" w:sz="8" w:space="0" w:color="auto"/>
              <w:bottom w:val="single" w:sz="8" w:space="0" w:color="auto"/>
              <w:right w:val="single" w:sz="4" w:space="0" w:color="auto"/>
            </w:tcBorders>
            <w:shd w:val="clear" w:color="000000" w:fill="244062"/>
            <w:vAlign w:val="center"/>
            <w:hideMark/>
          </w:tcPr>
          <w:p w14:paraId="1BCA9DC6"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Subtotal Jurídica</w:t>
            </w:r>
          </w:p>
        </w:tc>
        <w:tc>
          <w:tcPr>
            <w:tcW w:w="3125" w:type="dxa"/>
            <w:tcBorders>
              <w:top w:val="single" w:sz="8" w:space="0" w:color="auto"/>
              <w:left w:val="nil"/>
              <w:bottom w:val="single" w:sz="8" w:space="0" w:color="auto"/>
              <w:right w:val="single" w:sz="4" w:space="0" w:color="auto"/>
            </w:tcBorders>
            <w:shd w:val="clear" w:color="000000" w:fill="244062"/>
            <w:noWrap/>
            <w:vAlign w:val="center"/>
            <w:hideMark/>
          </w:tcPr>
          <w:p w14:paraId="47136D80"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 xml:space="preserve"> $        1.700 </w:t>
            </w:r>
          </w:p>
        </w:tc>
        <w:tc>
          <w:tcPr>
            <w:tcW w:w="1843" w:type="dxa"/>
            <w:tcBorders>
              <w:top w:val="single" w:sz="8" w:space="0" w:color="auto"/>
              <w:left w:val="nil"/>
              <w:bottom w:val="single" w:sz="8" w:space="0" w:color="auto"/>
              <w:right w:val="single" w:sz="4" w:space="0" w:color="auto"/>
            </w:tcBorders>
            <w:shd w:val="clear" w:color="000000" w:fill="244062"/>
            <w:noWrap/>
            <w:vAlign w:val="center"/>
            <w:hideMark/>
          </w:tcPr>
          <w:p w14:paraId="4F5CA6A9"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 xml:space="preserve"> $         1.700 </w:t>
            </w:r>
          </w:p>
        </w:tc>
      </w:tr>
      <w:tr w:rsidR="002B2F4A" w:rsidRPr="00CA0D36" w14:paraId="3117C4E8" w14:textId="77777777" w:rsidTr="008B5E15">
        <w:trPr>
          <w:trHeight w:val="703"/>
        </w:trPr>
        <w:tc>
          <w:tcPr>
            <w:tcW w:w="4334" w:type="dxa"/>
            <w:tcBorders>
              <w:top w:val="nil"/>
              <w:left w:val="single" w:sz="8" w:space="0" w:color="auto"/>
              <w:bottom w:val="nil"/>
              <w:right w:val="single" w:sz="4" w:space="0" w:color="auto"/>
            </w:tcBorders>
            <w:shd w:val="clear" w:color="auto" w:fill="auto"/>
            <w:vAlign w:val="center"/>
            <w:hideMark/>
          </w:tcPr>
          <w:p w14:paraId="311CD36C" w14:textId="77777777" w:rsidR="002B2F4A" w:rsidRPr="00037C13" w:rsidRDefault="002B2F4A" w:rsidP="008B5E15">
            <w:pPr>
              <w:spacing w:after="0" w:line="240" w:lineRule="auto"/>
              <w:jc w:val="both"/>
              <w:rPr>
                <w:rFonts w:ascii="Arial" w:eastAsia="Times New Roman" w:hAnsi="Arial" w:cs="Arial"/>
                <w:sz w:val="16"/>
                <w:szCs w:val="16"/>
                <w:lang w:eastAsia="es-CO"/>
              </w:rPr>
            </w:pPr>
            <w:r w:rsidRPr="00037C13">
              <w:rPr>
                <w:rFonts w:ascii="Arial" w:eastAsia="Times New Roman" w:hAnsi="Arial" w:cs="Arial"/>
                <w:sz w:val="16"/>
                <w:szCs w:val="16"/>
                <w:lang w:eastAsia="es-CO"/>
              </w:rPr>
              <w:t>ESTUDIOS SOBRE POLÍTICA Y REGULACIÓN ENERGÉTICA NACIONAL</w:t>
            </w:r>
          </w:p>
        </w:tc>
        <w:tc>
          <w:tcPr>
            <w:tcW w:w="3125" w:type="dxa"/>
            <w:tcBorders>
              <w:top w:val="nil"/>
              <w:left w:val="nil"/>
              <w:bottom w:val="single" w:sz="4" w:space="0" w:color="auto"/>
              <w:right w:val="single" w:sz="4" w:space="0" w:color="auto"/>
            </w:tcBorders>
            <w:shd w:val="clear" w:color="auto" w:fill="auto"/>
            <w:noWrap/>
            <w:vAlign w:val="center"/>
            <w:hideMark/>
          </w:tcPr>
          <w:p w14:paraId="39E798B2" w14:textId="77777777" w:rsidR="002B2F4A" w:rsidRPr="00037C13" w:rsidRDefault="002B2F4A" w:rsidP="008B5E15">
            <w:pPr>
              <w:spacing w:after="0" w:line="240" w:lineRule="auto"/>
              <w:jc w:val="center"/>
              <w:rPr>
                <w:rFonts w:ascii="Arial" w:eastAsia="Times New Roman" w:hAnsi="Arial" w:cs="Arial"/>
                <w:sz w:val="16"/>
                <w:szCs w:val="16"/>
                <w:lang w:eastAsia="es-CO"/>
              </w:rPr>
            </w:pPr>
            <w:r w:rsidRPr="00037C13">
              <w:rPr>
                <w:rFonts w:ascii="Arial" w:eastAsia="Times New Roman" w:hAnsi="Arial" w:cs="Arial"/>
                <w:sz w:val="16"/>
                <w:szCs w:val="16"/>
                <w:lang w:eastAsia="es-CO"/>
              </w:rPr>
              <w:t xml:space="preserve"> $        1.100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D9C2EE" w14:textId="77777777" w:rsidR="002B2F4A" w:rsidRPr="00037C13" w:rsidRDefault="002B2F4A" w:rsidP="008B5E15">
            <w:pPr>
              <w:spacing w:after="0" w:line="240" w:lineRule="auto"/>
              <w:jc w:val="center"/>
              <w:rPr>
                <w:rFonts w:ascii="Arial" w:eastAsia="Times New Roman" w:hAnsi="Arial" w:cs="Arial"/>
                <w:sz w:val="16"/>
                <w:szCs w:val="16"/>
                <w:lang w:eastAsia="es-CO"/>
              </w:rPr>
            </w:pPr>
            <w:r w:rsidRPr="00037C13">
              <w:rPr>
                <w:rFonts w:ascii="Arial" w:eastAsia="Times New Roman" w:hAnsi="Arial" w:cs="Arial"/>
                <w:sz w:val="16"/>
                <w:szCs w:val="16"/>
                <w:lang w:eastAsia="es-CO"/>
              </w:rPr>
              <w:t xml:space="preserve"> $         1.100 </w:t>
            </w:r>
          </w:p>
        </w:tc>
      </w:tr>
      <w:tr w:rsidR="002B2F4A" w:rsidRPr="00CA0D36" w14:paraId="2F1A59C8" w14:textId="77777777" w:rsidTr="008B5E15">
        <w:trPr>
          <w:trHeight w:val="401"/>
        </w:trPr>
        <w:tc>
          <w:tcPr>
            <w:tcW w:w="4334" w:type="dxa"/>
            <w:tcBorders>
              <w:top w:val="single" w:sz="8" w:space="0" w:color="auto"/>
              <w:left w:val="single" w:sz="8" w:space="0" w:color="auto"/>
              <w:bottom w:val="single" w:sz="8" w:space="0" w:color="auto"/>
              <w:right w:val="single" w:sz="4" w:space="0" w:color="auto"/>
            </w:tcBorders>
            <w:shd w:val="clear" w:color="000000" w:fill="244062"/>
            <w:vAlign w:val="center"/>
            <w:hideMark/>
          </w:tcPr>
          <w:p w14:paraId="77E9C4B4"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Subtotal Asuntos Regulatorios</w:t>
            </w:r>
          </w:p>
        </w:tc>
        <w:tc>
          <w:tcPr>
            <w:tcW w:w="3125" w:type="dxa"/>
            <w:tcBorders>
              <w:top w:val="single" w:sz="8" w:space="0" w:color="auto"/>
              <w:left w:val="nil"/>
              <w:bottom w:val="single" w:sz="8" w:space="0" w:color="auto"/>
              <w:right w:val="single" w:sz="4" w:space="0" w:color="auto"/>
            </w:tcBorders>
            <w:shd w:val="clear" w:color="000000" w:fill="244062"/>
            <w:noWrap/>
            <w:vAlign w:val="center"/>
            <w:hideMark/>
          </w:tcPr>
          <w:p w14:paraId="5E2C3815"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 xml:space="preserve"> $        1.100 </w:t>
            </w:r>
          </w:p>
        </w:tc>
        <w:tc>
          <w:tcPr>
            <w:tcW w:w="1843" w:type="dxa"/>
            <w:tcBorders>
              <w:top w:val="single" w:sz="8" w:space="0" w:color="auto"/>
              <w:left w:val="nil"/>
              <w:bottom w:val="single" w:sz="8" w:space="0" w:color="auto"/>
              <w:right w:val="single" w:sz="4" w:space="0" w:color="auto"/>
            </w:tcBorders>
            <w:shd w:val="clear" w:color="000000" w:fill="244062"/>
            <w:noWrap/>
            <w:vAlign w:val="center"/>
            <w:hideMark/>
          </w:tcPr>
          <w:p w14:paraId="61705FDC" w14:textId="77777777" w:rsidR="002B2F4A" w:rsidRPr="00037C13" w:rsidRDefault="002B2F4A" w:rsidP="008B5E15">
            <w:pPr>
              <w:spacing w:after="0" w:line="240" w:lineRule="auto"/>
              <w:jc w:val="center"/>
              <w:rPr>
                <w:rFonts w:ascii="Arial" w:eastAsia="Times New Roman" w:hAnsi="Arial" w:cs="Arial"/>
                <w:b/>
                <w:bCs/>
                <w:color w:val="FFFFFF"/>
                <w:sz w:val="16"/>
                <w:szCs w:val="16"/>
                <w:lang w:eastAsia="es-CO"/>
              </w:rPr>
            </w:pPr>
            <w:r w:rsidRPr="00037C13">
              <w:rPr>
                <w:rFonts w:ascii="Arial" w:eastAsia="Times New Roman" w:hAnsi="Arial" w:cs="Arial"/>
                <w:b/>
                <w:bCs/>
                <w:color w:val="FFFFFF"/>
                <w:sz w:val="16"/>
                <w:szCs w:val="16"/>
                <w:lang w:eastAsia="es-CO"/>
              </w:rPr>
              <w:t xml:space="preserve"> $         1.100 </w:t>
            </w:r>
          </w:p>
        </w:tc>
      </w:tr>
    </w:tbl>
    <w:p w14:paraId="20F325D9" w14:textId="77777777" w:rsidR="002B2F4A" w:rsidRDefault="002B2F4A" w:rsidP="002B2F4A">
      <w:pPr>
        <w:spacing w:after="0" w:line="240" w:lineRule="auto"/>
        <w:jc w:val="center"/>
        <w:rPr>
          <w:rFonts w:ascii="Arial" w:eastAsia="Calibri" w:hAnsi="Arial" w:cs="Arial"/>
          <w:sz w:val="16"/>
          <w:szCs w:val="16"/>
          <w:highlight w:val="yellow"/>
        </w:rPr>
      </w:pPr>
    </w:p>
    <w:p w14:paraId="2AFFC7A8" w14:textId="77777777" w:rsidR="002B2F4A" w:rsidRPr="00037C13" w:rsidRDefault="002B2F4A" w:rsidP="002B2F4A">
      <w:pPr>
        <w:spacing w:after="0" w:line="240" w:lineRule="auto"/>
        <w:jc w:val="center"/>
        <w:rPr>
          <w:rFonts w:ascii="Arial" w:eastAsia="Calibri" w:hAnsi="Arial" w:cs="Arial"/>
          <w:sz w:val="16"/>
          <w:szCs w:val="16"/>
        </w:rPr>
      </w:pPr>
      <w:r>
        <w:rPr>
          <w:rFonts w:ascii="Arial" w:hAnsi="Arial" w:cs="Arial"/>
          <w:sz w:val="16"/>
          <w:szCs w:val="16"/>
          <w:lang w:eastAsia="es-ES"/>
        </w:rPr>
        <w:t>C</w:t>
      </w:r>
      <w:r w:rsidRPr="00037C13">
        <w:rPr>
          <w:rFonts w:ascii="Arial" w:hAnsi="Arial" w:cs="Arial"/>
          <w:sz w:val="16"/>
          <w:szCs w:val="16"/>
          <w:lang w:eastAsia="es-ES"/>
        </w:rPr>
        <w:t>ifras en Millones de pesos</w:t>
      </w:r>
    </w:p>
    <w:p w14:paraId="319B38FF" w14:textId="77777777" w:rsidR="002B2F4A" w:rsidRPr="00037C13" w:rsidRDefault="002B2F4A" w:rsidP="002B2F4A">
      <w:pPr>
        <w:spacing w:after="0" w:line="240" w:lineRule="auto"/>
        <w:jc w:val="center"/>
        <w:rPr>
          <w:rFonts w:ascii="Arial" w:eastAsia="Calibri" w:hAnsi="Arial" w:cs="Arial"/>
          <w:sz w:val="16"/>
          <w:szCs w:val="16"/>
        </w:rPr>
      </w:pPr>
      <w:r w:rsidRPr="00037C13">
        <w:rPr>
          <w:rFonts w:ascii="Arial" w:eastAsia="Calibri" w:hAnsi="Arial" w:cs="Arial"/>
          <w:sz w:val="16"/>
          <w:szCs w:val="16"/>
        </w:rPr>
        <w:t>Fuente: SIIF – Nación MME</w:t>
      </w:r>
    </w:p>
    <w:tbl>
      <w:tblPr>
        <w:tblW w:w="9346" w:type="dxa"/>
        <w:tblCellMar>
          <w:left w:w="70" w:type="dxa"/>
          <w:right w:w="70" w:type="dxa"/>
        </w:tblCellMar>
        <w:tblLook w:val="04A0" w:firstRow="1" w:lastRow="0" w:firstColumn="1" w:lastColumn="0" w:noHBand="0" w:noVBand="1"/>
      </w:tblPr>
      <w:tblGrid>
        <w:gridCol w:w="6086"/>
        <w:gridCol w:w="1701"/>
        <w:gridCol w:w="1559"/>
      </w:tblGrid>
      <w:tr w:rsidR="00037C13" w:rsidRPr="00CA0D36" w14:paraId="6D147D05" w14:textId="77777777" w:rsidTr="00F77263">
        <w:trPr>
          <w:trHeight w:val="581"/>
        </w:trPr>
        <w:tc>
          <w:tcPr>
            <w:tcW w:w="6086" w:type="dxa"/>
            <w:tcBorders>
              <w:top w:val="single" w:sz="8" w:space="0" w:color="auto"/>
              <w:left w:val="single" w:sz="8" w:space="0" w:color="auto"/>
              <w:bottom w:val="single" w:sz="8" w:space="0" w:color="auto"/>
              <w:right w:val="single" w:sz="4" w:space="0" w:color="auto"/>
            </w:tcBorders>
            <w:shd w:val="clear" w:color="auto" w:fill="244062"/>
            <w:vAlign w:val="center"/>
            <w:hideMark/>
          </w:tcPr>
          <w:p w14:paraId="01167DDC"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lastRenderedPageBreak/>
              <w:t>Concepto</w:t>
            </w:r>
          </w:p>
        </w:tc>
        <w:tc>
          <w:tcPr>
            <w:tcW w:w="1701" w:type="dxa"/>
            <w:tcBorders>
              <w:top w:val="single" w:sz="8" w:space="0" w:color="auto"/>
              <w:left w:val="nil"/>
              <w:bottom w:val="single" w:sz="8" w:space="0" w:color="auto"/>
              <w:right w:val="single" w:sz="4" w:space="0" w:color="auto"/>
            </w:tcBorders>
            <w:shd w:val="clear" w:color="auto" w:fill="244062"/>
            <w:vAlign w:val="center"/>
            <w:hideMark/>
          </w:tcPr>
          <w:p w14:paraId="56E71AD7"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 Inicial 2018</w:t>
            </w:r>
          </w:p>
        </w:tc>
        <w:tc>
          <w:tcPr>
            <w:tcW w:w="1559" w:type="dxa"/>
            <w:tcBorders>
              <w:top w:val="single" w:sz="8" w:space="0" w:color="auto"/>
              <w:left w:val="nil"/>
              <w:bottom w:val="single" w:sz="8" w:space="0" w:color="auto"/>
              <w:right w:val="single" w:sz="4" w:space="0" w:color="auto"/>
            </w:tcBorders>
            <w:shd w:val="clear" w:color="auto" w:fill="244062"/>
            <w:vAlign w:val="center"/>
            <w:hideMark/>
          </w:tcPr>
          <w:p w14:paraId="7AFD939A"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Apropiación</w:t>
            </w:r>
            <w:r w:rsidRPr="00CA0D36">
              <w:rPr>
                <w:rFonts w:ascii="Arial" w:eastAsia="Times New Roman" w:hAnsi="Arial" w:cs="Arial"/>
                <w:b/>
                <w:bCs/>
                <w:color w:val="FFFFFF"/>
                <w:sz w:val="18"/>
                <w:szCs w:val="18"/>
                <w:lang w:eastAsia="es-CO"/>
              </w:rPr>
              <w:br/>
              <w:t>Vigente 2018</w:t>
            </w:r>
          </w:p>
        </w:tc>
      </w:tr>
      <w:tr w:rsidR="00037C13" w:rsidRPr="00CA0D36" w14:paraId="075494FE" w14:textId="77777777" w:rsidTr="00F77263">
        <w:trPr>
          <w:trHeight w:val="581"/>
        </w:trPr>
        <w:tc>
          <w:tcPr>
            <w:tcW w:w="6086" w:type="dxa"/>
            <w:tcBorders>
              <w:top w:val="nil"/>
              <w:left w:val="single" w:sz="8" w:space="0" w:color="auto"/>
              <w:bottom w:val="single" w:sz="4" w:space="0" w:color="auto"/>
              <w:right w:val="single" w:sz="4" w:space="0" w:color="auto"/>
            </w:tcBorders>
            <w:vAlign w:val="center"/>
            <w:hideMark/>
          </w:tcPr>
          <w:p w14:paraId="460D0F3E"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MANTENIMIENTO ADECUACION Y AMPLIACION DE LA INFRAESTRUCTURA PARA SEDES DEL MME , , BOGOTÁ</w:t>
            </w:r>
          </w:p>
        </w:tc>
        <w:tc>
          <w:tcPr>
            <w:tcW w:w="1701" w:type="dxa"/>
            <w:tcBorders>
              <w:top w:val="nil"/>
              <w:left w:val="nil"/>
              <w:bottom w:val="single" w:sz="4" w:space="0" w:color="auto"/>
              <w:right w:val="single" w:sz="4" w:space="0" w:color="auto"/>
            </w:tcBorders>
            <w:noWrap/>
            <w:vAlign w:val="center"/>
            <w:hideMark/>
          </w:tcPr>
          <w:p w14:paraId="7E0EA30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1.000 </w:t>
            </w:r>
          </w:p>
        </w:tc>
        <w:tc>
          <w:tcPr>
            <w:tcW w:w="1559" w:type="dxa"/>
            <w:tcBorders>
              <w:top w:val="single" w:sz="4" w:space="0" w:color="auto"/>
              <w:left w:val="nil"/>
              <w:bottom w:val="single" w:sz="4" w:space="0" w:color="auto"/>
              <w:right w:val="single" w:sz="4" w:space="0" w:color="auto"/>
            </w:tcBorders>
            <w:noWrap/>
            <w:vAlign w:val="center"/>
            <w:hideMark/>
          </w:tcPr>
          <w:p w14:paraId="1292084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186 </w:t>
            </w:r>
          </w:p>
        </w:tc>
      </w:tr>
      <w:tr w:rsidR="00037C13" w:rsidRPr="00CA0D36" w14:paraId="2373272A" w14:textId="77777777" w:rsidTr="00F77263">
        <w:trPr>
          <w:trHeight w:val="699"/>
        </w:trPr>
        <w:tc>
          <w:tcPr>
            <w:tcW w:w="6086" w:type="dxa"/>
            <w:tcBorders>
              <w:top w:val="nil"/>
              <w:left w:val="single" w:sz="8" w:space="0" w:color="auto"/>
              <w:bottom w:val="nil"/>
              <w:right w:val="single" w:sz="4" w:space="0" w:color="auto"/>
            </w:tcBorders>
            <w:vAlign w:val="center"/>
            <w:hideMark/>
          </w:tcPr>
          <w:p w14:paraId="52E477CA"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INFRAESTRUCTURA DE LAS TECNOLOGIAS DE INFORMACIÓN Y COMUNICACIONES DEL MINISTERIO DE MINAS Y ENERGIA A NIVEL NACIONAL</w:t>
            </w:r>
          </w:p>
        </w:tc>
        <w:tc>
          <w:tcPr>
            <w:tcW w:w="1701" w:type="dxa"/>
            <w:tcBorders>
              <w:top w:val="nil"/>
              <w:left w:val="nil"/>
              <w:bottom w:val="single" w:sz="4" w:space="0" w:color="auto"/>
              <w:right w:val="single" w:sz="4" w:space="0" w:color="auto"/>
            </w:tcBorders>
            <w:noWrap/>
            <w:vAlign w:val="center"/>
            <w:hideMark/>
          </w:tcPr>
          <w:p w14:paraId="21D45DF8"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4.500 </w:t>
            </w:r>
          </w:p>
        </w:tc>
        <w:tc>
          <w:tcPr>
            <w:tcW w:w="1559" w:type="dxa"/>
            <w:tcBorders>
              <w:top w:val="nil"/>
              <w:left w:val="nil"/>
              <w:bottom w:val="single" w:sz="4" w:space="0" w:color="auto"/>
              <w:right w:val="single" w:sz="4" w:space="0" w:color="auto"/>
            </w:tcBorders>
            <w:noWrap/>
            <w:vAlign w:val="center"/>
            <w:hideMark/>
          </w:tcPr>
          <w:p w14:paraId="6B25C7E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4.470 </w:t>
            </w:r>
          </w:p>
        </w:tc>
      </w:tr>
      <w:tr w:rsidR="00037C13" w:rsidRPr="00CA0D36" w14:paraId="5BD4FFBC" w14:textId="77777777" w:rsidTr="00F77263">
        <w:trPr>
          <w:trHeight w:val="695"/>
        </w:trPr>
        <w:tc>
          <w:tcPr>
            <w:tcW w:w="6086" w:type="dxa"/>
            <w:tcBorders>
              <w:top w:val="single" w:sz="4" w:space="0" w:color="auto"/>
              <w:left w:val="single" w:sz="8" w:space="0" w:color="auto"/>
              <w:bottom w:val="single" w:sz="4" w:space="0" w:color="auto"/>
              <w:right w:val="single" w:sz="4" w:space="0" w:color="auto"/>
            </w:tcBorders>
            <w:vAlign w:val="center"/>
            <w:hideMark/>
          </w:tcPr>
          <w:p w14:paraId="13B230EE"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OPTIMIZACION Y ORGANIZACION ARCHIVISTICA DE DOCUMENTOS DEL ARCHIVOCENTRAL DEL MINISTERIO DE MINAS Y ENERGIA , BOGOTA D.C.</w:t>
            </w:r>
          </w:p>
        </w:tc>
        <w:tc>
          <w:tcPr>
            <w:tcW w:w="1701" w:type="dxa"/>
            <w:tcBorders>
              <w:top w:val="nil"/>
              <w:left w:val="nil"/>
              <w:bottom w:val="single" w:sz="4" w:space="0" w:color="auto"/>
              <w:right w:val="single" w:sz="4" w:space="0" w:color="auto"/>
            </w:tcBorders>
            <w:noWrap/>
            <w:vAlign w:val="center"/>
            <w:hideMark/>
          </w:tcPr>
          <w:p w14:paraId="360BD68E"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800 </w:t>
            </w:r>
          </w:p>
        </w:tc>
        <w:tc>
          <w:tcPr>
            <w:tcW w:w="1559" w:type="dxa"/>
            <w:tcBorders>
              <w:top w:val="nil"/>
              <w:left w:val="nil"/>
              <w:bottom w:val="single" w:sz="4" w:space="0" w:color="auto"/>
              <w:right w:val="single" w:sz="4" w:space="0" w:color="auto"/>
            </w:tcBorders>
            <w:noWrap/>
            <w:vAlign w:val="center"/>
            <w:hideMark/>
          </w:tcPr>
          <w:p w14:paraId="7F32D2F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800 </w:t>
            </w:r>
          </w:p>
        </w:tc>
      </w:tr>
      <w:tr w:rsidR="00037C13" w:rsidRPr="00CA0D36" w14:paraId="124F7673" w14:textId="77777777" w:rsidTr="00F77263">
        <w:trPr>
          <w:trHeight w:val="690"/>
        </w:trPr>
        <w:tc>
          <w:tcPr>
            <w:tcW w:w="6086" w:type="dxa"/>
            <w:tcBorders>
              <w:top w:val="nil"/>
              <w:left w:val="single" w:sz="8" w:space="0" w:color="auto"/>
              <w:bottom w:val="single" w:sz="4" w:space="0" w:color="auto"/>
              <w:right w:val="single" w:sz="4" w:space="0" w:color="auto"/>
            </w:tcBorders>
            <w:vAlign w:val="center"/>
            <w:hideMark/>
          </w:tcPr>
          <w:p w14:paraId="1563C89C"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IMPLEMENTACIÓN SISTEMA GESTION DE DOCUMENTOS ELECTRONICOS DE ARCHIVO EN EL MINISTERIO DE MINAS Y ENERGÍA</w:t>
            </w:r>
          </w:p>
        </w:tc>
        <w:tc>
          <w:tcPr>
            <w:tcW w:w="1701" w:type="dxa"/>
            <w:tcBorders>
              <w:top w:val="nil"/>
              <w:left w:val="nil"/>
              <w:bottom w:val="single" w:sz="4" w:space="0" w:color="auto"/>
              <w:right w:val="single" w:sz="4" w:space="0" w:color="auto"/>
            </w:tcBorders>
            <w:noWrap/>
            <w:vAlign w:val="center"/>
            <w:hideMark/>
          </w:tcPr>
          <w:p w14:paraId="3013BF12"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800 </w:t>
            </w:r>
          </w:p>
        </w:tc>
        <w:tc>
          <w:tcPr>
            <w:tcW w:w="1559" w:type="dxa"/>
            <w:tcBorders>
              <w:top w:val="nil"/>
              <w:left w:val="nil"/>
              <w:bottom w:val="single" w:sz="4" w:space="0" w:color="auto"/>
              <w:right w:val="single" w:sz="4" w:space="0" w:color="auto"/>
            </w:tcBorders>
            <w:noWrap/>
            <w:vAlign w:val="center"/>
            <w:hideMark/>
          </w:tcPr>
          <w:p w14:paraId="0095EA70"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162 </w:t>
            </w:r>
          </w:p>
        </w:tc>
      </w:tr>
      <w:tr w:rsidR="00037C13" w:rsidRPr="00CA0D36" w14:paraId="4DBF0C4F" w14:textId="77777777" w:rsidTr="00F77263">
        <w:trPr>
          <w:trHeight w:val="573"/>
        </w:trPr>
        <w:tc>
          <w:tcPr>
            <w:tcW w:w="6086" w:type="dxa"/>
            <w:tcBorders>
              <w:top w:val="nil"/>
              <w:left w:val="single" w:sz="8" w:space="0" w:color="auto"/>
              <w:bottom w:val="single" w:sz="4" w:space="0" w:color="auto"/>
              <w:right w:val="single" w:sz="4" w:space="0" w:color="auto"/>
            </w:tcBorders>
            <w:vAlign w:val="center"/>
            <w:hideMark/>
          </w:tcPr>
          <w:p w14:paraId="0D7FD041"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 LA CULTURA ORGANIZACIONAL DEL MINISTERIO DE MINAS Y ENERGÍA EN LA CIUDAD DE BOGOTÁ</w:t>
            </w:r>
          </w:p>
        </w:tc>
        <w:tc>
          <w:tcPr>
            <w:tcW w:w="1701" w:type="dxa"/>
            <w:tcBorders>
              <w:top w:val="nil"/>
              <w:left w:val="nil"/>
              <w:bottom w:val="single" w:sz="4" w:space="0" w:color="auto"/>
              <w:right w:val="single" w:sz="4" w:space="0" w:color="auto"/>
            </w:tcBorders>
            <w:noWrap/>
            <w:vAlign w:val="center"/>
            <w:hideMark/>
          </w:tcPr>
          <w:p w14:paraId="7B650E9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600 </w:t>
            </w:r>
          </w:p>
        </w:tc>
        <w:tc>
          <w:tcPr>
            <w:tcW w:w="1559" w:type="dxa"/>
            <w:tcBorders>
              <w:top w:val="nil"/>
              <w:left w:val="nil"/>
              <w:bottom w:val="single" w:sz="4" w:space="0" w:color="auto"/>
              <w:right w:val="single" w:sz="4" w:space="0" w:color="auto"/>
            </w:tcBorders>
            <w:noWrap/>
            <w:vAlign w:val="center"/>
            <w:hideMark/>
          </w:tcPr>
          <w:p w14:paraId="6EEE79AE"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600 </w:t>
            </w:r>
          </w:p>
        </w:tc>
      </w:tr>
      <w:tr w:rsidR="00037C13" w:rsidRPr="00CA0D36" w14:paraId="03E4E2A2" w14:textId="77777777" w:rsidTr="00F77263">
        <w:trPr>
          <w:trHeight w:val="695"/>
        </w:trPr>
        <w:tc>
          <w:tcPr>
            <w:tcW w:w="6086" w:type="dxa"/>
            <w:tcBorders>
              <w:top w:val="nil"/>
              <w:left w:val="single" w:sz="8" w:space="0" w:color="auto"/>
              <w:bottom w:val="single" w:sz="4" w:space="0" w:color="auto"/>
              <w:right w:val="single" w:sz="4" w:space="0" w:color="auto"/>
            </w:tcBorders>
            <w:vAlign w:val="center"/>
            <w:hideMark/>
          </w:tcPr>
          <w:p w14:paraId="35481588"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IMPLEMENTAR Y MANTENER ACTUALIZADA LA INFRAESTRUCTURA TIC DEL SECTOR MINERO ENERGÉTICO  DE ACUERDO AL PETIC SECTORIAL – BOGOTÁ</w:t>
            </w:r>
          </w:p>
        </w:tc>
        <w:tc>
          <w:tcPr>
            <w:tcW w:w="1701" w:type="dxa"/>
            <w:tcBorders>
              <w:top w:val="nil"/>
              <w:left w:val="nil"/>
              <w:bottom w:val="single" w:sz="4" w:space="0" w:color="auto"/>
              <w:right w:val="single" w:sz="4" w:space="0" w:color="auto"/>
            </w:tcBorders>
            <w:noWrap/>
            <w:vAlign w:val="center"/>
            <w:hideMark/>
          </w:tcPr>
          <w:p w14:paraId="296ECC4A"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3.800 </w:t>
            </w:r>
          </w:p>
        </w:tc>
        <w:tc>
          <w:tcPr>
            <w:tcW w:w="1559" w:type="dxa"/>
            <w:tcBorders>
              <w:top w:val="nil"/>
              <w:left w:val="nil"/>
              <w:bottom w:val="single" w:sz="4" w:space="0" w:color="auto"/>
              <w:right w:val="single" w:sz="4" w:space="0" w:color="auto"/>
            </w:tcBorders>
            <w:noWrap/>
            <w:vAlign w:val="center"/>
            <w:hideMark/>
          </w:tcPr>
          <w:p w14:paraId="1A9FEA1C"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3.800 </w:t>
            </w:r>
          </w:p>
        </w:tc>
      </w:tr>
      <w:tr w:rsidR="00037C13" w:rsidRPr="00CA0D36" w14:paraId="0316993E" w14:textId="77777777" w:rsidTr="00F77263">
        <w:trPr>
          <w:trHeight w:val="563"/>
        </w:trPr>
        <w:tc>
          <w:tcPr>
            <w:tcW w:w="6086" w:type="dxa"/>
            <w:tcBorders>
              <w:top w:val="nil"/>
              <w:left w:val="single" w:sz="8" w:space="0" w:color="auto"/>
              <w:bottom w:val="single" w:sz="4" w:space="0" w:color="auto"/>
              <w:right w:val="single" w:sz="4" w:space="0" w:color="auto"/>
            </w:tcBorders>
            <w:vAlign w:val="center"/>
            <w:hideMark/>
          </w:tcPr>
          <w:p w14:paraId="7ED705A3" w14:textId="77777777" w:rsidR="00037C13" w:rsidRPr="00CA0D36" w:rsidRDefault="00037C13" w:rsidP="00F77263">
            <w:pPr>
              <w:spacing w:after="0" w:line="240" w:lineRule="auto"/>
              <w:jc w:val="both"/>
              <w:rPr>
                <w:rFonts w:ascii="Arial" w:eastAsia="Times New Roman" w:hAnsi="Arial" w:cs="Arial"/>
                <w:sz w:val="18"/>
                <w:szCs w:val="18"/>
                <w:lang w:eastAsia="es-CO"/>
              </w:rPr>
            </w:pPr>
            <w:r w:rsidRPr="00CA0D36">
              <w:rPr>
                <w:rFonts w:ascii="Arial" w:eastAsia="Times New Roman" w:hAnsi="Arial" w:cs="Arial"/>
                <w:sz w:val="18"/>
                <w:szCs w:val="18"/>
                <w:lang w:eastAsia="es-CO"/>
              </w:rPr>
              <w:t>FORTALECIMIENTO DEL SERVICIO QUE SE PRESTA AL CIUDADANO – CLIENTE DEL MINISTERIO DE MINAS Y ENERGÍA A NIVEL NACIONAL.</w:t>
            </w:r>
          </w:p>
        </w:tc>
        <w:tc>
          <w:tcPr>
            <w:tcW w:w="1701" w:type="dxa"/>
            <w:tcBorders>
              <w:top w:val="nil"/>
              <w:left w:val="nil"/>
              <w:bottom w:val="single" w:sz="4" w:space="0" w:color="auto"/>
              <w:right w:val="single" w:sz="4" w:space="0" w:color="auto"/>
            </w:tcBorders>
            <w:noWrap/>
            <w:vAlign w:val="center"/>
            <w:hideMark/>
          </w:tcPr>
          <w:p w14:paraId="1A00458A"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2.200 </w:t>
            </w:r>
          </w:p>
        </w:tc>
        <w:tc>
          <w:tcPr>
            <w:tcW w:w="1559" w:type="dxa"/>
            <w:tcBorders>
              <w:top w:val="nil"/>
              <w:left w:val="nil"/>
              <w:bottom w:val="single" w:sz="4" w:space="0" w:color="auto"/>
              <w:right w:val="single" w:sz="4" w:space="0" w:color="auto"/>
            </w:tcBorders>
            <w:noWrap/>
            <w:vAlign w:val="center"/>
            <w:hideMark/>
          </w:tcPr>
          <w:p w14:paraId="17787469" w14:textId="77777777" w:rsidR="00037C13" w:rsidRPr="00CA0D36" w:rsidRDefault="00037C13" w:rsidP="00F77263">
            <w:pPr>
              <w:spacing w:after="0" w:line="240" w:lineRule="auto"/>
              <w:jc w:val="center"/>
              <w:rPr>
                <w:rFonts w:ascii="Arial" w:eastAsia="Times New Roman" w:hAnsi="Arial" w:cs="Arial"/>
                <w:sz w:val="18"/>
                <w:szCs w:val="18"/>
                <w:lang w:eastAsia="es-CO"/>
              </w:rPr>
            </w:pPr>
            <w:r w:rsidRPr="00CA0D36">
              <w:rPr>
                <w:rFonts w:ascii="Arial" w:eastAsia="Times New Roman" w:hAnsi="Arial" w:cs="Arial"/>
                <w:sz w:val="18"/>
                <w:szCs w:val="18"/>
                <w:lang w:eastAsia="es-CO"/>
              </w:rPr>
              <w:t xml:space="preserve"> $         1.843 </w:t>
            </w:r>
          </w:p>
        </w:tc>
      </w:tr>
      <w:tr w:rsidR="00037C13" w:rsidRPr="00CA0D36" w14:paraId="5B195DA0" w14:textId="77777777" w:rsidTr="00F77263">
        <w:trPr>
          <w:trHeight w:val="345"/>
        </w:trPr>
        <w:tc>
          <w:tcPr>
            <w:tcW w:w="6086" w:type="dxa"/>
            <w:tcBorders>
              <w:top w:val="nil"/>
              <w:left w:val="single" w:sz="8" w:space="0" w:color="auto"/>
              <w:bottom w:val="single" w:sz="8" w:space="0" w:color="auto"/>
              <w:right w:val="single" w:sz="4" w:space="0" w:color="auto"/>
            </w:tcBorders>
            <w:shd w:val="clear" w:color="auto" w:fill="244062"/>
            <w:vAlign w:val="center"/>
            <w:hideMark/>
          </w:tcPr>
          <w:p w14:paraId="1501A2BD"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Subtotal administrativos</w:t>
            </w:r>
          </w:p>
        </w:tc>
        <w:tc>
          <w:tcPr>
            <w:tcW w:w="1701" w:type="dxa"/>
            <w:tcBorders>
              <w:top w:val="single" w:sz="8" w:space="0" w:color="auto"/>
              <w:left w:val="nil"/>
              <w:bottom w:val="single" w:sz="8" w:space="0" w:color="auto"/>
              <w:right w:val="single" w:sz="4" w:space="0" w:color="auto"/>
            </w:tcBorders>
            <w:shd w:val="clear" w:color="auto" w:fill="244062"/>
            <w:noWrap/>
            <w:vAlign w:val="center"/>
            <w:hideMark/>
          </w:tcPr>
          <w:p w14:paraId="7ACCDD83"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13.700 </w:t>
            </w:r>
          </w:p>
        </w:tc>
        <w:tc>
          <w:tcPr>
            <w:tcW w:w="1559" w:type="dxa"/>
            <w:tcBorders>
              <w:top w:val="single" w:sz="8" w:space="0" w:color="auto"/>
              <w:left w:val="nil"/>
              <w:bottom w:val="single" w:sz="8" w:space="0" w:color="auto"/>
              <w:right w:val="single" w:sz="4" w:space="0" w:color="auto"/>
            </w:tcBorders>
            <w:shd w:val="clear" w:color="auto" w:fill="244062"/>
            <w:noWrap/>
            <w:vAlign w:val="center"/>
            <w:hideMark/>
          </w:tcPr>
          <w:p w14:paraId="205AEBEB" w14:textId="77777777" w:rsidR="00037C13" w:rsidRPr="00CA0D36" w:rsidRDefault="00037C13" w:rsidP="00F77263">
            <w:pPr>
              <w:spacing w:after="0" w:line="240" w:lineRule="auto"/>
              <w:jc w:val="center"/>
              <w:rPr>
                <w:rFonts w:ascii="Arial" w:eastAsia="Times New Roman" w:hAnsi="Arial" w:cs="Arial"/>
                <w:b/>
                <w:bCs/>
                <w:color w:val="FFFFFF"/>
                <w:sz w:val="18"/>
                <w:szCs w:val="18"/>
                <w:lang w:eastAsia="es-CO"/>
              </w:rPr>
            </w:pPr>
            <w:r w:rsidRPr="00CA0D36">
              <w:rPr>
                <w:rFonts w:ascii="Arial" w:eastAsia="Times New Roman" w:hAnsi="Arial" w:cs="Arial"/>
                <w:b/>
                <w:bCs/>
                <w:color w:val="FFFFFF"/>
                <w:sz w:val="18"/>
                <w:szCs w:val="18"/>
                <w:lang w:eastAsia="es-CO"/>
              </w:rPr>
              <w:t xml:space="preserve"> $       11.861 </w:t>
            </w:r>
          </w:p>
        </w:tc>
      </w:tr>
    </w:tbl>
    <w:p w14:paraId="3647F1DD" w14:textId="77777777" w:rsidR="00037C13" w:rsidRPr="006A67B4" w:rsidRDefault="00037C13" w:rsidP="00C02282">
      <w:pPr>
        <w:spacing w:after="0" w:line="240" w:lineRule="auto"/>
        <w:jc w:val="center"/>
        <w:rPr>
          <w:rFonts w:ascii="Arial" w:eastAsia="Calibri" w:hAnsi="Arial" w:cs="Arial"/>
          <w:sz w:val="16"/>
          <w:szCs w:val="16"/>
          <w:highlight w:val="yellow"/>
        </w:rPr>
      </w:pPr>
    </w:p>
    <w:p w14:paraId="36DA89EB" w14:textId="77777777" w:rsidR="00C02282" w:rsidRPr="006A67B4" w:rsidRDefault="00C02282" w:rsidP="00C02282">
      <w:pPr>
        <w:spacing w:after="0" w:line="240" w:lineRule="auto"/>
        <w:jc w:val="center"/>
        <w:rPr>
          <w:rFonts w:ascii="Arial" w:eastAsia="Calibri" w:hAnsi="Arial" w:cs="Arial"/>
          <w:sz w:val="16"/>
          <w:szCs w:val="16"/>
          <w:highlight w:val="yellow"/>
        </w:rPr>
      </w:pPr>
    </w:p>
    <w:p w14:paraId="1BA30A2D" w14:textId="77777777" w:rsidR="00037C13" w:rsidRDefault="00037C13" w:rsidP="00C02282">
      <w:pPr>
        <w:spacing w:after="0" w:line="240" w:lineRule="auto"/>
        <w:jc w:val="center"/>
        <w:rPr>
          <w:rFonts w:ascii="Arial" w:eastAsia="Calibri" w:hAnsi="Arial" w:cs="Arial"/>
          <w:sz w:val="16"/>
          <w:szCs w:val="16"/>
          <w:highlight w:val="yellow"/>
        </w:rPr>
      </w:pPr>
    </w:p>
    <w:tbl>
      <w:tblPr>
        <w:tblW w:w="9346" w:type="dxa"/>
        <w:tblCellMar>
          <w:left w:w="70" w:type="dxa"/>
          <w:right w:w="70" w:type="dxa"/>
        </w:tblCellMar>
        <w:tblLook w:val="04A0" w:firstRow="1" w:lastRow="0" w:firstColumn="1" w:lastColumn="0" w:noHBand="0" w:noVBand="1"/>
      </w:tblPr>
      <w:tblGrid>
        <w:gridCol w:w="6086"/>
        <w:gridCol w:w="1701"/>
        <w:gridCol w:w="1559"/>
      </w:tblGrid>
      <w:tr w:rsidR="00037C13" w:rsidRPr="000E4CAF" w14:paraId="5E586C49" w14:textId="77777777" w:rsidTr="00F77263">
        <w:trPr>
          <w:trHeight w:val="598"/>
        </w:trPr>
        <w:tc>
          <w:tcPr>
            <w:tcW w:w="6086" w:type="dxa"/>
            <w:tcBorders>
              <w:top w:val="single" w:sz="8" w:space="0" w:color="auto"/>
              <w:left w:val="single" w:sz="8" w:space="0" w:color="auto"/>
              <w:bottom w:val="single" w:sz="8" w:space="0" w:color="auto"/>
              <w:right w:val="single" w:sz="4" w:space="0" w:color="auto"/>
            </w:tcBorders>
            <w:shd w:val="clear" w:color="000000" w:fill="244062"/>
            <w:vAlign w:val="center"/>
            <w:hideMark/>
          </w:tcPr>
          <w:p w14:paraId="0F9F6D35" w14:textId="77777777" w:rsidR="00037C13" w:rsidRPr="00DE57A6" w:rsidRDefault="00037C13" w:rsidP="00F77263">
            <w:pPr>
              <w:spacing w:after="0" w:line="240" w:lineRule="auto"/>
              <w:jc w:val="center"/>
              <w:rPr>
                <w:rFonts w:ascii="Arial" w:eastAsia="Times New Roman" w:hAnsi="Arial" w:cs="Arial"/>
                <w:b/>
                <w:bCs/>
                <w:color w:val="FFFFFF"/>
                <w:sz w:val="18"/>
                <w:szCs w:val="18"/>
                <w:lang w:eastAsia="es-CO"/>
              </w:rPr>
            </w:pPr>
            <w:r w:rsidRPr="00DE57A6">
              <w:rPr>
                <w:rFonts w:ascii="Arial" w:eastAsia="Times New Roman" w:hAnsi="Arial" w:cs="Arial"/>
                <w:b/>
                <w:bCs/>
                <w:color w:val="FFFFFF"/>
                <w:sz w:val="18"/>
                <w:szCs w:val="18"/>
                <w:lang w:eastAsia="es-CO"/>
              </w:rPr>
              <w:t>Concepto</w:t>
            </w:r>
          </w:p>
        </w:tc>
        <w:tc>
          <w:tcPr>
            <w:tcW w:w="1701" w:type="dxa"/>
            <w:tcBorders>
              <w:top w:val="single" w:sz="8" w:space="0" w:color="auto"/>
              <w:left w:val="nil"/>
              <w:bottom w:val="single" w:sz="8" w:space="0" w:color="auto"/>
              <w:right w:val="single" w:sz="4" w:space="0" w:color="auto"/>
            </w:tcBorders>
            <w:shd w:val="clear" w:color="000000" w:fill="244062"/>
            <w:vAlign w:val="center"/>
            <w:hideMark/>
          </w:tcPr>
          <w:p w14:paraId="722D3D6D" w14:textId="77777777" w:rsidR="00037C13" w:rsidRPr="00DE57A6" w:rsidRDefault="00037C13" w:rsidP="00F77263">
            <w:pPr>
              <w:spacing w:after="0" w:line="240" w:lineRule="auto"/>
              <w:jc w:val="center"/>
              <w:rPr>
                <w:rFonts w:ascii="Arial" w:eastAsia="Times New Roman" w:hAnsi="Arial" w:cs="Arial"/>
                <w:b/>
                <w:bCs/>
                <w:color w:val="FFFFFF"/>
                <w:sz w:val="18"/>
                <w:szCs w:val="18"/>
                <w:lang w:eastAsia="es-CO"/>
              </w:rPr>
            </w:pPr>
            <w:r w:rsidRPr="00DE57A6">
              <w:rPr>
                <w:rFonts w:ascii="Arial" w:eastAsia="Times New Roman" w:hAnsi="Arial" w:cs="Arial"/>
                <w:b/>
                <w:bCs/>
                <w:color w:val="FFFFFF"/>
                <w:sz w:val="18"/>
                <w:szCs w:val="18"/>
                <w:lang w:eastAsia="es-CO"/>
              </w:rPr>
              <w:t>Apropiación Inicial 2018</w:t>
            </w:r>
          </w:p>
        </w:tc>
        <w:tc>
          <w:tcPr>
            <w:tcW w:w="1559" w:type="dxa"/>
            <w:tcBorders>
              <w:top w:val="single" w:sz="8" w:space="0" w:color="auto"/>
              <w:left w:val="nil"/>
              <w:bottom w:val="single" w:sz="8" w:space="0" w:color="auto"/>
              <w:right w:val="single" w:sz="4" w:space="0" w:color="auto"/>
            </w:tcBorders>
            <w:shd w:val="clear" w:color="000000" w:fill="244062"/>
            <w:vAlign w:val="center"/>
            <w:hideMark/>
          </w:tcPr>
          <w:p w14:paraId="4C9A811F" w14:textId="77777777" w:rsidR="00037C13" w:rsidRPr="00DE57A6" w:rsidRDefault="00037C13" w:rsidP="00F77263">
            <w:pPr>
              <w:spacing w:after="0" w:line="240" w:lineRule="auto"/>
              <w:jc w:val="center"/>
              <w:rPr>
                <w:rFonts w:ascii="Arial" w:eastAsia="Times New Roman" w:hAnsi="Arial" w:cs="Arial"/>
                <w:b/>
                <w:bCs/>
                <w:color w:val="FFFFFF"/>
                <w:sz w:val="18"/>
                <w:szCs w:val="18"/>
                <w:lang w:eastAsia="es-CO"/>
              </w:rPr>
            </w:pPr>
            <w:r w:rsidRPr="00DE57A6">
              <w:rPr>
                <w:rFonts w:ascii="Arial" w:eastAsia="Times New Roman" w:hAnsi="Arial" w:cs="Arial"/>
                <w:b/>
                <w:bCs/>
                <w:color w:val="FFFFFF"/>
                <w:sz w:val="18"/>
                <w:szCs w:val="18"/>
                <w:lang w:eastAsia="es-CO"/>
              </w:rPr>
              <w:t>Apropiación</w:t>
            </w:r>
            <w:r w:rsidRPr="00DE57A6">
              <w:rPr>
                <w:rFonts w:ascii="Arial" w:eastAsia="Times New Roman" w:hAnsi="Arial" w:cs="Arial"/>
                <w:b/>
                <w:bCs/>
                <w:color w:val="FFFFFF"/>
                <w:sz w:val="18"/>
                <w:szCs w:val="18"/>
                <w:lang w:eastAsia="es-CO"/>
              </w:rPr>
              <w:br/>
              <w:t>Vigente 2018</w:t>
            </w:r>
          </w:p>
        </w:tc>
      </w:tr>
      <w:tr w:rsidR="00037C13" w:rsidRPr="000E4CAF" w14:paraId="4B7BB917" w14:textId="77777777" w:rsidTr="00F77263">
        <w:trPr>
          <w:trHeight w:val="596"/>
        </w:trPr>
        <w:tc>
          <w:tcPr>
            <w:tcW w:w="608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3F0730" w14:textId="77777777" w:rsidR="00037C13" w:rsidRPr="00DE57A6" w:rsidRDefault="00037C13" w:rsidP="00F77263">
            <w:pPr>
              <w:spacing w:after="0" w:line="240" w:lineRule="auto"/>
              <w:jc w:val="both"/>
              <w:rPr>
                <w:rFonts w:ascii="Arial" w:eastAsia="Times New Roman" w:hAnsi="Arial" w:cs="Arial"/>
                <w:sz w:val="18"/>
                <w:szCs w:val="18"/>
                <w:lang w:eastAsia="es-CO"/>
              </w:rPr>
            </w:pPr>
            <w:r w:rsidRPr="00DE57A6">
              <w:rPr>
                <w:rFonts w:ascii="Arial" w:eastAsia="Times New Roman" w:hAnsi="Arial" w:cs="Arial"/>
                <w:sz w:val="18"/>
                <w:szCs w:val="18"/>
                <w:lang w:eastAsia="es-CO"/>
              </w:rPr>
              <w:t>MEJORAMIENTO DEL MODELO INTEGRADO DE PLANEACIÓN Y GESTIÓN EN EL MINISTERIO DE MINAS Y ENERGÍA</w:t>
            </w:r>
          </w:p>
        </w:tc>
        <w:tc>
          <w:tcPr>
            <w:tcW w:w="1701" w:type="dxa"/>
            <w:tcBorders>
              <w:top w:val="nil"/>
              <w:left w:val="nil"/>
              <w:bottom w:val="single" w:sz="4" w:space="0" w:color="auto"/>
              <w:right w:val="single" w:sz="4" w:space="0" w:color="auto"/>
            </w:tcBorders>
            <w:shd w:val="clear" w:color="auto" w:fill="auto"/>
            <w:noWrap/>
            <w:vAlign w:val="center"/>
            <w:hideMark/>
          </w:tcPr>
          <w:p w14:paraId="6A0367AB" w14:textId="77777777" w:rsidR="00037C13" w:rsidRPr="00DE57A6" w:rsidRDefault="00037C13" w:rsidP="00F77263">
            <w:pPr>
              <w:spacing w:after="0" w:line="240" w:lineRule="auto"/>
              <w:jc w:val="center"/>
              <w:rPr>
                <w:rFonts w:ascii="Arial" w:eastAsia="Times New Roman" w:hAnsi="Arial" w:cs="Arial"/>
                <w:sz w:val="18"/>
                <w:szCs w:val="18"/>
                <w:lang w:eastAsia="es-CO"/>
              </w:rPr>
            </w:pPr>
            <w:r w:rsidRPr="00DE57A6">
              <w:rPr>
                <w:rFonts w:ascii="Arial" w:eastAsia="Times New Roman" w:hAnsi="Arial" w:cs="Arial"/>
                <w:sz w:val="18"/>
                <w:szCs w:val="18"/>
                <w:lang w:eastAsia="es-CO"/>
              </w:rPr>
              <w:t xml:space="preserve"> $           400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AD03E9" w14:textId="77777777" w:rsidR="00037C13" w:rsidRPr="00DE57A6" w:rsidRDefault="00037C13" w:rsidP="00F77263">
            <w:pPr>
              <w:spacing w:after="0" w:line="240" w:lineRule="auto"/>
              <w:jc w:val="center"/>
              <w:rPr>
                <w:rFonts w:ascii="Arial" w:eastAsia="Times New Roman" w:hAnsi="Arial" w:cs="Arial"/>
                <w:sz w:val="18"/>
                <w:szCs w:val="18"/>
                <w:lang w:eastAsia="es-CO"/>
              </w:rPr>
            </w:pPr>
            <w:r w:rsidRPr="00DE57A6">
              <w:rPr>
                <w:rFonts w:ascii="Arial" w:eastAsia="Times New Roman" w:hAnsi="Arial" w:cs="Arial"/>
                <w:sz w:val="18"/>
                <w:szCs w:val="18"/>
                <w:lang w:eastAsia="es-CO"/>
              </w:rPr>
              <w:t xml:space="preserve"> $            380 </w:t>
            </w:r>
          </w:p>
        </w:tc>
      </w:tr>
      <w:tr w:rsidR="00037C13" w:rsidRPr="000E4CAF" w14:paraId="00DF3C92" w14:textId="77777777" w:rsidTr="00F77263">
        <w:trPr>
          <w:trHeight w:val="639"/>
        </w:trPr>
        <w:tc>
          <w:tcPr>
            <w:tcW w:w="6086" w:type="dxa"/>
            <w:tcBorders>
              <w:top w:val="nil"/>
              <w:left w:val="single" w:sz="8" w:space="0" w:color="auto"/>
              <w:bottom w:val="nil"/>
              <w:right w:val="single" w:sz="4" w:space="0" w:color="auto"/>
            </w:tcBorders>
            <w:shd w:val="clear" w:color="auto" w:fill="auto"/>
            <w:vAlign w:val="center"/>
            <w:hideMark/>
          </w:tcPr>
          <w:p w14:paraId="64789114" w14:textId="77777777" w:rsidR="00037C13" w:rsidRPr="00DE57A6" w:rsidRDefault="00037C13" w:rsidP="00F77263">
            <w:pPr>
              <w:spacing w:after="0" w:line="240" w:lineRule="auto"/>
              <w:jc w:val="both"/>
              <w:rPr>
                <w:rFonts w:ascii="Arial" w:eastAsia="Times New Roman" w:hAnsi="Arial" w:cs="Arial"/>
                <w:sz w:val="18"/>
                <w:szCs w:val="18"/>
                <w:lang w:eastAsia="es-CO"/>
              </w:rPr>
            </w:pPr>
            <w:r w:rsidRPr="00DE57A6">
              <w:rPr>
                <w:rFonts w:ascii="Arial" w:eastAsia="Times New Roman" w:hAnsi="Arial" w:cs="Arial"/>
                <w:sz w:val="18"/>
                <w:szCs w:val="18"/>
                <w:lang w:eastAsia="es-CO"/>
              </w:rPr>
              <w:t>APOYO AL MINISTERIO DE MINAS Y ENERGÍA EN EL FORTALECIMIENTO DE LA GESTIÓN INTERNACIONAL NACIONAL</w:t>
            </w:r>
          </w:p>
        </w:tc>
        <w:tc>
          <w:tcPr>
            <w:tcW w:w="1701" w:type="dxa"/>
            <w:tcBorders>
              <w:top w:val="nil"/>
              <w:left w:val="nil"/>
              <w:bottom w:val="single" w:sz="4" w:space="0" w:color="auto"/>
              <w:right w:val="single" w:sz="4" w:space="0" w:color="auto"/>
            </w:tcBorders>
            <w:shd w:val="clear" w:color="auto" w:fill="auto"/>
            <w:noWrap/>
            <w:vAlign w:val="center"/>
            <w:hideMark/>
          </w:tcPr>
          <w:p w14:paraId="0062916C" w14:textId="77777777" w:rsidR="00037C13" w:rsidRPr="00DE57A6" w:rsidRDefault="00037C13" w:rsidP="00F77263">
            <w:pPr>
              <w:spacing w:after="0" w:line="240" w:lineRule="auto"/>
              <w:jc w:val="center"/>
              <w:rPr>
                <w:rFonts w:ascii="Arial" w:eastAsia="Times New Roman" w:hAnsi="Arial" w:cs="Arial"/>
                <w:sz w:val="18"/>
                <w:szCs w:val="18"/>
                <w:lang w:eastAsia="es-CO"/>
              </w:rPr>
            </w:pPr>
            <w:r w:rsidRPr="00DE57A6">
              <w:rPr>
                <w:rFonts w:ascii="Arial" w:eastAsia="Times New Roman" w:hAnsi="Arial" w:cs="Arial"/>
                <w:sz w:val="18"/>
                <w:szCs w:val="18"/>
                <w:lang w:eastAsia="es-CO"/>
              </w:rPr>
              <w:t xml:space="preserve"> $           200 </w:t>
            </w:r>
          </w:p>
        </w:tc>
        <w:tc>
          <w:tcPr>
            <w:tcW w:w="1559" w:type="dxa"/>
            <w:tcBorders>
              <w:top w:val="nil"/>
              <w:left w:val="nil"/>
              <w:bottom w:val="single" w:sz="4" w:space="0" w:color="auto"/>
              <w:right w:val="single" w:sz="4" w:space="0" w:color="auto"/>
            </w:tcBorders>
            <w:shd w:val="clear" w:color="auto" w:fill="auto"/>
            <w:noWrap/>
            <w:vAlign w:val="center"/>
            <w:hideMark/>
          </w:tcPr>
          <w:p w14:paraId="607197F3" w14:textId="77777777" w:rsidR="00037C13" w:rsidRPr="00DE57A6" w:rsidRDefault="00037C13" w:rsidP="00F77263">
            <w:pPr>
              <w:spacing w:after="0" w:line="240" w:lineRule="auto"/>
              <w:jc w:val="center"/>
              <w:rPr>
                <w:rFonts w:ascii="Arial" w:eastAsia="Times New Roman" w:hAnsi="Arial" w:cs="Arial"/>
                <w:sz w:val="18"/>
                <w:szCs w:val="18"/>
                <w:lang w:eastAsia="es-CO"/>
              </w:rPr>
            </w:pPr>
            <w:r w:rsidRPr="00DE57A6">
              <w:rPr>
                <w:rFonts w:ascii="Arial" w:eastAsia="Times New Roman" w:hAnsi="Arial" w:cs="Arial"/>
                <w:sz w:val="18"/>
                <w:szCs w:val="18"/>
                <w:lang w:eastAsia="es-CO"/>
              </w:rPr>
              <w:t xml:space="preserve"> $            200 </w:t>
            </w:r>
          </w:p>
        </w:tc>
      </w:tr>
      <w:tr w:rsidR="00037C13" w:rsidRPr="000E4CAF" w14:paraId="06A1CB54" w14:textId="77777777" w:rsidTr="00F77263">
        <w:trPr>
          <w:trHeight w:val="450"/>
        </w:trPr>
        <w:tc>
          <w:tcPr>
            <w:tcW w:w="6086" w:type="dxa"/>
            <w:tcBorders>
              <w:top w:val="single" w:sz="8" w:space="0" w:color="auto"/>
              <w:left w:val="single" w:sz="8" w:space="0" w:color="auto"/>
              <w:bottom w:val="single" w:sz="8" w:space="0" w:color="auto"/>
              <w:right w:val="single" w:sz="4" w:space="0" w:color="auto"/>
            </w:tcBorders>
            <w:shd w:val="clear" w:color="000000" w:fill="244062"/>
            <w:vAlign w:val="center"/>
            <w:hideMark/>
          </w:tcPr>
          <w:p w14:paraId="0F234F22" w14:textId="77777777" w:rsidR="00037C13" w:rsidRPr="00DE57A6" w:rsidRDefault="00037C13" w:rsidP="00F77263">
            <w:pPr>
              <w:spacing w:after="0" w:line="240" w:lineRule="auto"/>
              <w:jc w:val="center"/>
              <w:rPr>
                <w:rFonts w:ascii="Arial" w:eastAsia="Times New Roman" w:hAnsi="Arial" w:cs="Arial"/>
                <w:b/>
                <w:bCs/>
                <w:color w:val="FFFFFF"/>
                <w:sz w:val="18"/>
                <w:szCs w:val="18"/>
                <w:lang w:eastAsia="es-CO"/>
              </w:rPr>
            </w:pPr>
            <w:r w:rsidRPr="00DE57A6">
              <w:rPr>
                <w:rFonts w:ascii="Arial" w:eastAsia="Times New Roman" w:hAnsi="Arial" w:cs="Arial"/>
                <w:b/>
                <w:bCs/>
                <w:color w:val="FFFFFF"/>
                <w:sz w:val="18"/>
                <w:szCs w:val="18"/>
                <w:lang w:eastAsia="es-CO"/>
              </w:rPr>
              <w:t>Subtotal Planeación</w:t>
            </w:r>
          </w:p>
        </w:tc>
        <w:tc>
          <w:tcPr>
            <w:tcW w:w="1701" w:type="dxa"/>
            <w:tcBorders>
              <w:top w:val="single" w:sz="8" w:space="0" w:color="auto"/>
              <w:left w:val="nil"/>
              <w:bottom w:val="single" w:sz="8" w:space="0" w:color="auto"/>
              <w:right w:val="single" w:sz="4" w:space="0" w:color="auto"/>
            </w:tcBorders>
            <w:shd w:val="clear" w:color="000000" w:fill="244062"/>
            <w:noWrap/>
            <w:vAlign w:val="center"/>
            <w:hideMark/>
          </w:tcPr>
          <w:p w14:paraId="589F97A1" w14:textId="77777777" w:rsidR="00037C13" w:rsidRPr="00DE57A6" w:rsidRDefault="00037C13" w:rsidP="00F77263">
            <w:pPr>
              <w:spacing w:after="0" w:line="240" w:lineRule="auto"/>
              <w:jc w:val="center"/>
              <w:rPr>
                <w:rFonts w:ascii="Arial" w:eastAsia="Times New Roman" w:hAnsi="Arial" w:cs="Arial"/>
                <w:b/>
                <w:bCs/>
                <w:color w:val="FFFFFF"/>
                <w:sz w:val="18"/>
                <w:szCs w:val="18"/>
                <w:lang w:eastAsia="es-CO"/>
              </w:rPr>
            </w:pPr>
            <w:r w:rsidRPr="00DE57A6">
              <w:rPr>
                <w:rFonts w:ascii="Arial" w:eastAsia="Times New Roman" w:hAnsi="Arial" w:cs="Arial"/>
                <w:b/>
                <w:bCs/>
                <w:color w:val="FFFFFF"/>
                <w:sz w:val="18"/>
                <w:szCs w:val="18"/>
                <w:lang w:eastAsia="es-CO"/>
              </w:rPr>
              <w:t xml:space="preserve"> $           600 </w:t>
            </w:r>
          </w:p>
        </w:tc>
        <w:tc>
          <w:tcPr>
            <w:tcW w:w="1559" w:type="dxa"/>
            <w:tcBorders>
              <w:top w:val="single" w:sz="8" w:space="0" w:color="auto"/>
              <w:left w:val="nil"/>
              <w:bottom w:val="single" w:sz="8" w:space="0" w:color="auto"/>
              <w:right w:val="single" w:sz="4" w:space="0" w:color="auto"/>
            </w:tcBorders>
            <w:shd w:val="clear" w:color="000000" w:fill="244062"/>
            <w:noWrap/>
            <w:vAlign w:val="center"/>
            <w:hideMark/>
          </w:tcPr>
          <w:p w14:paraId="7D88DD61" w14:textId="77777777" w:rsidR="00037C13" w:rsidRPr="00DE57A6" w:rsidRDefault="00037C13" w:rsidP="00F77263">
            <w:pPr>
              <w:spacing w:after="0" w:line="240" w:lineRule="auto"/>
              <w:jc w:val="center"/>
              <w:rPr>
                <w:rFonts w:ascii="Arial" w:eastAsia="Times New Roman" w:hAnsi="Arial" w:cs="Arial"/>
                <w:b/>
                <w:bCs/>
                <w:color w:val="FFFFFF"/>
                <w:sz w:val="18"/>
                <w:szCs w:val="18"/>
                <w:lang w:eastAsia="es-CO"/>
              </w:rPr>
            </w:pPr>
            <w:r w:rsidRPr="00DE57A6">
              <w:rPr>
                <w:rFonts w:ascii="Arial" w:eastAsia="Times New Roman" w:hAnsi="Arial" w:cs="Arial"/>
                <w:b/>
                <w:bCs/>
                <w:color w:val="FFFFFF"/>
                <w:sz w:val="18"/>
                <w:szCs w:val="18"/>
                <w:lang w:eastAsia="es-CO"/>
              </w:rPr>
              <w:t xml:space="preserve"> $            580 </w:t>
            </w:r>
          </w:p>
        </w:tc>
      </w:tr>
    </w:tbl>
    <w:p w14:paraId="4631809B" w14:textId="77777777" w:rsidR="00037C13" w:rsidRPr="00037C13" w:rsidRDefault="00037C13" w:rsidP="00037C13">
      <w:pPr>
        <w:spacing w:after="0" w:line="240" w:lineRule="auto"/>
        <w:jc w:val="center"/>
        <w:rPr>
          <w:rFonts w:ascii="Arial" w:eastAsia="Calibri" w:hAnsi="Arial" w:cs="Arial"/>
          <w:sz w:val="16"/>
          <w:szCs w:val="16"/>
        </w:rPr>
      </w:pPr>
      <w:r w:rsidRPr="00037C13">
        <w:rPr>
          <w:rFonts w:ascii="Arial" w:hAnsi="Arial" w:cs="Arial"/>
          <w:sz w:val="16"/>
          <w:szCs w:val="16"/>
          <w:lang w:eastAsia="es-ES"/>
        </w:rPr>
        <w:t>Cifras en Millones de pesos</w:t>
      </w:r>
    </w:p>
    <w:p w14:paraId="741F817D" w14:textId="77777777" w:rsidR="00037C13" w:rsidRPr="00037C13" w:rsidRDefault="00037C13" w:rsidP="00037C13">
      <w:pPr>
        <w:spacing w:after="0" w:line="240" w:lineRule="auto"/>
        <w:jc w:val="center"/>
        <w:rPr>
          <w:rFonts w:ascii="Arial" w:eastAsia="Calibri" w:hAnsi="Arial" w:cs="Arial"/>
          <w:sz w:val="16"/>
          <w:szCs w:val="16"/>
        </w:rPr>
      </w:pPr>
      <w:r w:rsidRPr="00037C13">
        <w:rPr>
          <w:rFonts w:ascii="Arial" w:eastAsia="Calibri" w:hAnsi="Arial" w:cs="Arial"/>
          <w:sz w:val="16"/>
          <w:szCs w:val="16"/>
        </w:rPr>
        <w:t>Fuente: SIIF – Nación MME</w:t>
      </w:r>
    </w:p>
    <w:p w14:paraId="316F2306" w14:textId="77777777" w:rsidR="00037C13" w:rsidRPr="006A67B4" w:rsidRDefault="00037C13" w:rsidP="00C02282">
      <w:pPr>
        <w:spacing w:after="0" w:line="240" w:lineRule="auto"/>
        <w:jc w:val="center"/>
        <w:rPr>
          <w:rFonts w:ascii="Arial" w:eastAsia="Calibri" w:hAnsi="Arial" w:cs="Arial"/>
          <w:sz w:val="16"/>
          <w:szCs w:val="16"/>
          <w:highlight w:val="yellow"/>
        </w:rPr>
      </w:pPr>
    </w:p>
    <w:p w14:paraId="659E0174" w14:textId="77777777" w:rsidR="00C02282" w:rsidRPr="006A67B4" w:rsidRDefault="00C02282" w:rsidP="00037C13">
      <w:pPr>
        <w:spacing w:after="0" w:line="240" w:lineRule="auto"/>
        <w:rPr>
          <w:rFonts w:ascii="Arial" w:eastAsia="Calibri" w:hAnsi="Arial" w:cs="Arial"/>
          <w:sz w:val="16"/>
          <w:szCs w:val="16"/>
          <w:highlight w:val="yellow"/>
        </w:rPr>
      </w:pPr>
    </w:p>
    <w:p w14:paraId="79AAB97F" w14:textId="67B5318E" w:rsidR="00C02282" w:rsidRPr="006223E6" w:rsidRDefault="00C02282" w:rsidP="000D4084">
      <w:pPr>
        <w:pStyle w:val="Ttulo1"/>
        <w:numPr>
          <w:ilvl w:val="0"/>
          <w:numId w:val="6"/>
        </w:numPr>
        <w:rPr>
          <w:rFonts w:ascii="Arial" w:eastAsia="Arial" w:hAnsi="Arial" w:cs="Arial"/>
          <w:b/>
          <w:color w:val="auto"/>
          <w:sz w:val="22"/>
          <w:szCs w:val="22"/>
          <w:lang w:eastAsia="es-CO"/>
        </w:rPr>
      </w:pPr>
      <w:bookmarkStart w:id="15" w:name="_Toc525652012"/>
      <w:r w:rsidRPr="006223E6">
        <w:rPr>
          <w:rFonts w:ascii="Arial" w:eastAsia="Arial" w:hAnsi="Arial" w:cs="Arial"/>
          <w:b/>
          <w:color w:val="auto"/>
          <w:sz w:val="22"/>
          <w:szCs w:val="22"/>
          <w:lang w:eastAsia="es-CO"/>
        </w:rPr>
        <w:t>INGRESOS Y GASTOS DEL MME</w:t>
      </w:r>
      <w:bookmarkEnd w:id="15"/>
    </w:p>
    <w:p w14:paraId="259B2EBB" w14:textId="77777777" w:rsidR="00C02282" w:rsidRPr="006223E6" w:rsidRDefault="00C02282" w:rsidP="00055F7C">
      <w:pPr>
        <w:pStyle w:val="Ttulo2"/>
        <w:numPr>
          <w:ilvl w:val="1"/>
          <w:numId w:val="6"/>
        </w:numPr>
        <w:rPr>
          <w:rFonts w:ascii="Arial" w:eastAsia="Calibri" w:hAnsi="Arial" w:cs="Arial"/>
          <w:color w:val="auto"/>
          <w:sz w:val="22"/>
          <w:szCs w:val="22"/>
        </w:rPr>
      </w:pPr>
      <w:bookmarkStart w:id="16" w:name="_Toc525652013"/>
      <w:r w:rsidRPr="006223E6">
        <w:rPr>
          <w:rFonts w:ascii="Arial" w:eastAsia="Calibri" w:hAnsi="Arial" w:cs="Arial"/>
          <w:color w:val="auto"/>
          <w:sz w:val="22"/>
          <w:szCs w:val="22"/>
        </w:rPr>
        <w:t>Ingresos MME</w:t>
      </w:r>
      <w:bookmarkEnd w:id="16"/>
    </w:p>
    <w:p w14:paraId="47423F77" w14:textId="77777777" w:rsidR="00037C13" w:rsidRDefault="00037C13" w:rsidP="00037C13">
      <w:pPr>
        <w:rPr>
          <w:highlight w:val="yellow"/>
        </w:rPr>
      </w:pPr>
    </w:p>
    <w:p w14:paraId="60DAC105" w14:textId="77777777" w:rsidR="00037C13" w:rsidRPr="00D44931" w:rsidRDefault="00037C13" w:rsidP="00037C13">
      <w:pPr>
        <w:spacing w:after="0" w:line="240" w:lineRule="auto"/>
        <w:jc w:val="both"/>
        <w:rPr>
          <w:rFonts w:ascii="Arial" w:hAnsi="Arial" w:cs="Arial"/>
        </w:rPr>
      </w:pPr>
      <w:r w:rsidRPr="00D44931">
        <w:rPr>
          <w:rFonts w:ascii="Arial" w:hAnsi="Arial" w:cs="Arial"/>
        </w:rPr>
        <w:t xml:space="preserve">Para los Fondos FENOGE, FAER, FOES, FAZNI y ZONAS DE FRONTERA; la ejecución a 30 de junio no ha llegado al 50% teniendo en cuenta que la proyección elaborada en su momento, se tuvo en cuenta los rendimientos financieros que estos recursos generaban en el año 2017 y </w:t>
      </w:r>
      <w:r w:rsidRPr="00D44931">
        <w:rPr>
          <w:rFonts w:ascii="Arial" w:hAnsi="Arial" w:cs="Arial"/>
        </w:rPr>
        <w:lastRenderedPageBreak/>
        <w:t>anteriores, los cuales eran reconocidos por el Ministerio de Hacienda y Crédito Público, este concepto fue registrado y pagado hasta el 30 de junio del año 2017, motivo por el cual dichos valores inciden en un menor valor porcentual en la ejecución de recaudos.</w:t>
      </w:r>
    </w:p>
    <w:p w14:paraId="432BB7DB" w14:textId="77777777" w:rsidR="00037C13" w:rsidRPr="00D44931" w:rsidRDefault="00037C13" w:rsidP="00037C13">
      <w:pPr>
        <w:spacing w:after="0" w:line="240" w:lineRule="auto"/>
        <w:jc w:val="both"/>
        <w:rPr>
          <w:rFonts w:ascii="Arial" w:hAnsi="Arial" w:cs="Arial"/>
        </w:rPr>
      </w:pPr>
    </w:p>
    <w:p w14:paraId="7F391AA1" w14:textId="77777777" w:rsidR="00037C13" w:rsidRDefault="00037C13" w:rsidP="00037C13">
      <w:pPr>
        <w:spacing w:after="0" w:line="240" w:lineRule="auto"/>
        <w:jc w:val="both"/>
        <w:rPr>
          <w:rFonts w:ascii="Arial" w:hAnsi="Arial" w:cs="Arial"/>
        </w:rPr>
      </w:pPr>
      <w:r w:rsidRPr="00D44931">
        <w:rPr>
          <w:rFonts w:ascii="Arial" w:hAnsi="Arial" w:cs="Arial"/>
        </w:rPr>
        <w:t>El Fondo Rotatorio del Ministerio de Minas y Energía incremento su proyección debido a las multas esporádicas que se cobraron en el año 2017 y que fueron generadas por la Dirección de Hidrocarburos, valores que seguramente no se recaudaran en el año 2018.</w:t>
      </w:r>
    </w:p>
    <w:p w14:paraId="69D206ED" w14:textId="77777777" w:rsidR="00037C13" w:rsidRDefault="00037C13" w:rsidP="00037C13">
      <w:pPr>
        <w:spacing w:after="0" w:line="240" w:lineRule="auto"/>
        <w:jc w:val="both"/>
        <w:rPr>
          <w:rFonts w:ascii="Arial" w:hAnsi="Arial" w:cs="Arial"/>
        </w:rPr>
      </w:pPr>
    </w:p>
    <w:p w14:paraId="4D7FA753" w14:textId="77777777" w:rsidR="00037C13" w:rsidRPr="00D44931" w:rsidRDefault="00037C13" w:rsidP="00037C13">
      <w:pPr>
        <w:spacing w:after="0" w:line="240" w:lineRule="auto"/>
        <w:jc w:val="both"/>
        <w:rPr>
          <w:rFonts w:ascii="Arial" w:hAnsi="Arial" w:cs="Arial"/>
        </w:rPr>
      </w:pPr>
      <w:r w:rsidRPr="00D44931">
        <w:rPr>
          <w:rFonts w:ascii="Arial" w:hAnsi="Arial" w:cs="Arial"/>
        </w:rPr>
        <w:t>Los Fondos de Solidaridad Sector Eléctrico y Gas tienen una fluctuación variable en su recaudo, el cual depende del saldo resultante al cruzar las contribuciones otorgadas por las empresas comercializadoras y operadoras de energía y gas para los estratos 5 y 6; así como para el sector industrial y comercial, frente a los subsidios otorgados a los estratos 1, 2 y 3, y a las Zonas No interconectadas (ZNI) beneficiarios de Subsidios de dichos sectores. Adicionalmente a este recaudo, también se reciben ingresos por los giros realizados por estas empresas por acuerdos de pago de cobros coactivos suscritos con el Ministerio de Minas y Energía, por valores adeudados a los Fondos de Solidaridad.</w:t>
      </w:r>
    </w:p>
    <w:p w14:paraId="354303C1" w14:textId="77777777" w:rsidR="00037C13" w:rsidRPr="00D44931" w:rsidRDefault="00037C13" w:rsidP="00037C13">
      <w:pPr>
        <w:spacing w:after="0" w:line="240" w:lineRule="auto"/>
        <w:jc w:val="both"/>
        <w:rPr>
          <w:rFonts w:ascii="Arial" w:hAnsi="Arial" w:cs="Arial"/>
        </w:rPr>
      </w:pPr>
    </w:p>
    <w:p w14:paraId="66F3CC77" w14:textId="77777777" w:rsidR="00037C13" w:rsidRDefault="00037C13" w:rsidP="00037C13">
      <w:pPr>
        <w:spacing w:after="0" w:line="240" w:lineRule="auto"/>
        <w:jc w:val="both"/>
        <w:rPr>
          <w:rFonts w:ascii="Arial" w:hAnsi="Arial" w:cs="Arial"/>
        </w:rPr>
      </w:pPr>
      <w:r w:rsidRPr="00D44931">
        <w:rPr>
          <w:rFonts w:ascii="Arial" w:hAnsi="Arial" w:cs="Arial"/>
        </w:rPr>
        <w:t>Es de anotar que el valor del recaudo para estos Fondos de Solidaridad ha venido decayendo en los últimos años, debido a que al cruzar la parte contributiva de las empresas comercializadoras y operadoras de energía y gas para los estratos 5 y 6 y para el sector industrial y comercial, frente a los usuarios de estratos bajos subsidiados, la mayoría de estos operadores y comercializadores obtienen un resultado deficitario, y no superavitario frente a las proyecciones que fueron realizadas con anterioridad.</w:t>
      </w:r>
    </w:p>
    <w:p w14:paraId="70474880" w14:textId="77777777" w:rsidR="00C02282" w:rsidRPr="006223E6" w:rsidRDefault="00C02282" w:rsidP="00C02282">
      <w:pPr>
        <w:pStyle w:val="Descripcin"/>
        <w:keepNext/>
        <w:jc w:val="center"/>
      </w:pPr>
      <w:bookmarkStart w:id="17" w:name="_Toc525652449"/>
      <w:r w:rsidRPr="006223E6">
        <w:lastRenderedPageBreak/>
        <w:t xml:space="preserve">Tabla </w:t>
      </w:r>
      <w:r w:rsidRPr="006223E6">
        <w:fldChar w:fldCharType="begin"/>
      </w:r>
      <w:r w:rsidRPr="006223E6">
        <w:instrText xml:space="preserve"> SEQ Tabla \* ARABIC </w:instrText>
      </w:r>
      <w:r w:rsidRPr="006223E6">
        <w:fldChar w:fldCharType="separate"/>
      </w:r>
      <w:r w:rsidR="008B4625">
        <w:rPr>
          <w:noProof/>
        </w:rPr>
        <w:t>3</w:t>
      </w:r>
      <w:r w:rsidRPr="006223E6">
        <w:fldChar w:fldCharType="end"/>
      </w:r>
      <w:r w:rsidRPr="006223E6">
        <w:t xml:space="preserve"> Ingresos Ministerio de Minas y Energía – Gestión General</w:t>
      </w:r>
      <w:bookmarkEnd w:id="17"/>
    </w:p>
    <w:bookmarkStart w:id="18" w:name="_MON_1593843559"/>
    <w:bookmarkEnd w:id="18"/>
    <w:p w14:paraId="07BC8A50" w14:textId="55BF855A" w:rsidR="00165C80" w:rsidRPr="00037C13" w:rsidRDefault="00165C80" w:rsidP="00165C80">
      <w:pPr>
        <w:spacing w:after="0" w:line="240" w:lineRule="auto"/>
        <w:jc w:val="center"/>
        <w:rPr>
          <w:rFonts w:ascii="Arial" w:eastAsia="Calibri" w:hAnsi="Arial" w:cs="Arial"/>
          <w:sz w:val="16"/>
          <w:szCs w:val="16"/>
        </w:rPr>
      </w:pPr>
      <w:r w:rsidRPr="00D44931">
        <w:rPr>
          <w:rFonts w:ascii="Arial" w:hAnsi="Arial" w:cs="Arial"/>
          <w:b/>
          <w:sz w:val="24"/>
          <w:szCs w:val="24"/>
        </w:rPr>
        <w:object w:dxaOrig="17436" w:dyaOrig="21195" w14:anchorId="78174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8pt;height:525.65pt" o:ole="">
            <v:imagedata r:id="rId19" o:title=""/>
          </v:shape>
          <o:OLEObject Type="Embed" ProgID="Excel.Sheet.12" ShapeID="_x0000_i1025" DrawAspect="Content" ObjectID="_1609164566" r:id="rId20"/>
        </w:object>
      </w:r>
      <w:r w:rsidRPr="00165C80">
        <w:rPr>
          <w:rFonts w:ascii="Arial" w:hAnsi="Arial" w:cs="Arial"/>
          <w:sz w:val="16"/>
          <w:szCs w:val="16"/>
          <w:lang w:eastAsia="es-ES"/>
        </w:rPr>
        <w:t xml:space="preserve"> </w:t>
      </w:r>
      <w:r w:rsidRPr="00037C13">
        <w:rPr>
          <w:rFonts w:ascii="Arial" w:hAnsi="Arial" w:cs="Arial"/>
          <w:sz w:val="16"/>
          <w:szCs w:val="16"/>
          <w:lang w:eastAsia="es-ES"/>
        </w:rPr>
        <w:t>Cifras en Millones de pesos</w:t>
      </w:r>
    </w:p>
    <w:p w14:paraId="6712C294" w14:textId="77777777" w:rsidR="00165C80" w:rsidRPr="00037C13" w:rsidRDefault="00165C80" w:rsidP="00165C80">
      <w:pPr>
        <w:spacing w:after="0" w:line="240" w:lineRule="auto"/>
        <w:jc w:val="center"/>
        <w:rPr>
          <w:rFonts w:ascii="Arial" w:eastAsia="Calibri" w:hAnsi="Arial" w:cs="Arial"/>
          <w:sz w:val="16"/>
          <w:szCs w:val="16"/>
        </w:rPr>
      </w:pPr>
      <w:r w:rsidRPr="00037C13">
        <w:rPr>
          <w:rFonts w:ascii="Arial" w:eastAsia="Calibri" w:hAnsi="Arial" w:cs="Arial"/>
          <w:sz w:val="16"/>
          <w:szCs w:val="16"/>
        </w:rPr>
        <w:t>Fuente: SIIF – Nación MME</w:t>
      </w:r>
    </w:p>
    <w:p w14:paraId="4CF17750" w14:textId="7623E118" w:rsidR="00C02282" w:rsidRDefault="00C02282" w:rsidP="00165C80">
      <w:pPr>
        <w:jc w:val="center"/>
        <w:rPr>
          <w:rFonts w:ascii="Arial" w:eastAsia="Calibri" w:hAnsi="Arial" w:cs="Arial"/>
          <w:sz w:val="16"/>
          <w:szCs w:val="16"/>
          <w:highlight w:val="yellow"/>
        </w:rPr>
      </w:pPr>
    </w:p>
    <w:p w14:paraId="5BD485C4" w14:textId="77777777" w:rsidR="00165C80" w:rsidRPr="00690F9B" w:rsidRDefault="00165C80" w:rsidP="00165C80">
      <w:pPr>
        <w:pStyle w:val="Prrafodelista"/>
        <w:tabs>
          <w:tab w:val="left" w:pos="-284"/>
          <w:tab w:val="left" w:pos="-142"/>
        </w:tabs>
        <w:spacing w:after="0" w:line="240" w:lineRule="auto"/>
        <w:ind w:left="0"/>
        <w:jc w:val="both"/>
        <w:rPr>
          <w:rFonts w:cs="Arial"/>
        </w:rPr>
      </w:pPr>
      <w:r w:rsidRPr="00690F9B">
        <w:rPr>
          <w:rFonts w:cs="Arial"/>
        </w:rPr>
        <w:lastRenderedPageBreak/>
        <w:t>El Fondo Especial Cuota de Fomento y PRONE, han tenido un mayor recaudo de acuerdo a las proyecciones previstas en el Presupuesto General de la Nación, acorde con los recursos recaudados por Administrador del sistema de intercambios comerciales ASIC</w:t>
      </w:r>
      <w:r>
        <w:rPr>
          <w:rFonts w:cs="Arial"/>
        </w:rPr>
        <w:t>.</w:t>
      </w:r>
    </w:p>
    <w:p w14:paraId="23E467A7" w14:textId="77777777" w:rsidR="00C02282" w:rsidRPr="006A67B4" w:rsidRDefault="00C02282" w:rsidP="00C02282">
      <w:pPr>
        <w:spacing w:after="0" w:line="240" w:lineRule="auto"/>
        <w:jc w:val="both"/>
        <w:rPr>
          <w:rFonts w:ascii="Arial" w:eastAsia="Calibri" w:hAnsi="Arial" w:cs="Arial"/>
          <w:sz w:val="16"/>
          <w:szCs w:val="16"/>
          <w:highlight w:val="yellow"/>
        </w:rPr>
      </w:pPr>
    </w:p>
    <w:p w14:paraId="0C694059" w14:textId="77777777" w:rsidR="00C02282" w:rsidRPr="006A67B4" w:rsidRDefault="00C02282" w:rsidP="00C02282">
      <w:pPr>
        <w:spacing w:after="0" w:line="240" w:lineRule="auto"/>
        <w:jc w:val="both"/>
        <w:rPr>
          <w:rFonts w:ascii="Arial" w:eastAsia="Calibri" w:hAnsi="Arial" w:cs="Arial"/>
          <w:sz w:val="16"/>
          <w:szCs w:val="16"/>
          <w:highlight w:val="yellow"/>
        </w:rPr>
      </w:pPr>
    </w:p>
    <w:p w14:paraId="3CD63F2B" w14:textId="77777777" w:rsidR="00C02282" w:rsidRPr="006223E6" w:rsidRDefault="00C02282" w:rsidP="00055F7C">
      <w:pPr>
        <w:pStyle w:val="Ttulo2"/>
        <w:numPr>
          <w:ilvl w:val="1"/>
          <w:numId w:val="6"/>
        </w:numPr>
        <w:spacing w:before="0" w:line="240" w:lineRule="auto"/>
        <w:rPr>
          <w:rFonts w:ascii="Arial" w:eastAsia="Calibri" w:hAnsi="Arial" w:cs="Arial"/>
          <w:color w:val="auto"/>
          <w:sz w:val="22"/>
          <w:szCs w:val="22"/>
        </w:rPr>
      </w:pPr>
      <w:bookmarkStart w:id="19" w:name="_Toc525652014"/>
      <w:r w:rsidRPr="006223E6">
        <w:rPr>
          <w:rFonts w:ascii="Arial" w:eastAsia="Calibri" w:hAnsi="Arial" w:cs="Arial"/>
          <w:color w:val="auto"/>
          <w:sz w:val="22"/>
          <w:szCs w:val="22"/>
        </w:rPr>
        <w:t>Gastos MME</w:t>
      </w:r>
      <w:bookmarkEnd w:id="19"/>
    </w:p>
    <w:p w14:paraId="594B88BB" w14:textId="77777777" w:rsidR="00574675" w:rsidRPr="00574675" w:rsidRDefault="00574675" w:rsidP="00574675">
      <w:pPr>
        <w:rPr>
          <w:highlight w:val="yellow"/>
        </w:rPr>
      </w:pPr>
    </w:p>
    <w:p w14:paraId="321A3D7C" w14:textId="77777777" w:rsidR="00574675" w:rsidRPr="00690F9B" w:rsidRDefault="00574675" w:rsidP="00574675">
      <w:pPr>
        <w:spacing w:after="0" w:line="240" w:lineRule="auto"/>
        <w:jc w:val="both"/>
        <w:outlineLvl w:val="0"/>
        <w:rPr>
          <w:rFonts w:ascii="Arial" w:eastAsia="Arial" w:hAnsi="Arial" w:cs="Arial"/>
        </w:rPr>
      </w:pPr>
      <w:bookmarkStart w:id="20" w:name="_Toc525652015"/>
      <w:r w:rsidRPr="00690F9B">
        <w:rPr>
          <w:rFonts w:ascii="Arial" w:eastAsia="Arial" w:hAnsi="Arial" w:cs="Arial"/>
        </w:rPr>
        <w:t>La ejecución presupuestal correspondiente al segundo trimestre de 2018 se detalla a continuación:</w:t>
      </w:r>
      <w:bookmarkEnd w:id="20"/>
    </w:p>
    <w:p w14:paraId="02422E3D" w14:textId="77777777" w:rsidR="00C02282" w:rsidRDefault="00C02282" w:rsidP="00C02282">
      <w:pPr>
        <w:spacing w:after="0" w:line="240" w:lineRule="auto"/>
        <w:rPr>
          <w:highlight w:val="yellow"/>
        </w:rPr>
      </w:pPr>
    </w:p>
    <w:p w14:paraId="33B59CC2" w14:textId="58BB7411" w:rsidR="00574675" w:rsidRDefault="006223E6" w:rsidP="006223E6">
      <w:pPr>
        <w:pStyle w:val="Descripcin"/>
        <w:keepNext/>
        <w:jc w:val="center"/>
        <w:rPr>
          <w:rFonts w:ascii="Arial" w:hAnsi="Arial" w:cs="Arial"/>
          <w:b/>
          <w:sz w:val="24"/>
          <w:szCs w:val="24"/>
        </w:rPr>
      </w:pPr>
      <w:bookmarkStart w:id="21" w:name="_Toc525652450"/>
      <w:r>
        <w:t xml:space="preserve">Tabla </w:t>
      </w:r>
      <w:r>
        <w:fldChar w:fldCharType="begin"/>
      </w:r>
      <w:r>
        <w:instrText xml:space="preserve"> SEQ Tabla \* ARABIC </w:instrText>
      </w:r>
      <w:r>
        <w:fldChar w:fldCharType="separate"/>
      </w:r>
      <w:r w:rsidR="008B4625">
        <w:rPr>
          <w:noProof/>
        </w:rPr>
        <w:t>4</w:t>
      </w:r>
      <w:r>
        <w:fldChar w:fldCharType="end"/>
      </w:r>
      <w:r w:rsidR="008B378D">
        <w:t xml:space="preserve"> </w:t>
      </w:r>
      <w:r w:rsidR="00D71409">
        <w:t>Ejecución</w:t>
      </w:r>
      <w:r>
        <w:t xml:space="preserve"> Presupuesto de Gastos de junio 30 de 2018</w:t>
      </w:r>
      <w:bookmarkEnd w:id="21"/>
    </w:p>
    <w:bookmarkStart w:id="22" w:name="_MON_1593521073"/>
    <w:bookmarkEnd w:id="22"/>
    <w:p w14:paraId="27E413A2" w14:textId="68308431" w:rsidR="008B378D" w:rsidRDefault="008B378D" w:rsidP="006223E6">
      <w:pPr>
        <w:spacing w:after="0" w:line="240" w:lineRule="auto"/>
        <w:jc w:val="center"/>
        <w:rPr>
          <w:rFonts w:ascii="Arial" w:eastAsia="Times New Roman" w:hAnsi="Arial" w:cs="Arial"/>
          <w:noProof/>
          <w:sz w:val="18"/>
          <w:szCs w:val="18"/>
          <w:lang w:eastAsia="es-CO"/>
        </w:rPr>
      </w:pPr>
      <w:r w:rsidRPr="00D44931">
        <w:rPr>
          <w:rFonts w:ascii="Arial" w:hAnsi="Arial" w:cs="Arial"/>
          <w:b/>
          <w:sz w:val="24"/>
          <w:szCs w:val="24"/>
        </w:rPr>
        <w:object w:dxaOrig="12465" w:dyaOrig="4125" w14:anchorId="6095A6E5">
          <v:shape id="_x0000_i1026" type="#_x0000_t75" style="width:458.5pt;height:130.75pt" o:ole="">
            <v:imagedata r:id="rId21" o:title=""/>
          </v:shape>
          <o:OLEObject Type="Embed" ProgID="Excel.Sheet.12" ShapeID="_x0000_i1026" DrawAspect="Content" ObjectID="_1609164567" r:id="rId22"/>
        </w:object>
      </w:r>
    </w:p>
    <w:p w14:paraId="50F9E978" w14:textId="77777777" w:rsidR="002B2F4A" w:rsidRDefault="002B2F4A" w:rsidP="006223E6">
      <w:pPr>
        <w:spacing w:after="0" w:line="240" w:lineRule="auto"/>
        <w:jc w:val="center"/>
        <w:rPr>
          <w:rFonts w:ascii="Arial" w:eastAsia="Times New Roman" w:hAnsi="Arial" w:cs="Arial"/>
          <w:noProof/>
          <w:sz w:val="18"/>
          <w:szCs w:val="18"/>
          <w:lang w:eastAsia="es-CO"/>
        </w:rPr>
      </w:pPr>
    </w:p>
    <w:p w14:paraId="33409078" w14:textId="223B1DFB" w:rsidR="006223E6" w:rsidRPr="00B6251B" w:rsidRDefault="006223E6" w:rsidP="006223E6">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4EF30D4E" w14:textId="77777777" w:rsidR="006223E6" w:rsidRPr="00B6251B" w:rsidRDefault="006223E6" w:rsidP="006223E6">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5D524EA3" w14:textId="77777777" w:rsidR="006223E6" w:rsidRPr="008E4C01" w:rsidRDefault="006223E6" w:rsidP="006223E6">
      <w:pPr>
        <w:spacing w:after="0" w:line="240" w:lineRule="auto"/>
        <w:jc w:val="center"/>
        <w:rPr>
          <w:rFonts w:ascii="Arial" w:hAnsi="Arial" w:cs="Arial"/>
          <w:sz w:val="18"/>
          <w:szCs w:val="18"/>
          <w:lang w:eastAsia="es-ES"/>
        </w:rPr>
      </w:pPr>
      <w:r w:rsidRPr="008E4C01">
        <w:rPr>
          <w:rFonts w:ascii="Arial" w:hAnsi="Arial" w:cs="Arial"/>
          <w:sz w:val="18"/>
          <w:szCs w:val="18"/>
          <w:lang w:eastAsia="es-ES"/>
        </w:rPr>
        <w:t>El presupuesto de inversión incluye aplazamiento de $53.870 millones</w:t>
      </w:r>
    </w:p>
    <w:p w14:paraId="42C24E3F" w14:textId="77777777" w:rsidR="006223E6" w:rsidRPr="006A67B4" w:rsidRDefault="006223E6" w:rsidP="00C02282">
      <w:pPr>
        <w:spacing w:after="0" w:line="240" w:lineRule="auto"/>
        <w:rPr>
          <w:highlight w:val="yellow"/>
        </w:rPr>
      </w:pPr>
    </w:p>
    <w:p w14:paraId="3FF496ED" w14:textId="77777777" w:rsidR="00C02282" w:rsidRPr="006223E6" w:rsidRDefault="00C02282" w:rsidP="00055F7C">
      <w:pPr>
        <w:pStyle w:val="Ttulo3"/>
        <w:numPr>
          <w:ilvl w:val="2"/>
          <w:numId w:val="6"/>
        </w:numPr>
        <w:spacing w:before="0" w:line="240" w:lineRule="auto"/>
        <w:rPr>
          <w:rFonts w:ascii="Arial" w:eastAsia="Calibri" w:hAnsi="Arial" w:cs="Arial"/>
          <w:color w:val="auto"/>
        </w:rPr>
      </w:pPr>
      <w:bookmarkStart w:id="23" w:name="_Toc525652016"/>
      <w:r w:rsidRPr="006223E6">
        <w:rPr>
          <w:rFonts w:ascii="Arial" w:eastAsia="Calibri" w:hAnsi="Arial" w:cs="Arial"/>
          <w:color w:val="auto"/>
        </w:rPr>
        <w:t>Ejecución presupuestal Gastos de Funcionamiento MME</w:t>
      </w:r>
      <w:bookmarkEnd w:id="23"/>
    </w:p>
    <w:p w14:paraId="254EE7DB" w14:textId="77777777" w:rsidR="00C02282" w:rsidRPr="006223E6" w:rsidRDefault="00C02282" w:rsidP="00C02282">
      <w:pPr>
        <w:spacing w:after="0" w:line="240" w:lineRule="auto"/>
      </w:pPr>
    </w:p>
    <w:p w14:paraId="5F217A4C" w14:textId="77777777" w:rsidR="00C02282" w:rsidRPr="006223E6" w:rsidRDefault="00C02282" w:rsidP="00C02282">
      <w:pPr>
        <w:pStyle w:val="Prrafodelista"/>
        <w:spacing w:after="0" w:line="240" w:lineRule="auto"/>
        <w:ind w:left="720"/>
        <w:jc w:val="both"/>
        <w:rPr>
          <w:rFonts w:cs="Arial"/>
          <w:b/>
          <w:szCs w:val="20"/>
        </w:rPr>
      </w:pPr>
      <w:r w:rsidRPr="006223E6">
        <w:rPr>
          <w:rFonts w:cs="Arial"/>
          <w:b/>
          <w:szCs w:val="20"/>
        </w:rPr>
        <w:t>Gastos de personal</w:t>
      </w:r>
    </w:p>
    <w:p w14:paraId="225DA93A" w14:textId="77777777" w:rsidR="00C02282" w:rsidRPr="006A67B4" w:rsidRDefault="00C02282" w:rsidP="00C02282">
      <w:pPr>
        <w:spacing w:after="0" w:line="240" w:lineRule="auto"/>
        <w:rPr>
          <w:highlight w:val="yellow"/>
          <w:u w:val="single"/>
        </w:rPr>
      </w:pPr>
    </w:p>
    <w:p w14:paraId="033C9EF4" w14:textId="77777777" w:rsidR="006223E6" w:rsidRPr="00690F9B" w:rsidRDefault="006223E6" w:rsidP="006223E6">
      <w:pPr>
        <w:spacing w:after="0" w:line="240" w:lineRule="auto"/>
        <w:jc w:val="both"/>
        <w:rPr>
          <w:rFonts w:ascii="Arial" w:hAnsi="Arial" w:cs="Arial"/>
        </w:rPr>
      </w:pPr>
      <w:r w:rsidRPr="00690F9B">
        <w:rPr>
          <w:rFonts w:ascii="Arial" w:hAnsi="Arial" w:cs="Arial"/>
        </w:rPr>
        <w:t>El Ministerio de Minas y Energía – Gestión General cuenta con una planta de personal vigente compuesta por 305 cargos, aprobada mediante Decreto No.71 de enero 17 de 2001, la cual presenta al cierre del segundo trimestre un nivel de ocupación del 95% representado en 289 cargos provistos.</w:t>
      </w:r>
    </w:p>
    <w:p w14:paraId="47AAAE50" w14:textId="77777777" w:rsidR="006223E6" w:rsidRPr="00690F9B" w:rsidRDefault="006223E6" w:rsidP="006223E6">
      <w:pPr>
        <w:spacing w:after="0" w:line="240" w:lineRule="auto"/>
        <w:jc w:val="both"/>
        <w:rPr>
          <w:rFonts w:ascii="Arial" w:hAnsi="Arial" w:cs="Arial"/>
        </w:rPr>
      </w:pPr>
    </w:p>
    <w:p w14:paraId="79EE0B54" w14:textId="77777777" w:rsidR="006223E6" w:rsidRPr="00690F9B" w:rsidRDefault="006223E6" w:rsidP="006223E6">
      <w:pPr>
        <w:spacing w:after="0" w:line="240" w:lineRule="auto"/>
        <w:jc w:val="both"/>
        <w:rPr>
          <w:rFonts w:ascii="Arial" w:hAnsi="Arial" w:cs="Arial"/>
        </w:rPr>
      </w:pPr>
      <w:r w:rsidRPr="00690F9B">
        <w:rPr>
          <w:rFonts w:ascii="Arial" w:hAnsi="Arial" w:cs="Arial"/>
        </w:rPr>
        <w:t>El siguiente gráfico muestra la distribución de cargos por niveles de la administración:</w:t>
      </w:r>
      <w:r w:rsidRPr="00690F9B">
        <w:rPr>
          <w:rFonts w:ascii="Arial" w:hAnsi="Arial" w:cs="Arial"/>
        </w:rPr>
        <w:tab/>
      </w:r>
    </w:p>
    <w:p w14:paraId="2B71F764" w14:textId="4A2BA891" w:rsidR="00C02282" w:rsidRPr="006223E6" w:rsidRDefault="00C02282" w:rsidP="00C02282">
      <w:pPr>
        <w:pStyle w:val="Descripcin"/>
        <w:keepNext/>
        <w:jc w:val="center"/>
      </w:pPr>
      <w:bookmarkStart w:id="24" w:name="_Toc525652422"/>
      <w:r w:rsidRPr="006223E6">
        <w:lastRenderedPageBreak/>
        <w:t xml:space="preserve">Gráfica </w:t>
      </w:r>
      <w:r w:rsidR="00B6251B" w:rsidRPr="006223E6">
        <w:fldChar w:fldCharType="begin"/>
      </w:r>
      <w:r w:rsidR="00B6251B" w:rsidRPr="006223E6">
        <w:instrText xml:space="preserve"> SEQ Gráfica \* ARABIC </w:instrText>
      </w:r>
      <w:r w:rsidR="00B6251B" w:rsidRPr="006223E6">
        <w:fldChar w:fldCharType="separate"/>
      </w:r>
      <w:r w:rsidR="00B6251B" w:rsidRPr="006223E6">
        <w:rPr>
          <w:noProof/>
        </w:rPr>
        <w:t>6</w:t>
      </w:r>
      <w:r w:rsidR="00B6251B" w:rsidRPr="006223E6">
        <w:fldChar w:fldCharType="end"/>
      </w:r>
      <w:r w:rsidR="006223E6" w:rsidRPr="006223E6">
        <w:t xml:space="preserve"> </w:t>
      </w:r>
      <w:r w:rsidRPr="006223E6">
        <w:t>Distribución de Cargos por Niveles de la Administración MME</w:t>
      </w:r>
      <w:bookmarkEnd w:id="24"/>
    </w:p>
    <w:p w14:paraId="4E2C882D" w14:textId="0E20B480" w:rsidR="00C02282" w:rsidRPr="006A67B4" w:rsidRDefault="006223E6" w:rsidP="00C02282">
      <w:pPr>
        <w:spacing w:after="0" w:line="240" w:lineRule="auto"/>
        <w:jc w:val="center"/>
        <w:rPr>
          <w:rFonts w:ascii="Arial" w:eastAsia="Calibri" w:hAnsi="Arial" w:cs="Arial"/>
          <w:sz w:val="16"/>
          <w:szCs w:val="16"/>
          <w:highlight w:val="yellow"/>
        </w:rPr>
      </w:pPr>
      <w:r w:rsidRPr="000E4CAF">
        <w:rPr>
          <w:rFonts w:ascii="Arial" w:hAnsi="Arial" w:cs="Arial"/>
          <w:noProof/>
          <w:sz w:val="24"/>
          <w:szCs w:val="24"/>
          <w:lang w:eastAsia="es-CO"/>
        </w:rPr>
        <w:drawing>
          <wp:inline distT="0" distB="0" distL="0" distR="0" wp14:anchorId="70724CCA" wp14:editId="27CD6822">
            <wp:extent cx="5600700" cy="20574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2057400"/>
                    </a:xfrm>
                    <a:prstGeom prst="rect">
                      <a:avLst/>
                    </a:prstGeom>
                    <a:noFill/>
                    <a:ln>
                      <a:noFill/>
                    </a:ln>
                  </pic:spPr>
                </pic:pic>
              </a:graphicData>
            </a:graphic>
          </wp:inline>
        </w:drawing>
      </w:r>
    </w:p>
    <w:p w14:paraId="769F945C" w14:textId="77777777" w:rsidR="006223E6" w:rsidRPr="00B6251B" w:rsidRDefault="006223E6" w:rsidP="006223E6">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630B78F1" w14:textId="77777777" w:rsidR="006223E6" w:rsidRPr="00B6251B" w:rsidRDefault="006223E6" w:rsidP="006223E6">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4D21111C" w14:textId="77777777" w:rsidR="00C02282" w:rsidRPr="006A67B4" w:rsidRDefault="00C02282" w:rsidP="00C02282">
      <w:pPr>
        <w:spacing w:after="0" w:line="240" w:lineRule="auto"/>
        <w:jc w:val="center"/>
        <w:outlineLvl w:val="0"/>
        <w:rPr>
          <w:rFonts w:ascii="Arial" w:hAnsi="Arial" w:cs="Arial"/>
          <w:sz w:val="20"/>
          <w:szCs w:val="20"/>
          <w:highlight w:val="yellow"/>
        </w:rPr>
      </w:pPr>
    </w:p>
    <w:p w14:paraId="1D84910B" w14:textId="04A26CB0" w:rsidR="00C02282" w:rsidRPr="006A67B4" w:rsidRDefault="00C02282" w:rsidP="006223E6">
      <w:pPr>
        <w:jc w:val="both"/>
        <w:rPr>
          <w:rFonts w:ascii="Arial" w:hAnsi="Arial" w:cs="Arial"/>
          <w:szCs w:val="20"/>
          <w:highlight w:val="yellow"/>
        </w:rPr>
      </w:pPr>
      <w:r w:rsidRPr="006223E6">
        <w:rPr>
          <w:rFonts w:ascii="Arial" w:hAnsi="Arial" w:cs="Arial"/>
          <w:szCs w:val="20"/>
        </w:rPr>
        <w:t xml:space="preserve">Los </w:t>
      </w:r>
      <w:r w:rsidRPr="006223E6">
        <w:rPr>
          <w:rFonts w:ascii="Arial" w:hAnsi="Arial" w:cs="Arial"/>
          <w:b/>
          <w:szCs w:val="20"/>
        </w:rPr>
        <w:t>Gastos de Personal</w:t>
      </w:r>
      <w:r w:rsidRPr="006223E6">
        <w:rPr>
          <w:rFonts w:ascii="Arial" w:hAnsi="Arial" w:cs="Arial"/>
          <w:szCs w:val="20"/>
        </w:rPr>
        <w:t xml:space="preserve"> </w:t>
      </w:r>
      <w:r w:rsidR="006223E6" w:rsidRPr="006223E6">
        <w:rPr>
          <w:rFonts w:ascii="Arial" w:hAnsi="Arial" w:cs="Arial"/>
        </w:rPr>
        <w:t>generados</w:t>
      </w:r>
      <w:r w:rsidR="006223E6" w:rsidRPr="00690F9B">
        <w:rPr>
          <w:rFonts w:ascii="Arial" w:hAnsi="Arial" w:cs="Arial"/>
        </w:rPr>
        <w:t xml:space="preserve"> por la nómina del Ministerio de Minas y Energía, así como los contratos de prestación de servicios profesionales y técnicos requeridos para apoyar el desarrollo de actividades en algunas áreas de la Entidad en las cuales el personal de planta no es suficiente para atenderlas, alcanzaron una ejecución al cierre del segundo trimestre de la vigencia 2018, de $12.645 millones en compromisos y de $12.343 millones en obligaciones, representando el 48% y el 47% respectivamente, de una asignación presupuestal de $26.370 millones, de acuerdo con el nivel de detalle que se muestra en el cuadro siguiente:</w:t>
      </w:r>
    </w:p>
    <w:p w14:paraId="01BD12EA" w14:textId="1E27E84E" w:rsidR="00C02282" w:rsidRPr="006223E6" w:rsidRDefault="00C02282" w:rsidP="00C02282">
      <w:pPr>
        <w:pStyle w:val="Descripcin"/>
        <w:keepNext/>
        <w:jc w:val="center"/>
      </w:pPr>
      <w:bookmarkStart w:id="25" w:name="_Toc525652423"/>
      <w:r w:rsidRPr="006223E6">
        <w:t xml:space="preserve">Gráfica </w:t>
      </w:r>
      <w:r w:rsidR="00B6251B" w:rsidRPr="006223E6">
        <w:fldChar w:fldCharType="begin"/>
      </w:r>
      <w:r w:rsidR="00B6251B" w:rsidRPr="006223E6">
        <w:instrText xml:space="preserve"> SEQ Gráfica \* ARABIC </w:instrText>
      </w:r>
      <w:r w:rsidR="00B6251B" w:rsidRPr="006223E6">
        <w:fldChar w:fldCharType="separate"/>
      </w:r>
      <w:r w:rsidR="00B6251B" w:rsidRPr="006223E6">
        <w:rPr>
          <w:noProof/>
        </w:rPr>
        <w:t>7</w:t>
      </w:r>
      <w:r w:rsidR="00B6251B" w:rsidRPr="006223E6">
        <w:fldChar w:fldCharType="end"/>
      </w:r>
      <w:r w:rsidRPr="006223E6">
        <w:t xml:space="preserve"> Ejecución desagregada de Gastos de Personal – Unidad Gestión General</w:t>
      </w:r>
      <w:bookmarkEnd w:id="25"/>
    </w:p>
    <w:bookmarkStart w:id="26" w:name="_MON_1598768750"/>
    <w:bookmarkEnd w:id="26"/>
    <w:p w14:paraId="28CB7368" w14:textId="0E1227E7" w:rsidR="006223E6" w:rsidRDefault="006223E6" w:rsidP="00C02282">
      <w:pPr>
        <w:spacing w:after="0" w:line="240" w:lineRule="auto"/>
        <w:jc w:val="center"/>
        <w:rPr>
          <w:rFonts w:ascii="Arial" w:hAnsi="Arial" w:cs="Arial"/>
          <w:sz w:val="16"/>
          <w:szCs w:val="16"/>
          <w:highlight w:val="yellow"/>
          <w:lang w:eastAsia="es-ES"/>
        </w:rPr>
      </w:pPr>
      <w:r w:rsidRPr="00D44931">
        <w:rPr>
          <w:rFonts w:ascii="Arial" w:hAnsi="Arial" w:cs="Arial"/>
          <w:b/>
          <w:sz w:val="24"/>
          <w:szCs w:val="24"/>
        </w:rPr>
        <w:object w:dxaOrig="12720" w:dyaOrig="3180" w14:anchorId="0E1D1DF0">
          <v:shape id="_x0000_i1027" type="#_x0000_t75" style="width:446.6pt;height:140pt" o:ole="">
            <v:imagedata r:id="rId24" o:title=""/>
          </v:shape>
          <o:OLEObject Type="Embed" ProgID="Excel.Sheet.12" ShapeID="_x0000_i1027" DrawAspect="Content" ObjectID="_1609164568" r:id="rId25"/>
        </w:object>
      </w:r>
    </w:p>
    <w:p w14:paraId="22FB9914" w14:textId="77777777" w:rsidR="006223E6" w:rsidRPr="00B6251B" w:rsidRDefault="006223E6" w:rsidP="006223E6">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292C5B99" w14:textId="77777777" w:rsidR="006223E6" w:rsidRPr="00B6251B" w:rsidRDefault="006223E6" w:rsidP="006223E6">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7157103C" w14:textId="77777777" w:rsidR="00C02282" w:rsidRPr="006A67B4" w:rsidRDefault="00C02282" w:rsidP="00C02282">
      <w:pPr>
        <w:spacing w:after="0" w:line="240" w:lineRule="auto"/>
        <w:jc w:val="both"/>
        <w:rPr>
          <w:rFonts w:ascii="Arial" w:hAnsi="Arial" w:cs="Arial"/>
          <w:szCs w:val="20"/>
          <w:highlight w:val="yellow"/>
        </w:rPr>
      </w:pPr>
    </w:p>
    <w:p w14:paraId="0F7AE842" w14:textId="77777777" w:rsidR="00C02282" w:rsidRPr="006A67B4" w:rsidRDefault="00C02282" w:rsidP="00C02282">
      <w:pPr>
        <w:spacing w:after="0" w:line="240" w:lineRule="auto"/>
        <w:jc w:val="both"/>
        <w:rPr>
          <w:rFonts w:ascii="Arial" w:hAnsi="Arial" w:cs="Arial"/>
          <w:szCs w:val="20"/>
          <w:highlight w:val="yellow"/>
        </w:rPr>
      </w:pPr>
    </w:p>
    <w:p w14:paraId="792CDB67" w14:textId="77777777" w:rsidR="00C02282" w:rsidRPr="006223E6" w:rsidRDefault="00C02282" w:rsidP="008B4625">
      <w:pPr>
        <w:pStyle w:val="Prrafodelista"/>
        <w:numPr>
          <w:ilvl w:val="0"/>
          <w:numId w:val="32"/>
        </w:numPr>
        <w:spacing w:after="0" w:line="240" w:lineRule="auto"/>
        <w:jc w:val="both"/>
        <w:rPr>
          <w:rFonts w:cs="Arial"/>
          <w:b/>
          <w:szCs w:val="20"/>
          <w:u w:val="single"/>
        </w:rPr>
      </w:pPr>
      <w:r w:rsidRPr="006223E6">
        <w:rPr>
          <w:rFonts w:cs="Arial"/>
          <w:b/>
          <w:szCs w:val="20"/>
          <w:u w:val="single"/>
        </w:rPr>
        <w:t>Gastos Generales MME</w:t>
      </w:r>
    </w:p>
    <w:p w14:paraId="48E9FDCC" w14:textId="77777777" w:rsidR="00C02282" w:rsidRPr="006223E6" w:rsidRDefault="00C02282" w:rsidP="00C02282">
      <w:pPr>
        <w:spacing w:after="0" w:line="240" w:lineRule="auto"/>
        <w:jc w:val="both"/>
        <w:rPr>
          <w:rFonts w:cs="Arial"/>
          <w:b/>
          <w:szCs w:val="20"/>
          <w:u w:val="single"/>
        </w:rPr>
      </w:pPr>
    </w:p>
    <w:p w14:paraId="73092A1B" w14:textId="77777777" w:rsidR="006223E6" w:rsidRPr="00690F9B" w:rsidRDefault="006223E6" w:rsidP="006223E6">
      <w:pPr>
        <w:spacing w:after="0" w:line="240" w:lineRule="auto"/>
        <w:jc w:val="both"/>
        <w:rPr>
          <w:rFonts w:ascii="Arial" w:hAnsi="Arial" w:cs="Arial"/>
        </w:rPr>
      </w:pPr>
      <w:r w:rsidRPr="006223E6">
        <w:rPr>
          <w:rFonts w:ascii="Arial" w:hAnsi="Arial" w:cs="Arial"/>
        </w:rPr>
        <w:t xml:space="preserve">El presupuesto asignado en Gastos Generales, al cierre del segundo trimestre de la vigencia 2018, presenta una ejecución en compromisos de $2.285 millones y de $1.333 millones en </w:t>
      </w:r>
      <w:r w:rsidRPr="006223E6">
        <w:rPr>
          <w:rFonts w:ascii="Arial" w:hAnsi="Arial" w:cs="Arial"/>
        </w:rPr>
        <w:lastRenderedPageBreak/>
        <w:t>obligaciones, equivalentes al 64% y 37% respectivamente, frente a un presupuesto asignado de $3.558 millones.</w:t>
      </w:r>
      <w:r w:rsidRPr="00690F9B">
        <w:rPr>
          <w:rFonts w:ascii="Arial" w:hAnsi="Arial" w:cs="Arial"/>
        </w:rPr>
        <w:t xml:space="preserve"> </w:t>
      </w:r>
    </w:p>
    <w:p w14:paraId="2D234DEB" w14:textId="77777777" w:rsidR="00C02282" w:rsidRPr="006A67B4" w:rsidRDefault="00C02282" w:rsidP="00C02282">
      <w:pPr>
        <w:spacing w:after="0" w:line="240" w:lineRule="auto"/>
        <w:ind w:left="7080" w:firstLine="708"/>
        <w:rPr>
          <w:rFonts w:ascii="Arial" w:eastAsia="Arial" w:hAnsi="Arial" w:cs="Arial"/>
          <w:bCs/>
          <w:snapToGrid w:val="0"/>
          <w:szCs w:val="20"/>
          <w:highlight w:val="yellow"/>
          <w:lang w:val="es-MX" w:eastAsia="es-ES"/>
        </w:rPr>
      </w:pPr>
    </w:p>
    <w:p w14:paraId="3E70FA7A" w14:textId="77777777" w:rsidR="00C02282" w:rsidRPr="004A6C3B" w:rsidRDefault="00C02282" w:rsidP="00C02282">
      <w:pPr>
        <w:pStyle w:val="Descripcin"/>
        <w:keepNext/>
        <w:jc w:val="center"/>
      </w:pPr>
      <w:bookmarkStart w:id="27" w:name="_Toc525652451"/>
      <w:r w:rsidRPr="004A6C3B">
        <w:t xml:space="preserve">Tabla </w:t>
      </w:r>
      <w:r w:rsidRPr="004A6C3B">
        <w:fldChar w:fldCharType="begin"/>
      </w:r>
      <w:r w:rsidRPr="004A6C3B">
        <w:instrText xml:space="preserve"> SEQ Tabla \* ARABIC </w:instrText>
      </w:r>
      <w:r w:rsidRPr="004A6C3B">
        <w:fldChar w:fldCharType="separate"/>
      </w:r>
      <w:r w:rsidR="008B4625">
        <w:rPr>
          <w:noProof/>
        </w:rPr>
        <w:t>5</w:t>
      </w:r>
      <w:r w:rsidRPr="004A6C3B">
        <w:fldChar w:fldCharType="end"/>
      </w:r>
      <w:r w:rsidRPr="004A6C3B">
        <w:t xml:space="preserve"> Ejecución desagregada de Gastos de Personal – Unidad Gestión General MME</w:t>
      </w:r>
      <w:bookmarkEnd w:id="27"/>
    </w:p>
    <w:bookmarkStart w:id="28" w:name="_MON_1598768853"/>
    <w:bookmarkEnd w:id="28"/>
    <w:p w14:paraId="26994968" w14:textId="1BB9BA61" w:rsidR="004A6C3B" w:rsidRDefault="004A6C3B" w:rsidP="00C02282">
      <w:pPr>
        <w:spacing w:after="0" w:line="240" w:lineRule="auto"/>
        <w:jc w:val="center"/>
        <w:rPr>
          <w:rFonts w:ascii="Arial" w:hAnsi="Arial" w:cs="Arial"/>
          <w:sz w:val="16"/>
          <w:szCs w:val="16"/>
          <w:highlight w:val="yellow"/>
          <w:lang w:eastAsia="es-ES"/>
        </w:rPr>
      </w:pPr>
      <w:r w:rsidRPr="003C43E7">
        <w:rPr>
          <w:rFonts w:ascii="Arial" w:hAnsi="Arial" w:cs="Arial"/>
          <w:b/>
          <w:color w:val="FF0000"/>
          <w:sz w:val="24"/>
          <w:szCs w:val="24"/>
        </w:rPr>
        <w:object w:dxaOrig="13065" w:dyaOrig="3090" w14:anchorId="61A1EACE">
          <v:shape id="_x0000_i1028" type="#_x0000_t75" style="width:436.85pt;height:132.05pt" o:ole="">
            <v:imagedata r:id="rId26" o:title=""/>
          </v:shape>
          <o:OLEObject Type="Embed" ProgID="Excel.Sheet.12" ShapeID="_x0000_i1028" DrawAspect="Content" ObjectID="_1609164569" r:id="rId27"/>
        </w:object>
      </w:r>
    </w:p>
    <w:p w14:paraId="1A61C78B" w14:textId="77777777" w:rsidR="004A6C3B" w:rsidRPr="00B6251B" w:rsidRDefault="004A6C3B" w:rsidP="004A6C3B">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3430D286" w14:textId="77777777" w:rsidR="004A6C3B" w:rsidRPr="00B6251B" w:rsidRDefault="004A6C3B" w:rsidP="004A6C3B">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12CC7F6D" w14:textId="77777777" w:rsidR="00C02282" w:rsidRPr="006A67B4" w:rsidRDefault="00C02282" w:rsidP="00C02282">
      <w:pPr>
        <w:spacing w:after="0" w:line="240" w:lineRule="auto"/>
        <w:jc w:val="center"/>
        <w:rPr>
          <w:rFonts w:ascii="Arial" w:eastAsia="Calibri" w:hAnsi="Arial" w:cs="Arial"/>
          <w:sz w:val="16"/>
          <w:szCs w:val="16"/>
          <w:highlight w:val="yellow"/>
        </w:rPr>
      </w:pPr>
    </w:p>
    <w:p w14:paraId="0B0C8C0A" w14:textId="77777777" w:rsidR="004A6C3B" w:rsidRPr="00690F9B" w:rsidRDefault="004A6C3B" w:rsidP="004A6C3B">
      <w:pPr>
        <w:spacing w:after="0" w:line="240" w:lineRule="auto"/>
        <w:jc w:val="both"/>
        <w:rPr>
          <w:rFonts w:ascii="Arial" w:hAnsi="Arial" w:cs="Arial"/>
        </w:rPr>
      </w:pPr>
      <w:r w:rsidRPr="00690F9B">
        <w:rPr>
          <w:rFonts w:ascii="Arial" w:hAnsi="Arial" w:cs="Arial"/>
        </w:rPr>
        <w:t xml:space="preserve">Los recursos se utilizaron en la adquisición de bienes y servicios requeridos por la Entidad para su normal funcionamiento, tales como: servicio de vigilancia y seguridad, aseo y cafetería, mantenimientos de software y parque automotor, viáticos y gastos de viaje, servicios públicos, suministros de combustibles, dotaciones, papelería, tóner y útiles de escritorio, arrendamiento de fotocopiadoras, comunicaciones y transportes, impresos y publicaciones, bienestar social, entre otros. </w:t>
      </w:r>
    </w:p>
    <w:p w14:paraId="6ECF3F7C" w14:textId="77777777" w:rsidR="00C02282" w:rsidRPr="006A67B4" w:rsidRDefault="00C02282" w:rsidP="00C02282">
      <w:pPr>
        <w:spacing w:after="0" w:line="240" w:lineRule="auto"/>
        <w:jc w:val="both"/>
        <w:outlineLvl w:val="0"/>
        <w:rPr>
          <w:rFonts w:ascii="Arial" w:eastAsia="Arial" w:hAnsi="Arial" w:cs="Arial"/>
          <w:bCs/>
          <w:snapToGrid w:val="0"/>
          <w:szCs w:val="20"/>
          <w:highlight w:val="yellow"/>
          <w:lang w:val="es-MX" w:eastAsia="es-ES"/>
        </w:rPr>
      </w:pPr>
    </w:p>
    <w:p w14:paraId="1FC37C5F" w14:textId="77777777" w:rsidR="00C02282" w:rsidRPr="004A6C3B" w:rsidRDefault="00C02282" w:rsidP="008B4625">
      <w:pPr>
        <w:pStyle w:val="Prrafodelista"/>
        <w:numPr>
          <w:ilvl w:val="0"/>
          <w:numId w:val="32"/>
        </w:numPr>
        <w:spacing w:after="0" w:line="240" w:lineRule="auto"/>
        <w:jc w:val="both"/>
        <w:rPr>
          <w:rFonts w:cs="Arial"/>
          <w:b/>
          <w:szCs w:val="20"/>
          <w:u w:val="single"/>
        </w:rPr>
      </w:pPr>
      <w:r w:rsidRPr="004A6C3B">
        <w:rPr>
          <w:rFonts w:cs="Arial"/>
          <w:b/>
          <w:szCs w:val="20"/>
          <w:u w:val="single"/>
        </w:rPr>
        <w:t>Transferencias Corrientes</w:t>
      </w:r>
    </w:p>
    <w:p w14:paraId="298719D0" w14:textId="77777777" w:rsidR="00C02282" w:rsidRPr="006A67B4" w:rsidRDefault="00C02282" w:rsidP="00C02282">
      <w:pPr>
        <w:spacing w:after="0" w:line="240" w:lineRule="auto"/>
        <w:jc w:val="both"/>
        <w:rPr>
          <w:rFonts w:cs="Arial"/>
          <w:b/>
          <w:szCs w:val="20"/>
          <w:highlight w:val="yellow"/>
          <w:u w:val="single"/>
        </w:rPr>
      </w:pPr>
    </w:p>
    <w:p w14:paraId="3C778F21" w14:textId="77777777" w:rsidR="004A6C3B" w:rsidRPr="00690F9B" w:rsidRDefault="004A6C3B" w:rsidP="004A6C3B">
      <w:pPr>
        <w:spacing w:after="0" w:line="240" w:lineRule="auto"/>
        <w:jc w:val="both"/>
        <w:rPr>
          <w:rFonts w:ascii="Arial" w:hAnsi="Arial" w:cs="Arial"/>
        </w:rPr>
      </w:pPr>
      <w:r w:rsidRPr="00690F9B">
        <w:rPr>
          <w:rFonts w:ascii="Arial" w:hAnsi="Arial" w:cs="Arial"/>
        </w:rPr>
        <w:t xml:space="preserve">El presupuesto en </w:t>
      </w:r>
      <w:r w:rsidRPr="004A6C3B">
        <w:rPr>
          <w:rFonts w:ascii="Arial" w:hAnsi="Arial" w:cs="Arial"/>
          <w:b/>
        </w:rPr>
        <w:t>Transferencias Corrientes</w:t>
      </w:r>
      <w:r w:rsidRPr="00690F9B">
        <w:rPr>
          <w:rFonts w:ascii="Arial" w:hAnsi="Arial" w:cs="Arial"/>
        </w:rPr>
        <w:t xml:space="preserve">, al cierre del segundo trimestre de la vigencia actual, registra una ejecución en compromisos de $24.154 millones equivalente al 50% y de $17.882 millones en obligaciones equivalente al 37%, frente al presupuesto asignado de $47.937 millones.  A continuación, se detalla su ejecución: </w:t>
      </w:r>
    </w:p>
    <w:p w14:paraId="7D15D000" w14:textId="77777777" w:rsidR="00C02282" w:rsidRPr="006A67B4" w:rsidRDefault="00C02282" w:rsidP="00C02282">
      <w:pPr>
        <w:spacing w:after="0" w:line="240" w:lineRule="auto"/>
        <w:jc w:val="both"/>
        <w:rPr>
          <w:rFonts w:cs="Arial"/>
          <w:b/>
          <w:sz w:val="24"/>
          <w:szCs w:val="20"/>
          <w:highlight w:val="yellow"/>
          <w:u w:val="single"/>
        </w:rPr>
      </w:pPr>
    </w:p>
    <w:p w14:paraId="48D9803E" w14:textId="77777777" w:rsidR="00C02282" w:rsidRPr="006A67B4" w:rsidRDefault="00C02282" w:rsidP="00C02282">
      <w:pPr>
        <w:spacing w:after="0" w:line="240" w:lineRule="auto"/>
        <w:rPr>
          <w:rFonts w:ascii="Arial" w:eastAsia="Arial" w:hAnsi="Arial" w:cs="Arial"/>
          <w:b/>
          <w:bCs/>
          <w:snapToGrid w:val="0"/>
          <w:sz w:val="20"/>
          <w:szCs w:val="20"/>
          <w:highlight w:val="yellow"/>
          <w:lang w:val="es-MX" w:eastAsia="es-ES"/>
        </w:rPr>
      </w:pPr>
      <w:r w:rsidRPr="006A67B4">
        <w:rPr>
          <w:rFonts w:ascii="Arial" w:eastAsia="Arial" w:hAnsi="Arial" w:cs="Arial"/>
          <w:b/>
          <w:bCs/>
          <w:snapToGrid w:val="0"/>
          <w:sz w:val="20"/>
          <w:szCs w:val="20"/>
          <w:highlight w:val="yellow"/>
          <w:lang w:val="es-MX" w:eastAsia="es-ES"/>
        </w:rPr>
        <w:t xml:space="preserve"> </w:t>
      </w:r>
    </w:p>
    <w:p w14:paraId="5B19A81C" w14:textId="77777777" w:rsidR="00C02282" w:rsidRPr="004A6C3B" w:rsidRDefault="00C02282" w:rsidP="00C02282">
      <w:pPr>
        <w:pStyle w:val="Descripcin"/>
        <w:keepNext/>
        <w:jc w:val="center"/>
      </w:pPr>
      <w:bookmarkStart w:id="29" w:name="_Toc525652452"/>
      <w:r w:rsidRPr="004A6C3B">
        <w:t xml:space="preserve">Tabla </w:t>
      </w:r>
      <w:r w:rsidRPr="004A6C3B">
        <w:fldChar w:fldCharType="begin"/>
      </w:r>
      <w:r w:rsidRPr="004A6C3B">
        <w:instrText xml:space="preserve"> SEQ Tabla \* ARABIC </w:instrText>
      </w:r>
      <w:r w:rsidRPr="004A6C3B">
        <w:fldChar w:fldCharType="separate"/>
      </w:r>
      <w:r w:rsidR="008B4625">
        <w:rPr>
          <w:noProof/>
        </w:rPr>
        <w:t>6</w:t>
      </w:r>
      <w:r w:rsidRPr="004A6C3B">
        <w:fldChar w:fldCharType="end"/>
      </w:r>
      <w:r w:rsidRPr="004A6C3B">
        <w:t xml:space="preserve"> Ejecución de Transferencias Corrientes – Unidad Gestión General MME</w:t>
      </w:r>
      <w:bookmarkEnd w:id="29"/>
    </w:p>
    <w:bookmarkStart w:id="30" w:name="_MON_1593703749"/>
    <w:bookmarkEnd w:id="30"/>
    <w:p w14:paraId="73B73F2D" w14:textId="77777777" w:rsidR="002B2F4A" w:rsidRDefault="002B2F4A" w:rsidP="004A6C3B">
      <w:pPr>
        <w:spacing w:after="0" w:line="240" w:lineRule="auto"/>
        <w:jc w:val="center"/>
        <w:rPr>
          <w:rFonts w:ascii="Arial" w:eastAsia="Times New Roman" w:hAnsi="Arial" w:cs="Arial"/>
          <w:noProof/>
          <w:sz w:val="18"/>
          <w:szCs w:val="18"/>
          <w:lang w:eastAsia="es-CO"/>
        </w:rPr>
      </w:pPr>
      <w:r w:rsidRPr="003C43E7">
        <w:rPr>
          <w:rFonts w:ascii="Arial" w:hAnsi="Arial" w:cs="Arial"/>
          <w:b/>
          <w:color w:val="FF0000"/>
          <w:sz w:val="24"/>
          <w:szCs w:val="24"/>
        </w:rPr>
        <w:object w:dxaOrig="15410" w:dyaOrig="4648" w14:anchorId="4B574161">
          <v:shape id="_x0000_i1029" type="#_x0000_t75" style="width:397.55pt;height:129pt" o:ole="">
            <v:imagedata r:id="rId28" o:title=""/>
          </v:shape>
          <o:OLEObject Type="Embed" ProgID="Excel.Sheet.12" ShapeID="_x0000_i1029" DrawAspect="Content" ObjectID="_1609164570" r:id="rId29"/>
        </w:object>
      </w:r>
      <w:r w:rsidR="004A6C3B" w:rsidRPr="004A6C3B">
        <w:rPr>
          <w:rFonts w:ascii="Arial" w:eastAsia="Times New Roman" w:hAnsi="Arial" w:cs="Arial"/>
          <w:noProof/>
          <w:sz w:val="18"/>
          <w:szCs w:val="18"/>
          <w:lang w:eastAsia="es-CO"/>
        </w:rPr>
        <w:t xml:space="preserve"> </w:t>
      </w:r>
    </w:p>
    <w:p w14:paraId="312C49D6" w14:textId="5B916407" w:rsidR="004A6C3B" w:rsidRPr="00B6251B" w:rsidRDefault="004A6C3B" w:rsidP="004A6C3B">
      <w:pPr>
        <w:spacing w:after="0" w:line="240" w:lineRule="auto"/>
        <w:jc w:val="center"/>
        <w:rPr>
          <w:rFonts w:ascii="Arial" w:eastAsia="Times New Roman" w:hAnsi="Arial" w:cs="Arial"/>
          <w:noProof/>
          <w:color w:val="002060"/>
          <w:sz w:val="18"/>
          <w:szCs w:val="18"/>
          <w:lang w:eastAsia="es-CO"/>
        </w:rPr>
      </w:pPr>
      <w:r w:rsidRPr="00B6251B">
        <w:rPr>
          <w:rFonts w:ascii="Arial" w:eastAsia="Times New Roman" w:hAnsi="Arial" w:cs="Arial"/>
          <w:noProof/>
          <w:sz w:val="18"/>
          <w:szCs w:val="18"/>
          <w:lang w:eastAsia="es-CO"/>
        </w:rPr>
        <w:t>Cifras en millones de pesos</w:t>
      </w:r>
    </w:p>
    <w:p w14:paraId="0B195BD4" w14:textId="77777777" w:rsidR="004A6C3B" w:rsidRPr="00B6251B" w:rsidRDefault="004A6C3B" w:rsidP="004A6C3B">
      <w:pPr>
        <w:spacing w:after="0" w:line="240" w:lineRule="auto"/>
        <w:jc w:val="center"/>
        <w:rPr>
          <w:rFonts w:ascii="Arial" w:eastAsia="Calibri" w:hAnsi="Arial" w:cs="Arial"/>
        </w:rPr>
      </w:pPr>
      <w:r w:rsidRPr="00B6251B">
        <w:rPr>
          <w:rFonts w:ascii="Arial" w:eastAsia="Calibri" w:hAnsi="Arial" w:cs="Arial"/>
          <w:sz w:val="16"/>
          <w:szCs w:val="16"/>
        </w:rPr>
        <w:t>Fuente: SIIF Nación</w:t>
      </w:r>
    </w:p>
    <w:p w14:paraId="0F9A9923" w14:textId="77777777" w:rsidR="004A6C3B" w:rsidRPr="00690F9B" w:rsidRDefault="004A6C3B" w:rsidP="004A6C3B">
      <w:pPr>
        <w:spacing w:after="0" w:line="240" w:lineRule="auto"/>
        <w:jc w:val="both"/>
        <w:rPr>
          <w:rFonts w:ascii="Arial" w:hAnsi="Arial" w:cs="Arial"/>
        </w:rPr>
      </w:pPr>
      <w:r w:rsidRPr="00690F9B">
        <w:rPr>
          <w:rFonts w:ascii="Arial" w:hAnsi="Arial" w:cs="Arial"/>
        </w:rPr>
        <w:lastRenderedPageBreak/>
        <w:t xml:space="preserve">Del total obligado por valor de $17.882 millones, $11.118 millones se destinaron a atender la transferencia del impuesto al oro y platino a los municipios productores de metales precisos, El Bagre, Remedios, Segovia, Zaragoza, </w:t>
      </w:r>
      <w:proofErr w:type="spellStart"/>
      <w:r w:rsidRPr="00690F9B">
        <w:rPr>
          <w:rFonts w:ascii="Arial" w:hAnsi="Arial" w:cs="Arial"/>
        </w:rPr>
        <w:t>Marmato</w:t>
      </w:r>
      <w:proofErr w:type="spellEnd"/>
      <w:r w:rsidRPr="00690F9B">
        <w:rPr>
          <w:rFonts w:ascii="Arial" w:hAnsi="Arial" w:cs="Arial"/>
        </w:rPr>
        <w:t xml:space="preserve"> y Amalfi, lo cual corresponde al recaudo de los meses de diciembre de 2017 y enero a abril de 2018.  </w:t>
      </w:r>
    </w:p>
    <w:p w14:paraId="38F17B81" w14:textId="77777777" w:rsidR="004A6C3B" w:rsidRPr="00690F9B" w:rsidRDefault="004A6C3B" w:rsidP="004A6C3B">
      <w:pPr>
        <w:spacing w:after="0" w:line="240" w:lineRule="auto"/>
        <w:jc w:val="both"/>
        <w:rPr>
          <w:rFonts w:ascii="Arial" w:hAnsi="Arial" w:cs="Arial"/>
          <w:color w:val="FF0000"/>
        </w:rPr>
      </w:pPr>
    </w:p>
    <w:p w14:paraId="231BC8A6" w14:textId="77777777" w:rsidR="004A6C3B" w:rsidRPr="00690F9B" w:rsidRDefault="004A6C3B" w:rsidP="004A6C3B">
      <w:pPr>
        <w:spacing w:after="0" w:line="240" w:lineRule="auto"/>
        <w:jc w:val="both"/>
        <w:rPr>
          <w:rFonts w:ascii="Arial" w:hAnsi="Arial" w:cs="Arial"/>
        </w:rPr>
      </w:pPr>
      <w:r w:rsidRPr="00690F9B">
        <w:rPr>
          <w:rFonts w:ascii="Arial" w:hAnsi="Arial" w:cs="Arial"/>
        </w:rPr>
        <w:t xml:space="preserve">El saldo restante que asciende a $6.764 millones, se destinó a atender la transferencia del primer semestre de la vigencia 2018, de los recursos a favor de la UPME por valor de $3.914 millones, $2.816 millones, para el pago de sentencias falladas en contra de la Entidad y $34 millones, para atender el pago de aportes previsión vejez jubilados de las extintas </w:t>
      </w:r>
      <w:proofErr w:type="spellStart"/>
      <w:r w:rsidRPr="00690F9B">
        <w:rPr>
          <w:rFonts w:ascii="Arial" w:hAnsi="Arial" w:cs="Arial"/>
        </w:rPr>
        <w:t>Minercol</w:t>
      </w:r>
      <w:proofErr w:type="spellEnd"/>
      <w:r w:rsidRPr="00690F9B">
        <w:rPr>
          <w:rFonts w:ascii="Arial" w:hAnsi="Arial" w:cs="Arial"/>
        </w:rPr>
        <w:t xml:space="preserve"> y </w:t>
      </w:r>
      <w:proofErr w:type="spellStart"/>
      <w:r w:rsidRPr="00690F9B">
        <w:rPr>
          <w:rFonts w:ascii="Arial" w:hAnsi="Arial" w:cs="Arial"/>
        </w:rPr>
        <w:t>Carbocol</w:t>
      </w:r>
      <w:proofErr w:type="spellEnd"/>
      <w:r w:rsidRPr="00690F9B">
        <w:rPr>
          <w:rFonts w:ascii="Arial" w:hAnsi="Arial" w:cs="Arial"/>
        </w:rPr>
        <w:t xml:space="preserve">. </w:t>
      </w:r>
    </w:p>
    <w:p w14:paraId="7BED5866" w14:textId="77777777" w:rsidR="004A6C3B" w:rsidRPr="00690F9B" w:rsidRDefault="004A6C3B" w:rsidP="004A6C3B">
      <w:pPr>
        <w:spacing w:after="0" w:line="240" w:lineRule="auto"/>
        <w:jc w:val="both"/>
        <w:rPr>
          <w:rFonts w:ascii="Arial" w:hAnsi="Arial" w:cs="Arial"/>
        </w:rPr>
      </w:pPr>
    </w:p>
    <w:p w14:paraId="5B6547ED" w14:textId="765360CF" w:rsidR="004A6C3B" w:rsidRDefault="004A6C3B" w:rsidP="004A6C3B">
      <w:pPr>
        <w:tabs>
          <w:tab w:val="left" w:pos="6887"/>
        </w:tabs>
        <w:spacing w:after="0" w:line="240" w:lineRule="auto"/>
        <w:jc w:val="both"/>
        <w:rPr>
          <w:rFonts w:ascii="Arial" w:hAnsi="Arial" w:cs="Arial"/>
        </w:rPr>
      </w:pPr>
      <w:r w:rsidRPr="00690F9B">
        <w:rPr>
          <w:rFonts w:ascii="Arial" w:hAnsi="Arial" w:cs="Arial"/>
        </w:rPr>
        <w:t>El siguiente gráfico muestra la ejecución de Gastos de Funcionamiento, correspondiente al segundo trimestre de 2018.</w:t>
      </w:r>
    </w:p>
    <w:p w14:paraId="77B5C927" w14:textId="77777777" w:rsidR="002B2F4A" w:rsidRDefault="002B2F4A" w:rsidP="004A6C3B">
      <w:pPr>
        <w:tabs>
          <w:tab w:val="left" w:pos="6887"/>
        </w:tabs>
        <w:spacing w:after="0" w:line="240" w:lineRule="auto"/>
        <w:jc w:val="both"/>
        <w:rPr>
          <w:rFonts w:ascii="Arial" w:hAnsi="Arial" w:cs="Arial"/>
        </w:rPr>
      </w:pPr>
    </w:p>
    <w:p w14:paraId="282120AE" w14:textId="77777777" w:rsidR="00352A4D" w:rsidRDefault="00C02282" w:rsidP="008B378D">
      <w:pPr>
        <w:pStyle w:val="Descripcin"/>
        <w:keepNext/>
        <w:jc w:val="center"/>
      </w:pPr>
      <w:bookmarkStart w:id="31" w:name="_Toc525652424"/>
      <w:r w:rsidRPr="00F77263">
        <w:t xml:space="preserve">Gráfica </w:t>
      </w:r>
      <w:r w:rsidR="00B6251B" w:rsidRPr="00F77263">
        <w:fldChar w:fldCharType="begin"/>
      </w:r>
      <w:r w:rsidR="00B6251B" w:rsidRPr="00F77263">
        <w:instrText xml:space="preserve"> SEQ Gráfica \* ARABIC </w:instrText>
      </w:r>
      <w:r w:rsidR="00B6251B" w:rsidRPr="00F77263">
        <w:fldChar w:fldCharType="separate"/>
      </w:r>
      <w:r w:rsidR="00B6251B" w:rsidRPr="00F77263">
        <w:rPr>
          <w:noProof/>
        </w:rPr>
        <w:t>10</w:t>
      </w:r>
      <w:r w:rsidR="00B6251B" w:rsidRPr="00F77263">
        <w:fldChar w:fldCharType="end"/>
      </w:r>
      <w:r w:rsidRPr="00F77263">
        <w:t xml:space="preserve">  Ejecución Transferencias Corrientes MME</w:t>
      </w:r>
    </w:p>
    <w:p w14:paraId="336C21A7" w14:textId="19EF8A81" w:rsidR="008B378D" w:rsidRDefault="008B378D" w:rsidP="008B378D">
      <w:pPr>
        <w:pStyle w:val="Descripcin"/>
        <w:keepNext/>
        <w:jc w:val="center"/>
      </w:pPr>
      <w:r w:rsidRPr="00F77263">
        <w:rPr>
          <w:rFonts w:ascii="Arial" w:hAnsi="Arial" w:cs="Arial"/>
          <w:noProof/>
          <w:sz w:val="24"/>
          <w:szCs w:val="24"/>
          <w:lang w:val="es-CO" w:eastAsia="es-CO"/>
        </w:rPr>
        <w:drawing>
          <wp:inline distT="0" distB="0" distL="0" distR="0" wp14:anchorId="4C54A64E" wp14:editId="60C9DF59">
            <wp:extent cx="3974526" cy="2101850"/>
            <wp:effectExtent l="0" t="0" r="698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30">
                      <a:extLst>
                        <a:ext uri="{28A0092B-C50C-407E-A947-70E740481C1C}">
                          <a14:useLocalDpi xmlns:a14="http://schemas.microsoft.com/office/drawing/2010/main" val="0"/>
                        </a:ext>
                      </a:extLst>
                    </a:blip>
                    <a:srcRect t="9358" b="4812"/>
                    <a:stretch/>
                  </pic:blipFill>
                  <pic:spPr bwMode="auto">
                    <a:xfrm>
                      <a:off x="0" y="0"/>
                      <a:ext cx="3980561" cy="2105042"/>
                    </a:xfrm>
                    <a:prstGeom prst="rect">
                      <a:avLst/>
                    </a:prstGeom>
                    <a:noFill/>
                    <a:ln>
                      <a:noFill/>
                    </a:ln>
                    <a:extLst>
                      <a:ext uri="{53640926-AAD7-44D8-BBD7-CCE9431645EC}">
                        <a14:shadowObscured xmlns:a14="http://schemas.microsoft.com/office/drawing/2010/main"/>
                      </a:ext>
                    </a:extLst>
                  </pic:spPr>
                </pic:pic>
              </a:graphicData>
            </a:graphic>
          </wp:inline>
        </w:drawing>
      </w:r>
      <w:bookmarkEnd w:id="31"/>
    </w:p>
    <w:p w14:paraId="73F9134A" w14:textId="77777777" w:rsidR="008B378D" w:rsidRPr="00F77263" w:rsidRDefault="008B378D" w:rsidP="008B378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3565F219" w14:textId="77777777" w:rsidR="008B378D" w:rsidRPr="00F77263" w:rsidRDefault="008B378D" w:rsidP="008B378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5653DEA1" w14:textId="77777777" w:rsidR="008B378D" w:rsidRPr="00F77263" w:rsidRDefault="008B378D" w:rsidP="004A6C3B">
      <w:pPr>
        <w:rPr>
          <w:lang w:val="es-ES" w:eastAsia="es-ES"/>
        </w:rPr>
      </w:pPr>
    </w:p>
    <w:p w14:paraId="45940093" w14:textId="77777777" w:rsidR="00C02282" w:rsidRPr="00F77263" w:rsidRDefault="00C02282" w:rsidP="00055F7C">
      <w:pPr>
        <w:pStyle w:val="Ttulo3"/>
        <w:numPr>
          <w:ilvl w:val="2"/>
          <w:numId w:val="6"/>
        </w:numPr>
        <w:rPr>
          <w:rFonts w:ascii="Arial" w:eastAsia="Calibri" w:hAnsi="Arial" w:cs="Arial"/>
          <w:color w:val="auto"/>
        </w:rPr>
      </w:pPr>
      <w:bookmarkStart w:id="32" w:name="_Toc525652017"/>
      <w:r w:rsidRPr="00F77263">
        <w:rPr>
          <w:rFonts w:ascii="Arial" w:eastAsia="Calibri" w:hAnsi="Arial" w:cs="Arial"/>
          <w:color w:val="auto"/>
        </w:rPr>
        <w:t>Ejecución presupuestal Gastos de Inversión MME</w:t>
      </w:r>
      <w:bookmarkEnd w:id="32"/>
    </w:p>
    <w:p w14:paraId="59E6EA75" w14:textId="77777777" w:rsidR="00C02282" w:rsidRPr="006A67B4" w:rsidRDefault="00C02282" w:rsidP="00C02282">
      <w:pPr>
        <w:rPr>
          <w:highlight w:val="yellow"/>
        </w:rPr>
      </w:pPr>
    </w:p>
    <w:p w14:paraId="3D437042" w14:textId="77777777" w:rsidR="00F77263" w:rsidRPr="00BB1C0F" w:rsidRDefault="00F77263" w:rsidP="00F77263">
      <w:pPr>
        <w:spacing w:after="0" w:line="240" w:lineRule="auto"/>
        <w:jc w:val="both"/>
        <w:rPr>
          <w:rFonts w:ascii="Arial" w:eastAsia="Arial" w:hAnsi="Arial" w:cs="Arial"/>
        </w:rPr>
      </w:pPr>
      <w:r w:rsidRPr="006907B0">
        <w:rPr>
          <w:rFonts w:ascii="Arial" w:eastAsia="Arial" w:hAnsi="Arial" w:cs="Arial"/>
        </w:rPr>
        <w:t xml:space="preserve">El </w:t>
      </w:r>
      <w:r w:rsidRPr="00BB1C0F">
        <w:rPr>
          <w:rFonts w:ascii="Arial" w:eastAsia="Arial" w:hAnsi="Arial" w:cs="Arial"/>
        </w:rPr>
        <w:t>Ministerio de Minas y Energía cuenta con una apropiación, para gastos de inversión, al cierre del segundo trimestre de 2018 de $3.</w:t>
      </w:r>
      <w:r>
        <w:rPr>
          <w:rFonts w:ascii="Arial" w:eastAsia="Arial" w:hAnsi="Arial" w:cs="Arial"/>
        </w:rPr>
        <w:t>269.153</w:t>
      </w:r>
      <w:r w:rsidRPr="00BB1C0F">
        <w:rPr>
          <w:rFonts w:ascii="Arial" w:eastAsia="Arial" w:hAnsi="Arial" w:cs="Arial"/>
        </w:rPr>
        <w:t xml:space="preserve"> millones de pesos, logrando una ejecución a junio de 2018 en compromisos de $</w:t>
      </w:r>
      <w:r>
        <w:rPr>
          <w:rFonts w:ascii="Arial" w:eastAsia="Arial" w:hAnsi="Arial" w:cs="Arial"/>
        </w:rPr>
        <w:t xml:space="preserve">1.873.311 </w:t>
      </w:r>
      <w:r w:rsidRPr="00BB1C0F">
        <w:rPr>
          <w:rFonts w:ascii="Arial" w:eastAsia="Arial" w:hAnsi="Arial" w:cs="Arial"/>
        </w:rPr>
        <w:t>millones de pesos equivalentes a un 5</w:t>
      </w:r>
      <w:r>
        <w:rPr>
          <w:rFonts w:ascii="Arial" w:eastAsia="Arial" w:hAnsi="Arial" w:cs="Arial"/>
        </w:rPr>
        <w:t>7,30%</w:t>
      </w:r>
      <w:r w:rsidRPr="00BB1C0F">
        <w:rPr>
          <w:rFonts w:ascii="Arial" w:eastAsia="Arial" w:hAnsi="Arial" w:cs="Arial"/>
        </w:rPr>
        <w:t xml:space="preserve"> de ejecución en compromisos.</w:t>
      </w:r>
    </w:p>
    <w:p w14:paraId="5F367442" w14:textId="77777777" w:rsidR="00F77263" w:rsidRPr="00BB1C0F" w:rsidRDefault="00F77263" w:rsidP="00F77263">
      <w:pPr>
        <w:spacing w:after="0" w:line="240" w:lineRule="auto"/>
        <w:jc w:val="both"/>
        <w:rPr>
          <w:rFonts w:ascii="Arial" w:eastAsia="Arial" w:hAnsi="Arial" w:cs="Arial"/>
        </w:rPr>
      </w:pPr>
    </w:p>
    <w:p w14:paraId="4716F17A" w14:textId="77777777" w:rsidR="00F77263" w:rsidRPr="00BB1C0F" w:rsidRDefault="00F77263" w:rsidP="00F77263">
      <w:pPr>
        <w:spacing w:after="0" w:line="240" w:lineRule="auto"/>
        <w:jc w:val="both"/>
        <w:rPr>
          <w:rFonts w:ascii="Arial" w:eastAsia="Arial" w:hAnsi="Arial" w:cs="Arial"/>
        </w:rPr>
      </w:pPr>
      <w:r w:rsidRPr="00BB1C0F">
        <w:rPr>
          <w:rFonts w:ascii="Arial" w:eastAsia="Arial" w:hAnsi="Arial" w:cs="Arial"/>
        </w:rPr>
        <w:t>En obligaciones la ejecución del Ministerio de Minas y Energía fue de $1.</w:t>
      </w:r>
      <w:r>
        <w:rPr>
          <w:rFonts w:ascii="Arial" w:eastAsia="Arial" w:hAnsi="Arial" w:cs="Arial"/>
        </w:rPr>
        <w:t>484.810</w:t>
      </w:r>
      <w:r w:rsidRPr="00BB1C0F">
        <w:rPr>
          <w:rFonts w:ascii="Arial" w:eastAsia="Arial" w:hAnsi="Arial" w:cs="Arial"/>
        </w:rPr>
        <w:t xml:space="preserve"> millones de pesos equivalentes a un </w:t>
      </w:r>
      <w:r>
        <w:rPr>
          <w:rFonts w:ascii="Arial" w:eastAsia="Arial" w:hAnsi="Arial" w:cs="Arial"/>
        </w:rPr>
        <w:t>45,42</w:t>
      </w:r>
      <w:r w:rsidRPr="00BB1C0F">
        <w:rPr>
          <w:rFonts w:ascii="Arial" w:eastAsia="Arial" w:hAnsi="Arial" w:cs="Arial"/>
        </w:rPr>
        <w:t>%.</w:t>
      </w:r>
    </w:p>
    <w:p w14:paraId="563AA591" w14:textId="77777777" w:rsidR="00F77263" w:rsidRPr="00BB1C0F" w:rsidRDefault="00F77263" w:rsidP="00F77263">
      <w:pPr>
        <w:spacing w:after="0" w:line="240" w:lineRule="auto"/>
        <w:jc w:val="both"/>
        <w:rPr>
          <w:rFonts w:ascii="Arial" w:eastAsia="Arial" w:hAnsi="Arial" w:cs="Arial"/>
        </w:rPr>
      </w:pPr>
    </w:p>
    <w:p w14:paraId="22EE9A1F" w14:textId="77777777" w:rsidR="00F77263" w:rsidRDefault="00F77263" w:rsidP="00F77263">
      <w:pPr>
        <w:tabs>
          <w:tab w:val="left" w:pos="7367"/>
        </w:tabs>
        <w:spacing w:after="0" w:line="240" w:lineRule="auto"/>
        <w:jc w:val="both"/>
        <w:rPr>
          <w:rFonts w:ascii="Arial" w:eastAsia="Arial" w:hAnsi="Arial" w:cs="Arial"/>
        </w:rPr>
      </w:pPr>
      <w:r w:rsidRPr="00BB1C0F">
        <w:rPr>
          <w:rFonts w:ascii="Arial" w:eastAsia="Arial" w:hAnsi="Arial" w:cs="Arial"/>
        </w:rPr>
        <w:t>La ejecución presupuestal de inversión por proyecto se presenta en el siguiente cuadro:</w:t>
      </w:r>
      <w:r w:rsidRPr="006907B0">
        <w:rPr>
          <w:rFonts w:ascii="Arial" w:eastAsia="Arial" w:hAnsi="Arial" w:cs="Arial"/>
        </w:rPr>
        <w:t xml:space="preserve"> </w:t>
      </w:r>
    </w:p>
    <w:p w14:paraId="5749EBA1" w14:textId="77777777" w:rsidR="009A02CD" w:rsidRDefault="009A02CD" w:rsidP="00F77263">
      <w:pPr>
        <w:tabs>
          <w:tab w:val="left" w:pos="7367"/>
        </w:tabs>
        <w:spacing w:after="0" w:line="240" w:lineRule="auto"/>
        <w:jc w:val="both"/>
        <w:rPr>
          <w:rFonts w:ascii="Arial" w:eastAsia="Arial" w:hAnsi="Arial" w:cs="Arial"/>
        </w:rPr>
      </w:pPr>
    </w:p>
    <w:p w14:paraId="49E176A0" w14:textId="77777777" w:rsidR="009A02CD" w:rsidRDefault="009A02CD" w:rsidP="00F77263">
      <w:pPr>
        <w:tabs>
          <w:tab w:val="left" w:pos="7367"/>
        </w:tabs>
        <w:spacing w:after="0" w:line="240" w:lineRule="auto"/>
        <w:jc w:val="both"/>
        <w:rPr>
          <w:rFonts w:ascii="Arial" w:eastAsia="Arial" w:hAnsi="Arial" w:cs="Arial"/>
        </w:rPr>
      </w:pPr>
    </w:p>
    <w:p w14:paraId="1E235725" w14:textId="6DEE6F13" w:rsidR="009A02CD" w:rsidRPr="001E7A69" w:rsidRDefault="00C02282" w:rsidP="009A02CD">
      <w:pPr>
        <w:pStyle w:val="Descripcin"/>
        <w:keepNext/>
        <w:jc w:val="center"/>
        <w:rPr>
          <w:rFonts w:cs="Arial"/>
          <w:b/>
          <w:sz w:val="24"/>
          <w:szCs w:val="24"/>
        </w:rPr>
      </w:pPr>
      <w:bookmarkStart w:id="33" w:name="_Toc525652453"/>
      <w:r w:rsidRPr="009A02CD">
        <w:lastRenderedPageBreak/>
        <w:t xml:space="preserve">Tabla </w:t>
      </w:r>
      <w:r w:rsidRPr="009A02CD">
        <w:fldChar w:fldCharType="begin"/>
      </w:r>
      <w:r w:rsidRPr="009A02CD">
        <w:instrText xml:space="preserve"> SEQ Tabla \* ARABIC </w:instrText>
      </w:r>
      <w:r w:rsidRPr="009A02CD">
        <w:fldChar w:fldCharType="separate"/>
      </w:r>
      <w:r w:rsidR="008B4625">
        <w:rPr>
          <w:noProof/>
        </w:rPr>
        <w:t>7</w:t>
      </w:r>
      <w:r w:rsidRPr="009A02CD">
        <w:fldChar w:fldCharType="end"/>
      </w:r>
      <w:r w:rsidRPr="009A02CD">
        <w:t>Ejecución Presupuestal Gastos de Inversión MME</w:t>
      </w:r>
      <w:bookmarkEnd w:id="33"/>
    </w:p>
    <w:p w14:paraId="521B45BB" w14:textId="6219B1A8" w:rsidR="009A02CD" w:rsidRPr="001E7A69" w:rsidRDefault="009A02CD" w:rsidP="009A02CD">
      <w:pPr>
        <w:spacing w:after="0" w:line="240" w:lineRule="auto"/>
        <w:jc w:val="both"/>
        <w:rPr>
          <w:rFonts w:cs="Arial"/>
          <w:b/>
          <w:sz w:val="24"/>
          <w:szCs w:val="24"/>
        </w:rPr>
      </w:pPr>
      <w:r w:rsidRPr="00FA14FE">
        <w:rPr>
          <w:noProof/>
          <w:lang w:eastAsia="es-CO"/>
        </w:rPr>
        <w:drawing>
          <wp:inline distT="0" distB="0" distL="0" distR="0" wp14:anchorId="15A10F79" wp14:editId="7E6E21F5">
            <wp:extent cx="5972175" cy="652462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6524625"/>
                    </a:xfrm>
                    <a:prstGeom prst="rect">
                      <a:avLst/>
                    </a:prstGeom>
                    <a:noFill/>
                    <a:ln>
                      <a:noFill/>
                    </a:ln>
                  </pic:spPr>
                </pic:pic>
              </a:graphicData>
            </a:graphic>
          </wp:inline>
        </w:drawing>
      </w:r>
    </w:p>
    <w:p w14:paraId="15DE5BB6"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0E710F0A"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4723EDED" w14:textId="3A980258" w:rsidR="009A02CD" w:rsidRPr="001E7A69" w:rsidRDefault="009A02CD" w:rsidP="009A02CD">
      <w:pPr>
        <w:spacing w:after="0" w:line="240" w:lineRule="auto"/>
        <w:jc w:val="both"/>
        <w:rPr>
          <w:rFonts w:cs="Arial"/>
          <w:b/>
          <w:sz w:val="24"/>
          <w:szCs w:val="24"/>
        </w:rPr>
      </w:pPr>
      <w:r w:rsidRPr="00FA14FE">
        <w:rPr>
          <w:noProof/>
          <w:lang w:eastAsia="es-CO"/>
        </w:rPr>
        <w:lastRenderedPageBreak/>
        <w:drawing>
          <wp:inline distT="0" distB="0" distL="0" distR="0" wp14:anchorId="5EDB45F5" wp14:editId="65A9B52A">
            <wp:extent cx="5972175" cy="69246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6924675"/>
                    </a:xfrm>
                    <a:prstGeom prst="rect">
                      <a:avLst/>
                    </a:prstGeom>
                    <a:noFill/>
                    <a:ln>
                      <a:noFill/>
                    </a:ln>
                  </pic:spPr>
                </pic:pic>
              </a:graphicData>
            </a:graphic>
          </wp:inline>
        </w:drawing>
      </w:r>
    </w:p>
    <w:p w14:paraId="2E5D5C66"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4EAE757F"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707E9039" w14:textId="2745E7E6" w:rsidR="009A02CD" w:rsidRPr="001E7A69" w:rsidRDefault="009A02CD" w:rsidP="009A02CD">
      <w:pPr>
        <w:spacing w:after="0" w:line="240" w:lineRule="auto"/>
        <w:jc w:val="both"/>
        <w:rPr>
          <w:rFonts w:cs="Arial"/>
          <w:b/>
          <w:sz w:val="24"/>
          <w:szCs w:val="24"/>
        </w:rPr>
      </w:pPr>
      <w:r w:rsidRPr="00FA14FE">
        <w:rPr>
          <w:noProof/>
          <w:lang w:eastAsia="es-CO"/>
        </w:rPr>
        <w:lastRenderedPageBreak/>
        <w:drawing>
          <wp:inline distT="0" distB="0" distL="0" distR="0" wp14:anchorId="1D17C044" wp14:editId="0FE6E0AC">
            <wp:extent cx="5972175" cy="70580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7058025"/>
                    </a:xfrm>
                    <a:prstGeom prst="rect">
                      <a:avLst/>
                    </a:prstGeom>
                    <a:noFill/>
                    <a:ln>
                      <a:noFill/>
                    </a:ln>
                  </pic:spPr>
                </pic:pic>
              </a:graphicData>
            </a:graphic>
          </wp:inline>
        </w:drawing>
      </w:r>
    </w:p>
    <w:p w14:paraId="2E07F15B"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01C2EF27"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2E38FA40" w14:textId="0CF3D468" w:rsidR="009A02CD" w:rsidRDefault="009A02CD" w:rsidP="009A02CD">
      <w:pPr>
        <w:spacing w:after="0" w:line="240" w:lineRule="auto"/>
        <w:jc w:val="both"/>
        <w:rPr>
          <w:rFonts w:ascii="Arial" w:eastAsia="Arial" w:hAnsi="Arial" w:cs="Arial"/>
          <w:szCs w:val="20"/>
        </w:rPr>
      </w:pPr>
      <w:r w:rsidRPr="00FA14FE">
        <w:rPr>
          <w:noProof/>
          <w:lang w:eastAsia="es-CO"/>
        </w:rPr>
        <w:lastRenderedPageBreak/>
        <w:drawing>
          <wp:inline distT="0" distB="0" distL="0" distR="0" wp14:anchorId="3337B8A3" wp14:editId="61BC396C">
            <wp:extent cx="5972175" cy="715327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7153275"/>
                    </a:xfrm>
                    <a:prstGeom prst="rect">
                      <a:avLst/>
                    </a:prstGeom>
                    <a:noFill/>
                    <a:ln>
                      <a:noFill/>
                    </a:ln>
                  </pic:spPr>
                </pic:pic>
              </a:graphicData>
            </a:graphic>
          </wp:inline>
        </w:drawing>
      </w:r>
    </w:p>
    <w:p w14:paraId="706D5EAA"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2629739A" w14:textId="53FD0DD1" w:rsidR="009A02CD" w:rsidRPr="001E7A69" w:rsidRDefault="009A02CD" w:rsidP="009A02CD">
      <w:pPr>
        <w:spacing w:after="0" w:line="240" w:lineRule="auto"/>
        <w:jc w:val="center"/>
        <w:rPr>
          <w:rFonts w:cs="Arial"/>
          <w:sz w:val="16"/>
          <w:szCs w:val="16"/>
        </w:rPr>
      </w:pPr>
      <w:r w:rsidRPr="00F77263">
        <w:rPr>
          <w:rFonts w:ascii="Arial" w:eastAsia="Calibri" w:hAnsi="Arial" w:cs="Arial"/>
          <w:sz w:val="16"/>
          <w:szCs w:val="16"/>
        </w:rPr>
        <w:t>Fuente: SIIF Nación</w:t>
      </w:r>
    </w:p>
    <w:p w14:paraId="1F449DB5" w14:textId="6500FC94" w:rsidR="009A02CD" w:rsidRDefault="009A02CD" w:rsidP="009A02CD">
      <w:pPr>
        <w:spacing w:after="0" w:line="240" w:lineRule="auto"/>
        <w:jc w:val="both"/>
        <w:rPr>
          <w:rFonts w:ascii="Arial" w:eastAsia="Arial" w:hAnsi="Arial" w:cs="Arial"/>
          <w:szCs w:val="20"/>
        </w:rPr>
      </w:pPr>
      <w:r w:rsidRPr="00FA14FE">
        <w:rPr>
          <w:noProof/>
          <w:lang w:eastAsia="es-CO"/>
        </w:rPr>
        <w:lastRenderedPageBreak/>
        <w:drawing>
          <wp:inline distT="0" distB="0" distL="0" distR="0" wp14:anchorId="7BB30713" wp14:editId="0FE1D04E">
            <wp:extent cx="5972175" cy="618172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6181725"/>
                    </a:xfrm>
                    <a:prstGeom prst="rect">
                      <a:avLst/>
                    </a:prstGeom>
                    <a:noFill/>
                    <a:ln>
                      <a:noFill/>
                    </a:ln>
                  </pic:spPr>
                </pic:pic>
              </a:graphicData>
            </a:graphic>
          </wp:inline>
        </w:drawing>
      </w:r>
    </w:p>
    <w:p w14:paraId="3F07C7AE"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28842432"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3E7E7D5E" w14:textId="77777777" w:rsidR="009A02CD" w:rsidRDefault="009A02CD" w:rsidP="009A02CD">
      <w:pPr>
        <w:spacing w:after="0" w:line="240" w:lineRule="auto"/>
        <w:jc w:val="both"/>
        <w:rPr>
          <w:rFonts w:ascii="Arial" w:eastAsia="Arial" w:hAnsi="Arial" w:cs="Arial"/>
          <w:sz w:val="16"/>
          <w:szCs w:val="16"/>
        </w:rPr>
      </w:pPr>
    </w:p>
    <w:p w14:paraId="0CFC16D1" w14:textId="77777777" w:rsidR="009A02CD" w:rsidRDefault="009A02CD" w:rsidP="009A02CD">
      <w:pPr>
        <w:spacing w:after="0" w:line="240" w:lineRule="auto"/>
        <w:jc w:val="both"/>
        <w:rPr>
          <w:rFonts w:ascii="Arial" w:eastAsia="Arial" w:hAnsi="Arial" w:cs="Arial"/>
          <w:szCs w:val="20"/>
        </w:rPr>
      </w:pPr>
      <w:r w:rsidRPr="001E7A69">
        <w:rPr>
          <w:rFonts w:ascii="Arial" w:eastAsia="Arial" w:hAnsi="Arial" w:cs="Arial"/>
          <w:szCs w:val="20"/>
        </w:rPr>
        <w:t>A continuación, se presentan los avances más r</w:t>
      </w:r>
      <w:r>
        <w:rPr>
          <w:rFonts w:ascii="Arial" w:eastAsia="Arial" w:hAnsi="Arial" w:cs="Arial"/>
          <w:szCs w:val="20"/>
        </w:rPr>
        <w:t xml:space="preserve">epresentativos a lo largo del II </w:t>
      </w:r>
      <w:r w:rsidRPr="001E7A69">
        <w:rPr>
          <w:rFonts w:ascii="Arial" w:eastAsia="Arial" w:hAnsi="Arial" w:cs="Arial"/>
          <w:szCs w:val="20"/>
        </w:rPr>
        <w:t>Trimestre de 2018.</w:t>
      </w:r>
    </w:p>
    <w:p w14:paraId="3E041802" w14:textId="77777777" w:rsidR="009A02CD" w:rsidRDefault="009A02CD" w:rsidP="009A02CD">
      <w:pPr>
        <w:spacing w:after="0" w:line="240" w:lineRule="auto"/>
        <w:jc w:val="both"/>
        <w:rPr>
          <w:rFonts w:ascii="Arial" w:eastAsia="Arial" w:hAnsi="Arial" w:cs="Arial"/>
          <w:szCs w:val="20"/>
        </w:rPr>
      </w:pPr>
    </w:p>
    <w:p w14:paraId="3E19D487" w14:textId="1067A52D" w:rsidR="009A02CD" w:rsidRDefault="009A02CD" w:rsidP="009A02CD">
      <w:pPr>
        <w:spacing w:after="0" w:line="240" w:lineRule="auto"/>
        <w:jc w:val="both"/>
        <w:rPr>
          <w:rFonts w:ascii="Arial" w:eastAsia="Arial" w:hAnsi="Arial" w:cs="Arial"/>
          <w:color w:val="FF0000"/>
          <w:szCs w:val="20"/>
          <w:highlight w:val="yellow"/>
        </w:rPr>
      </w:pPr>
    </w:p>
    <w:p w14:paraId="7338709B" w14:textId="77777777" w:rsidR="002B2F4A" w:rsidRPr="00A201DA" w:rsidRDefault="002B2F4A" w:rsidP="009A02CD">
      <w:pPr>
        <w:spacing w:after="0" w:line="240" w:lineRule="auto"/>
        <w:jc w:val="both"/>
        <w:rPr>
          <w:rFonts w:ascii="Arial" w:eastAsia="Arial" w:hAnsi="Arial" w:cs="Arial"/>
          <w:color w:val="FF0000"/>
          <w:szCs w:val="20"/>
          <w:highlight w:val="yellow"/>
        </w:rPr>
      </w:pPr>
    </w:p>
    <w:p w14:paraId="15FFE055" w14:textId="77777777" w:rsidR="00C02282" w:rsidRPr="006A67B4" w:rsidRDefault="00C02282" w:rsidP="00C02282">
      <w:pPr>
        <w:spacing w:after="0" w:line="240" w:lineRule="auto"/>
        <w:jc w:val="both"/>
        <w:rPr>
          <w:rFonts w:ascii="Arial" w:eastAsia="Arial" w:hAnsi="Arial" w:cs="Arial"/>
          <w:szCs w:val="20"/>
          <w:highlight w:val="yellow"/>
        </w:rPr>
      </w:pPr>
    </w:p>
    <w:p w14:paraId="144DD202" w14:textId="77777777" w:rsidR="00C02282" w:rsidRPr="009A02CD" w:rsidRDefault="00C02282" w:rsidP="007B6220">
      <w:pPr>
        <w:numPr>
          <w:ilvl w:val="0"/>
          <w:numId w:val="25"/>
        </w:numPr>
        <w:spacing w:after="0" w:line="240" w:lineRule="auto"/>
        <w:ind w:left="426"/>
        <w:jc w:val="both"/>
        <w:rPr>
          <w:rFonts w:ascii="Arial" w:eastAsia="Times New Roman" w:hAnsi="Arial" w:cs="Arial"/>
          <w:b/>
          <w:szCs w:val="20"/>
          <w:u w:val="single"/>
          <w:lang w:val="es-ES" w:eastAsia="es-ES"/>
        </w:rPr>
      </w:pPr>
      <w:r w:rsidRPr="009A02CD">
        <w:rPr>
          <w:rFonts w:ascii="Arial" w:eastAsia="Times New Roman" w:hAnsi="Arial" w:cs="Arial"/>
          <w:b/>
          <w:szCs w:val="20"/>
          <w:u w:val="single"/>
          <w:lang w:val="es-ES" w:eastAsia="es-ES"/>
        </w:rPr>
        <w:lastRenderedPageBreak/>
        <w:t xml:space="preserve">Oficina de Asuntos Ambientales y Sociales </w:t>
      </w:r>
    </w:p>
    <w:p w14:paraId="087E41E4" w14:textId="77777777" w:rsidR="00C02282" w:rsidRPr="006A67B4" w:rsidRDefault="00C02282" w:rsidP="00C02282">
      <w:pPr>
        <w:spacing w:after="0" w:line="240" w:lineRule="auto"/>
        <w:ind w:left="426"/>
        <w:jc w:val="both"/>
        <w:rPr>
          <w:rFonts w:ascii="Arial" w:eastAsia="Arial" w:hAnsi="Arial" w:cs="Arial"/>
          <w:szCs w:val="20"/>
          <w:highlight w:val="yellow"/>
        </w:rPr>
      </w:pPr>
    </w:p>
    <w:p w14:paraId="76717E80" w14:textId="77777777" w:rsidR="009A02CD" w:rsidRPr="001E7A69" w:rsidRDefault="009A02CD" w:rsidP="009A02CD">
      <w:pPr>
        <w:spacing w:after="0" w:line="240" w:lineRule="auto"/>
        <w:jc w:val="both"/>
        <w:rPr>
          <w:rFonts w:ascii="Arial" w:eastAsia="Arial" w:hAnsi="Arial" w:cs="Arial"/>
          <w:szCs w:val="20"/>
        </w:rPr>
      </w:pPr>
      <w:r w:rsidRPr="001E7A69">
        <w:rPr>
          <w:rFonts w:ascii="Arial" w:eastAsia="Arial" w:hAnsi="Arial" w:cs="Arial"/>
          <w:szCs w:val="20"/>
        </w:rPr>
        <w:t xml:space="preserve">La Oficina de Asuntos Ambientales y Sociales para el año 2018 cuenta con cuatro proyectos con una apropiación vigente al cierre del </w:t>
      </w:r>
      <w:r>
        <w:rPr>
          <w:rFonts w:ascii="Arial" w:eastAsia="Arial" w:hAnsi="Arial" w:cs="Arial"/>
          <w:szCs w:val="20"/>
        </w:rPr>
        <w:t xml:space="preserve">segundo </w:t>
      </w:r>
      <w:r w:rsidRPr="001E7A69">
        <w:rPr>
          <w:rFonts w:ascii="Arial" w:eastAsia="Arial" w:hAnsi="Arial" w:cs="Arial"/>
          <w:szCs w:val="20"/>
        </w:rPr>
        <w:t>trimestre de 2018 de $8.</w:t>
      </w:r>
      <w:r>
        <w:rPr>
          <w:rFonts w:ascii="Arial" w:eastAsia="Arial" w:hAnsi="Arial" w:cs="Arial"/>
          <w:szCs w:val="20"/>
        </w:rPr>
        <w:t>415</w:t>
      </w:r>
      <w:r w:rsidRPr="001E7A69">
        <w:rPr>
          <w:rFonts w:ascii="Arial" w:eastAsia="Arial" w:hAnsi="Arial" w:cs="Arial"/>
          <w:szCs w:val="20"/>
        </w:rPr>
        <w:t xml:space="preserve"> millones de pesos, ejecutando en compromisos $</w:t>
      </w:r>
      <w:r>
        <w:rPr>
          <w:rFonts w:ascii="Arial" w:eastAsia="Arial" w:hAnsi="Arial" w:cs="Arial"/>
          <w:szCs w:val="20"/>
        </w:rPr>
        <w:t>6.692</w:t>
      </w:r>
      <w:r w:rsidRPr="001E7A69">
        <w:rPr>
          <w:rFonts w:ascii="Arial" w:eastAsia="Arial" w:hAnsi="Arial" w:cs="Arial"/>
          <w:szCs w:val="20"/>
        </w:rPr>
        <w:t xml:space="preserve"> millones de pesos, equivalentes a un 7</w:t>
      </w:r>
      <w:r>
        <w:rPr>
          <w:rFonts w:ascii="Arial" w:eastAsia="Arial" w:hAnsi="Arial" w:cs="Arial"/>
          <w:szCs w:val="20"/>
        </w:rPr>
        <w:t>9</w:t>
      </w:r>
      <w:r w:rsidRPr="001E7A69">
        <w:rPr>
          <w:rFonts w:ascii="Arial" w:eastAsia="Arial" w:hAnsi="Arial" w:cs="Arial"/>
          <w:szCs w:val="20"/>
        </w:rPr>
        <w:t>,</w:t>
      </w:r>
      <w:r>
        <w:rPr>
          <w:rFonts w:ascii="Arial" w:eastAsia="Arial" w:hAnsi="Arial" w:cs="Arial"/>
          <w:szCs w:val="20"/>
        </w:rPr>
        <w:t>53</w:t>
      </w:r>
      <w:r w:rsidRPr="001E7A69">
        <w:rPr>
          <w:rFonts w:ascii="Arial" w:eastAsia="Arial" w:hAnsi="Arial" w:cs="Arial"/>
          <w:szCs w:val="20"/>
        </w:rPr>
        <w:t xml:space="preserve">% de ejecución, por otro </w:t>
      </w:r>
      <w:proofErr w:type="gramStart"/>
      <w:r w:rsidRPr="001E7A69">
        <w:rPr>
          <w:rFonts w:ascii="Arial" w:eastAsia="Arial" w:hAnsi="Arial" w:cs="Arial"/>
          <w:szCs w:val="20"/>
        </w:rPr>
        <w:t>lado</w:t>
      </w:r>
      <w:proofErr w:type="gramEnd"/>
      <w:r w:rsidRPr="001E7A69">
        <w:rPr>
          <w:rFonts w:ascii="Arial" w:eastAsia="Arial" w:hAnsi="Arial" w:cs="Arial"/>
          <w:szCs w:val="20"/>
        </w:rPr>
        <w:t xml:space="preserve"> la ejecución en obligaciones fue de $</w:t>
      </w:r>
      <w:r>
        <w:rPr>
          <w:rFonts w:ascii="Arial" w:eastAsia="Arial" w:hAnsi="Arial" w:cs="Arial"/>
          <w:szCs w:val="20"/>
        </w:rPr>
        <w:t>4.095</w:t>
      </w:r>
      <w:r w:rsidRPr="001E7A69">
        <w:rPr>
          <w:rFonts w:ascii="Arial" w:eastAsia="Arial" w:hAnsi="Arial" w:cs="Arial"/>
          <w:szCs w:val="20"/>
        </w:rPr>
        <w:t xml:space="preserve"> millone</w:t>
      </w:r>
      <w:r>
        <w:rPr>
          <w:rFonts w:ascii="Arial" w:eastAsia="Arial" w:hAnsi="Arial" w:cs="Arial"/>
          <w:szCs w:val="20"/>
        </w:rPr>
        <w:t>s de pesos, equivalentes a un 48,66</w:t>
      </w:r>
      <w:r w:rsidRPr="001E7A69">
        <w:rPr>
          <w:rFonts w:ascii="Arial" w:eastAsia="Arial" w:hAnsi="Arial" w:cs="Arial"/>
          <w:szCs w:val="20"/>
        </w:rPr>
        <w:t xml:space="preserve">% de ejecución. </w:t>
      </w:r>
      <w:r>
        <w:rPr>
          <w:rFonts w:ascii="Arial" w:eastAsia="Arial" w:hAnsi="Arial" w:cs="Arial"/>
          <w:szCs w:val="20"/>
        </w:rPr>
        <w:t>Durante el</w:t>
      </w:r>
      <w:r w:rsidRPr="001E7A69">
        <w:rPr>
          <w:rFonts w:ascii="Arial" w:eastAsia="Arial" w:hAnsi="Arial" w:cs="Arial"/>
          <w:szCs w:val="20"/>
        </w:rPr>
        <w:t xml:space="preserve"> </w:t>
      </w:r>
      <w:r>
        <w:rPr>
          <w:rFonts w:ascii="Arial" w:eastAsia="Arial" w:hAnsi="Arial" w:cs="Arial"/>
          <w:szCs w:val="20"/>
        </w:rPr>
        <w:t>segundo</w:t>
      </w:r>
      <w:r w:rsidRPr="001E7A69">
        <w:rPr>
          <w:rFonts w:ascii="Arial" w:eastAsia="Arial" w:hAnsi="Arial" w:cs="Arial"/>
          <w:szCs w:val="20"/>
        </w:rPr>
        <w:t xml:space="preserve"> trimestre</w:t>
      </w:r>
      <w:r>
        <w:rPr>
          <w:rFonts w:ascii="Arial" w:eastAsia="Arial" w:hAnsi="Arial" w:cs="Arial"/>
          <w:szCs w:val="20"/>
        </w:rPr>
        <w:t>, la oficina tuvo un aplazamiento por valor de $85 millones de pesos afectando tres de sus proyectos.</w:t>
      </w:r>
    </w:p>
    <w:p w14:paraId="7B0EE1AB" w14:textId="77777777" w:rsidR="009A02CD" w:rsidRPr="008618B5" w:rsidRDefault="009A02CD" w:rsidP="009A02CD">
      <w:pPr>
        <w:spacing w:after="0" w:line="240" w:lineRule="auto"/>
        <w:ind w:left="426"/>
        <w:jc w:val="both"/>
        <w:rPr>
          <w:rFonts w:ascii="Arial" w:eastAsia="Arial" w:hAnsi="Arial" w:cs="Arial"/>
          <w:szCs w:val="20"/>
        </w:rPr>
      </w:pPr>
    </w:p>
    <w:p w14:paraId="04F44FFD" w14:textId="77777777" w:rsidR="009A02CD" w:rsidRPr="008618B5" w:rsidRDefault="009A02CD" w:rsidP="009A02CD">
      <w:pPr>
        <w:spacing w:after="0" w:line="240" w:lineRule="auto"/>
        <w:jc w:val="both"/>
        <w:rPr>
          <w:rFonts w:ascii="Arial" w:eastAsia="Arial" w:hAnsi="Arial" w:cs="Arial"/>
          <w:szCs w:val="20"/>
        </w:rPr>
      </w:pPr>
      <w:r w:rsidRPr="008618B5">
        <w:rPr>
          <w:rFonts w:ascii="Arial" w:eastAsia="Arial" w:hAnsi="Arial" w:cs="Arial"/>
          <w:szCs w:val="20"/>
        </w:rPr>
        <w:t xml:space="preserve">La ejecución de los proyectos se realizó de la siguiente manera: </w:t>
      </w:r>
    </w:p>
    <w:p w14:paraId="400C6D31" w14:textId="77777777" w:rsidR="00C02282" w:rsidRPr="006A67B4" w:rsidRDefault="00C02282" w:rsidP="00C02282">
      <w:pPr>
        <w:spacing w:after="0" w:line="240" w:lineRule="auto"/>
        <w:ind w:left="426"/>
        <w:jc w:val="both"/>
        <w:rPr>
          <w:rFonts w:ascii="Arial" w:eastAsia="Arial" w:hAnsi="Arial" w:cs="Arial"/>
          <w:color w:val="FF0000"/>
          <w:szCs w:val="20"/>
          <w:highlight w:val="yellow"/>
        </w:rPr>
      </w:pPr>
    </w:p>
    <w:p w14:paraId="3B6C2F9D" w14:textId="77777777" w:rsidR="009A02CD" w:rsidRPr="008618B5" w:rsidRDefault="009A02CD" w:rsidP="009A02CD">
      <w:pPr>
        <w:spacing w:after="0" w:line="240" w:lineRule="auto"/>
        <w:jc w:val="both"/>
        <w:rPr>
          <w:rFonts w:ascii="Arial" w:eastAsia="Arial" w:hAnsi="Arial" w:cs="Arial"/>
          <w:szCs w:val="20"/>
        </w:rPr>
      </w:pPr>
    </w:p>
    <w:p w14:paraId="406B7DC4" w14:textId="77777777" w:rsidR="009A02CD" w:rsidRPr="008618B5" w:rsidRDefault="009A02CD" w:rsidP="009A02CD">
      <w:pPr>
        <w:spacing w:after="0" w:line="240" w:lineRule="auto"/>
        <w:ind w:left="426"/>
        <w:jc w:val="both"/>
        <w:rPr>
          <w:rFonts w:ascii="Arial" w:eastAsia="Arial" w:hAnsi="Arial" w:cs="Arial"/>
          <w:color w:val="FF0000"/>
          <w:szCs w:val="20"/>
        </w:rPr>
      </w:pPr>
    </w:p>
    <w:p w14:paraId="76C498F9" w14:textId="77777777" w:rsidR="009A02CD" w:rsidRPr="008618B5" w:rsidRDefault="009A02CD" w:rsidP="008B4625">
      <w:pPr>
        <w:numPr>
          <w:ilvl w:val="0"/>
          <w:numId w:val="29"/>
        </w:numPr>
        <w:spacing w:after="0" w:line="240" w:lineRule="auto"/>
        <w:ind w:left="426"/>
        <w:jc w:val="both"/>
        <w:rPr>
          <w:rFonts w:ascii="Arial" w:eastAsia="Times New Roman" w:hAnsi="Arial" w:cs="Arial"/>
          <w:b/>
          <w:szCs w:val="20"/>
          <w:lang w:val="es-ES" w:eastAsia="es-ES"/>
        </w:rPr>
      </w:pPr>
      <w:r w:rsidRPr="008618B5">
        <w:rPr>
          <w:rFonts w:ascii="Arial" w:eastAsia="Times New Roman" w:hAnsi="Arial" w:cs="Arial"/>
          <w:b/>
          <w:szCs w:val="20"/>
          <w:lang w:val="es-ES" w:eastAsia="es-ES"/>
        </w:rPr>
        <w:t xml:space="preserve">Fortalecimiento de la Gestión Institucional en territorio y contribución a la Gobernabilidad de Sector Minero Energético Nacional: </w:t>
      </w:r>
    </w:p>
    <w:p w14:paraId="6F2D8150" w14:textId="77777777" w:rsidR="009A02CD" w:rsidRPr="008618B5" w:rsidRDefault="009A02CD" w:rsidP="009A02CD">
      <w:pPr>
        <w:spacing w:after="0" w:line="240" w:lineRule="auto"/>
        <w:ind w:left="1080"/>
        <w:jc w:val="both"/>
        <w:rPr>
          <w:rFonts w:ascii="Arial" w:eastAsia="Times New Roman" w:hAnsi="Arial" w:cs="Arial"/>
          <w:szCs w:val="20"/>
          <w:lang w:val="es-ES" w:eastAsia="es-ES"/>
        </w:rPr>
      </w:pPr>
    </w:p>
    <w:p w14:paraId="3FC6D9D1" w14:textId="77777777" w:rsidR="009A02CD" w:rsidRDefault="009A02CD" w:rsidP="009A02CD">
      <w:pPr>
        <w:spacing w:after="0" w:line="240" w:lineRule="auto"/>
        <w:jc w:val="both"/>
        <w:rPr>
          <w:rFonts w:ascii="Arial" w:eastAsia="Times New Roman" w:hAnsi="Arial" w:cs="Arial"/>
          <w:szCs w:val="20"/>
          <w:lang w:val="es-ES" w:eastAsia="es-ES"/>
        </w:rPr>
      </w:pPr>
      <w:r w:rsidRPr="008618B5">
        <w:rPr>
          <w:rFonts w:ascii="Arial" w:eastAsia="Times New Roman" w:hAnsi="Arial" w:cs="Arial"/>
          <w:szCs w:val="20"/>
          <w:lang w:val="es-ES" w:eastAsia="es-ES"/>
        </w:rPr>
        <w:t xml:space="preserve">Este proyecto cuenta con una apropiación vigente al </w:t>
      </w:r>
      <w:r>
        <w:rPr>
          <w:rFonts w:ascii="Arial" w:eastAsia="Times New Roman" w:hAnsi="Arial" w:cs="Arial"/>
          <w:szCs w:val="20"/>
          <w:lang w:val="es-ES" w:eastAsia="es-ES"/>
        </w:rPr>
        <w:t xml:space="preserve">segundo </w:t>
      </w:r>
      <w:r w:rsidRPr="008618B5">
        <w:rPr>
          <w:rFonts w:ascii="Arial" w:eastAsia="Times New Roman" w:hAnsi="Arial" w:cs="Arial"/>
          <w:szCs w:val="20"/>
          <w:lang w:val="es-ES" w:eastAsia="es-ES"/>
        </w:rPr>
        <w:t>trimestre de $4.</w:t>
      </w:r>
      <w:r>
        <w:rPr>
          <w:rFonts w:ascii="Arial" w:eastAsia="Times New Roman" w:hAnsi="Arial" w:cs="Arial"/>
          <w:szCs w:val="20"/>
          <w:lang w:val="es-ES" w:eastAsia="es-ES"/>
        </w:rPr>
        <w:t>729</w:t>
      </w:r>
      <w:r w:rsidRPr="008618B5">
        <w:rPr>
          <w:rFonts w:ascii="Arial" w:eastAsia="Times New Roman" w:hAnsi="Arial" w:cs="Arial"/>
          <w:szCs w:val="20"/>
          <w:lang w:val="es-ES" w:eastAsia="es-ES"/>
        </w:rPr>
        <w:t xml:space="preserve"> millones de pesos; </w:t>
      </w:r>
      <w:r>
        <w:rPr>
          <w:rFonts w:ascii="Arial" w:eastAsia="Times New Roman" w:hAnsi="Arial" w:cs="Arial"/>
          <w:szCs w:val="20"/>
          <w:lang w:val="es-ES" w:eastAsia="es-ES"/>
        </w:rPr>
        <w:t>con un acumulado en compromisos de</w:t>
      </w:r>
      <w:r w:rsidRPr="008618B5">
        <w:rPr>
          <w:rFonts w:ascii="Arial" w:eastAsia="Times New Roman" w:hAnsi="Arial" w:cs="Arial"/>
          <w:szCs w:val="20"/>
          <w:lang w:val="es-ES" w:eastAsia="es-ES"/>
        </w:rPr>
        <w:t xml:space="preserve"> $</w:t>
      </w:r>
      <w:r>
        <w:rPr>
          <w:rFonts w:ascii="Arial" w:eastAsia="Times New Roman" w:hAnsi="Arial" w:cs="Arial"/>
          <w:szCs w:val="20"/>
          <w:lang w:val="es-ES" w:eastAsia="es-ES"/>
        </w:rPr>
        <w:t>4.015</w:t>
      </w:r>
      <w:r w:rsidRPr="008618B5">
        <w:rPr>
          <w:rFonts w:ascii="Arial" w:eastAsia="Times New Roman" w:hAnsi="Arial" w:cs="Arial"/>
          <w:szCs w:val="20"/>
          <w:lang w:val="es-ES" w:eastAsia="es-ES"/>
        </w:rPr>
        <w:t xml:space="preserve"> millones de pesos, equivalentes a un </w:t>
      </w:r>
      <w:r>
        <w:rPr>
          <w:rFonts w:ascii="Arial" w:eastAsia="Times New Roman" w:hAnsi="Arial" w:cs="Arial"/>
          <w:szCs w:val="20"/>
          <w:lang w:val="es-ES" w:eastAsia="es-ES"/>
        </w:rPr>
        <w:t>84</w:t>
      </w:r>
      <w:r w:rsidRPr="008618B5">
        <w:rPr>
          <w:rFonts w:ascii="Arial" w:eastAsia="Times New Roman" w:hAnsi="Arial" w:cs="Arial"/>
          <w:szCs w:val="20"/>
          <w:lang w:val="es-ES" w:eastAsia="es-ES"/>
        </w:rPr>
        <w:t>,</w:t>
      </w:r>
      <w:r>
        <w:rPr>
          <w:rFonts w:ascii="Arial" w:eastAsia="Times New Roman" w:hAnsi="Arial" w:cs="Arial"/>
          <w:szCs w:val="20"/>
          <w:lang w:val="es-ES" w:eastAsia="es-ES"/>
        </w:rPr>
        <w:t>91</w:t>
      </w:r>
      <w:r w:rsidRPr="008618B5">
        <w:rPr>
          <w:rFonts w:ascii="Arial" w:eastAsia="Times New Roman" w:hAnsi="Arial" w:cs="Arial"/>
          <w:szCs w:val="20"/>
          <w:lang w:val="es-ES" w:eastAsia="es-ES"/>
        </w:rPr>
        <w:t xml:space="preserve">% de ejecución. </w:t>
      </w:r>
    </w:p>
    <w:p w14:paraId="4A9EF53A" w14:textId="77777777" w:rsidR="009A02CD" w:rsidRPr="008618B5" w:rsidRDefault="009A02CD" w:rsidP="009A02CD">
      <w:pPr>
        <w:spacing w:after="0" w:line="240" w:lineRule="auto"/>
        <w:jc w:val="both"/>
        <w:rPr>
          <w:rFonts w:ascii="Arial" w:eastAsia="Times New Roman" w:hAnsi="Arial" w:cs="Arial"/>
          <w:szCs w:val="20"/>
          <w:lang w:val="es-ES" w:eastAsia="es-ES"/>
        </w:rPr>
      </w:pPr>
    </w:p>
    <w:p w14:paraId="4F3284CA" w14:textId="77777777" w:rsidR="009A02CD" w:rsidRPr="00A94580" w:rsidRDefault="009A02CD" w:rsidP="009A02CD">
      <w:pPr>
        <w:spacing w:after="0" w:line="240" w:lineRule="auto"/>
        <w:jc w:val="both"/>
        <w:rPr>
          <w:rFonts w:ascii="Arial" w:eastAsia="Times New Roman" w:hAnsi="Arial" w:cs="Arial"/>
          <w:szCs w:val="20"/>
          <w:lang w:val="es-ES" w:eastAsia="es-ES"/>
        </w:rPr>
      </w:pPr>
      <w:r w:rsidRPr="008618B5">
        <w:rPr>
          <w:rFonts w:ascii="Arial" w:eastAsia="Times New Roman" w:hAnsi="Arial" w:cs="Arial"/>
          <w:szCs w:val="20"/>
          <w:lang w:val="es-ES" w:eastAsia="es-ES"/>
        </w:rPr>
        <w:t>De los compromisos realizados</w:t>
      </w:r>
      <w:r>
        <w:rPr>
          <w:rFonts w:ascii="Arial" w:eastAsia="Times New Roman" w:hAnsi="Arial" w:cs="Arial"/>
          <w:szCs w:val="20"/>
          <w:lang w:val="es-ES" w:eastAsia="es-ES"/>
        </w:rPr>
        <w:t xml:space="preserve"> en el trimestre, </w:t>
      </w:r>
      <w:r w:rsidRPr="008618B5">
        <w:rPr>
          <w:rFonts w:ascii="Arial" w:eastAsia="Times New Roman" w:hAnsi="Arial" w:cs="Arial"/>
          <w:szCs w:val="20"/>
          <w:lang w:val="es-ES" w:eastAsia="es-ES"/>
        </w:rPr>
        <w:t>se destinaron $</w:t>
      </w:r>
      <w:r>
        <w:rPr>
          <w:rFonts w:ascii="Arial" w:eastAsia="Times New Roman" w:hAnsi="Arial" w:cs="Arial"/>
          <w:szCs w:val="20"/>
          <w:lang w:val="es-ES" w:eastAsia="es-ES"/>
        </w:rPr>
        <w:t xml:space="preserve">623 </w:t>
      </w:r>
      <w:r w:rsidRPr="008618B5">
        <w:rPr>
          <w:rFonts w:ascii="Arial" w:eastAsia="Times New Roman" w:hAnsi="Arial" w:cs="Arial"/>
          <w:szCs w:val="20"/>
          <w:lang w:val="es-ES" w:eastAsia="es-ES"/>
        </w:rPr>
        <w:t>millones de pesos para</w:t>
      </w:r>
      <w:r>
        <w:rPr>
          <w:rFonts w:ascii="Arial" w:eastAsia="Times New Roman" w:hAnsi="Arial" w:cs="Arial"/>
          <w:szCs w:val="20"/>
          <w:lang w:val="es-ES" w:eastAsia="es-ES"/>
        </w:rPr>
        <w:t xml:space="preserve"> la </w:t>
      </w:r>
      <w:r w:rsidRPr="00A94580">
        <w:rPr>
          <w:rFonts w:ascii="Arial" w:eastAsia="Times New Roman" w:hAnsi="Arial" w:cs="Arial"/>
          <w:szCs w:val="20"/>
          <w:lang w:val="es-ES" w:eastAsia="es-ES"/>
        </w:rPr>
        <w:t>consultoría con el Consorcio ATG – CAIA –</w:t>
      </w:r>
      <w:proofErr w:type="spellStart"/>
      <w:r w:rsidRPr="00A94580">
        <w:rPr>
          <w:rFonts w:ascii="Arial" w:eastAsia="Times New Roman" w:hAnsi="Arial" w:cs="Arial"/>
          <w:szCs w:val="20"/>
          <w:lang w:val="es-ES" w:eastAsia="es-ES"/>
        </w:rPr>
        <w:t>Geoestudios</w:t>
      </w:r>
      <w:proofErr w:type="spellEnd"/>
      <w:r w:rsidRPr="00A94580">
        <w:rPr>
          <w:rFonts w:ascii="Arial" w:eastAsia="Times New Roman" w:hAnsi="Arial" w:cs="Arial"/>
          <w:szCs w:val="20"/>
          <w:lang w:val="es-ES" w:eastAsia="es-ES"/>
        </w:rPr>
        <w:t xml:space="preserve"> y $82 millones para actividades de apoyo a la gestión del proyecto. </w:t>
      </w:r>
    </w:p>
    <w:p w14:paraId="601D279A" w14:textId="77777777" w:rsidR="009A02CD" w:rsidRPr="00A94580" w:rsidRDefault="009A02CD" w:rsidP="009A02CD">
      <w:pPr>
        <w:spacing w:after="0" w:line="240" w:lineRule="auto"/>
        <w:jc w:val="both"/>
        <w:rPr>
          <w:rFonts w:ascii="Arial" w:eastAsia="Times New Roman" w:hAnsi="Arial" w:cs="Arial"/>
          <w:szCs w:val="20"/>
          <w:lang w:val="es-ES" w:eastAsia="es-ES"/>
        </w:rPr>
      </w:pPr>
    </w:p>
    <w:p w14:paraId="59852033" w14:textId="77777777" w:rsidR="009A02CD" w:rsidRPr="00A94580" w:rsidRDefault="009A02CD" w:rsidP="009A02CD">
      <w:pPr>
        <w:spacing w:after="0" w:line="240" w:lineRule="auto"/>
        <w:jc w:val="both"/>
        <w:rPr>
          <w:rFonts w:ascii="Arial" w:eastAsia="Times New Roman" w:hAnsi="Arial" w:cs="Arial"/>
          <w:szCs w:val="20"/>
          <w:lang w:val="es-ES" w:eastAsia="es-ES"/>
        </w:rPr>
      </w:pPr>
      <w:r w:rsidRPr="00A94580">
        <w:rPr>
          <w:rFonts w:ascii="Arial" w:eastAsia="Times New Roman" w:hAnsi="Arial" w:cs="Arial"/>
          <w:szCs w:val="20"/>
          <w:lang w:val="es-ES" w:eastAsia="es-ES"/>
        </w:rPr>
        <w:t>Así mismo, en obligaciones presentó una ejecución al segundo trimestre de $2.032 millones de pesos; equivalentes al 42,97% de ejecución. De las obligaciones del segundo trimestre, se destinaron $539 millones para el pago de actividades del apoyo a la gestión del proyecto.</w:t>
      </w:r>
    </w:p>
    <w:p w14:paraId="63313BE3" w14:textId="77777777" w:rsidR="009A02CD" w:rsidRPr="00A94580" w:rsidRDefault="009A02CD" w:rsidP="009A02CD">
      <w:pPr>
        <w:spacing w:after="0" w:line="240" w:lineRule="auto"/>
        <w:jc w:val="both"/>
        <w:rPr>
          <w:rFonts w:ascii="Arial" w:eastAsia="Times New Roman" w:hAnsi="Arial" w:cs="Arial"/>
          <w:szCs w:val="20"/>
          <w:lang w:val="es-ES" w:eastAsia="es-ES"/>
        </w:rPr>
      </w:pPr>
    </w:p>
    <w:p w14:paraId="72D35ADD" w14:textId="77777777" w:rsidR="009A02CD" w:rsidRPr="00A94580" w:rsidRDefault="009A02CD" w:rsidP="008B4625">
      <w:pPr>
        <w:numPr>
          <w:ilvl w:val="0"/>
          <w:numId w:val="29"/>
        </w:numPr>
        <w:spacing w:after="0" w:line="240" w:lineRule="auto"/>
        <w:ind w:left="426"/>
        <w:jc w:val="both"/>
        <w:rPr>
          <w:rFonts w:ascii="Arial" w:eastAsia="Times New Roman" w:hAnsi="Arial" w:cs="Arial"/>
          <w:b/>
          <w:szCs w:val="20"/>
          <w:lang w:val="es-ES" w:eastAsia="es-ES"/>
        </w:rPr>
      </w:pPr>
      <w:r w:rsidRPr="00A94580">
        <w:rPr>
          <w:rFonts w:ascii="Arial" w:eastAsia="Times New Roman" w:hAnsi="Arial" w:cs="Arial"/>
          <w:b/>
          <w:szCs w:val="20"/>
          <w:lang w:val="es-ES" w:eastAsia="es-ES"/>
        </w:rPr>
        <w:t>Diagnóstico Minero Ambiental de los pasivos en el Territorio Nacional:</w:t>
      </w:r>
    </w:p>
    <w:p w14:paraId="3151C39A" w14:textId="77777777" w:rsidR="009A02CD" w:rsidRPr="00A94580" w:rsidRDefault="009A02CD" w:rsidP="009A02CD">
      <w:pPr>
        <w:spacing w:after="0" w:line="240" w:lineRule="auto"/>
        <w:jc w:val="both"/>
        <w:rPr>
          <w:rFonts w:ascii="Arial" w:eastAsia="Arial" w:hAnsi="Arial" w:cs="Arial"/>
          <w:szCs w:val="20"/>
        </w:rPr>
      </w:pPr>
    </w:p>
    <w:p w14:paraId="28C9B367" w14:textId="77777777" w:rsidR="009A02CD" w:rsidRPr="00A94580" w:rsidRDefault="009A02CD" w:rsidP="009A02CD">
      <w:pPr>
        <w:spacing w:after="0" w:line="240" w:lineRule="auto"/>
        <w:jc w:val="both"/>
        <w:rPr>
          <w:rFonts w:ascii="Arial" w:eastAsia="Arial" w:hAnsi="Arial" w:cs="Arial"/>
          <w:szCs w:val="20"/>
        </w:rPr>
      </w:pPr>
      <w:r w:rsidRPr="00A94580">
        <w:rPr>
          <w:rFonts w:ascii="Arial" w:eastAsia="Arial" w:hAnsi="Arial" w:cs="Arial"/>
          <w:szCs w:val="20"/>
        </w:rPr>
        <w:t xml:space="preserve">Este proyecto cuenta con una apropiación vigente para el primer trimestre de $1.000 millones de pesos; comprometiendo al segundo trimestre $174 millones de pesos, equivalentes al 17,37% de ejecución. Dichos compromisos se destinaron a actividades de apoyo a la gestión y seguimiento. </w:t>
      </w:r>
    </w:p>
    <w:p w14:paraId="5CF442B2" w14:textId="77777777" w:rsidR="009A02CD" w:rsidRPr="00A94580" w:rsidRDefault="009A02CD" w:rsidP="009A02CD">
      <w:pPr>
        <w:spacing w:after="0" w:line="240" w:lineRule="auto"/>
        <w:jc w:val="both"/>
        <w:rPr>
          <w:rFonts w:ascii="Arial" w:eastAsia="Arial" w:hAnsi="Arial" w:cs="Arial"/>
          <w:szCs w:val="20"/>
        </w:rPr>
      </w:pPr>
    </w:p>
    <w:p w14:paraId="21AF7D0F" w14:textId="77777777" w:rsidR="009A02CD" w:rsidRPr="00A94580" w:rsidRDefault="009A02CD" w:rsidP="009A02CD">
      <w:pPr>
        <w:spacing w:after="0" w:line="240" w:lineRule="auto"/>
        <w:jc w:val="both"/>
        <w:rPr>
          <w:rFonts w:ascii="Arial" w:eastAsia="Arial" w:hAnsi="Arial" w:cs="Arial"/>
          <w:szCs w:val="20"/>
        </w:rPr>
      </w:pPr>
      <w:r w:rsidRPr="00A94580">
        <w:rPr>
          <w:rFonts w:ascii="Arial" w:eastAsia="Arial" w:hAnsi="Arial" w:cs="Arial"/>
          <w:szCs w:val="20"/>
        </w:rPr>
        <w:t>Así mismo, en obligaciones presentó una ejecución al cierre del segundo trimestre de $71 millones de pesos, equivalentes al 7,11% de ejecución, estas obligaciones se destinaron a cubrir gastos de apoyo a la gestión y seguimiento del proyecto.</w:t>
      </w:r>
    </w:p>
    <w:p w14:paraId="645D6C7B" w14:textId="77777777" w:rsidR="009A02CD" w:rsidRPr="00436DA7" w:rsidRDefault="009A02CD" w:rsidP="009A02CD">
      <w:pPr>
        <w:spacing w:after="0" w:line="240" w:lineRule="auto"/>
        <w:jc w:val="both"/>
        <w:rPr>
          <w:rFonts w:ascii="Arial" w:eastAsia="Arial" w:hAnsi="Arial" w:cs="Arial"/>
          <w:szCs w:val="20"/>
        </w:rPr>
      </w:pPr>
      <w:r w:rsidRPr="00A201DA">
        <w:rPr>
          <w:rFonts w:ascii="Arial" w:eastAsia="Arial" w:hAnsi="Arial" w:cs="Arial"/>
          <w:szCs w:val="20"/>
          <w:highlight w:val="yellow"/>
        </w:rPr>
        <w:t xml:space="preserve"> </w:t>
      </w:r>
    </w:p>
    <w:p w14:paraId="6F17A830" w14:textId="77777777" w:rsidR="009A02CD" w:rsidRPr="00436DA7" w:rsidRDefault="009A02CD" w:rsidP="008B4625">
      <w:pPr>
        <w:numPr>
          <w:ilvl w:val="0"/>
          <w:numId w:val="29"/>
        </w:numPr>
        <w:spacing w:after="0" w:line="240" w:lineRule="auto"/>
        <w:ind w:left="426" w:hanging="426"/>
        <w:jc w:val="both"/>
        <w:rPr>
          <w:rFonts w:ascii="Arial" w:eastAsia="Times New Roman" w:hAnsi="Arial" w:cs="Arial"/>
          <w:b/>
          <w:szCs w:val="20"/>
          <w:lang w:val="es-ES" w:eastAsia="es-ES"/>
        </w:rPr>
      </w:pPr>
      <w:r w:rsidRPr="00436DA7">
        <w:rPr>
          <w:rFonts w:ascii="Arial" w:eastAsia="Times New Roman" w:hAnsi="Arial" w:cs="Arial"/>
          <w:b/>
          <w:szCs w:val="20"/>
          <w:lang w:val="es-ES" w:eastAsia="es-ES"/>
        </w:rPr>
        <w:t>Formulación y Ejecución de la Estrategia de Gestión Ambiental para la Promoción del Sector bajo principios de Competitividad Nacional:</w:t>
      </w:r>
    </w:p>
    <w:p w14:paraId="799C1CCA" w14:textId="77777777" w:rsidR="009A02CD" w:rsidRPr="00436DA7" w:rsidRDefault="009A02CD" w:rsidP="009A02CD">
      <w:pPr>
        <w:spacing w:after="0" w:line="240" w:lineRule="auto"/>
        <w:jc w:val="both"/>
        <w:rPr>
          <w:rFonts w:ascii="Arial" w:eastAsia="Arial" w:hAnsi="Arial" w:cs="Arial"/>
          <w:szCs w:val="20"/>
        </w:rPr>
      </w:pPr>
    </w:p>
    <w:p w14:paraId="75096C30" w14:textId="77777777" w:rsidR="009A02CD" w:rsidRPr="00A764EB" w:rsidRDefault="009A02CD" w:rsidP="009A02CD">
      <w:pPr>
        <w:spacing w:after="0" w:line="240" w:lineRule="auto"/>
        <w:jc w:val="both"/>
        <w:rPr>
          <w:rFonts w:ascii="Arial" w:eastAsia="Arial" w:hAnsi="Arial" w:cs="Arial"/>
          <w:szCs w:val="20"/>
        </w:rPr>
      </w:pPr>
      <w:r w:rsidRPr="00A764EB">
        <w:rPr>
          <w:rFonts w:ascii="Arial" w:eastAsia="Arial" w:hAnsi="Arial" w:cs="Arial"/>
          <w:szCs w:val="20"/>
        </w:rPr>
        <w:t>Este proyecto cuenta con una apropiación vigente al segundo trimestre de $1.691 millones de pesos; comprometiendo $1.577 millones de pesos equivalentes al 93,27%.</w:t>
      </w:r>
    </w:p>
    <w:p w14:paraId="0588628E" w14:textId="77777777" w:rsidR="009A02CD" w:rsidRPr="00A764EB" w:rsidRDefault="009A02CD" w:rsidP="009A02CD">
      <w:pPr>
        <w:spacing w:after="0" w:line="240" w:lineRule="auto"/>
        <w:jc w:val="both"/>
        <w:rPr>
          <w:rFonts w:ascii="Arial" w:eastAsia="Arial" w:hAnsi="Arial" w:cs="Arial"/>
          <w:szCs w:val="20"/>
        </w:rPr>
      </w:pPr>
      <w:r w:rsidRPr="00A764EB">
        <w:rPr>
          <w:rFonts w:ascii="Arial" w:eastAsia="Arial" w:hAnsi="Arial" w:cs="Arial"/>
          <w:szCs w:val="20"/>
        </w:rPr>
        <w:t xml:space="preserve">De los compromisos realizados durante este trimestre se destinaron $60 millones de pesos para apoyo a la gestión del proyecto. </w:t>
      </w:r>
    </w:p>
    <w:p w14:paraId="5C399177" w14:textId="77777777" w:rsidR="009A02CD" w:rsidRDefault="009A02CD" w:rsidP="009A02CD">
      <w:pPr>
        <w:spacing w:after="0" w:line="240" w:lineRule="auto"/>
        <w:jc w:val="both"/>
        <w:rPr>
          <w:rFonts w:ascii="Arial" w:eastAsia="Arial" w:hAnsi="Arial" w:cs="Arial"/>
          <w:szCs w:val="20"/>
        </w:rPr>
      </w:pPr>
      <w:r w:rsidRPr="00A764EB">
        <w:rPr>
          <w:rFonts w:ascii="Arial" w:eastAsia="Arial" w:hAnsi="Arial" w:cs="Arial"/>
          <w:szCs w:val="20"/>
        </w:rPr>
        <w:lastRenderedPageBreak/>
        <w:t xml:space="preserve">Así mismo, en obligaciones se ejecutaron$1.294 millones de pesos, equivalentes al 76,54% de ejecución. Las obligaciones realizadas en este trimestre se destinaron $140 millones para pagar las actividades de seguimiento y apoyo a la gestión del proyecto. </w:t>
      </w:r>
    </w:p>
    <w:p w14:paraId="278E5EB2" w14:textId="77777777" w:rsidR="009A02CD" w:rsidRPr="00A764EB" w:rsidRDefault="009A02CD" w:rsidP="009A02CD">
      <w:pPr>
        <w:spacing w:after="0" w:line="240" w:lineRule="auto"/>
        <w:jc w:val="both"/>
        <w:rPr>
          <w:rFonts w:ascii="Arial" w:eastAsia="Arial" w:hAnsi="Arial" w:cs="Arial"/>
          <w:szCs w:val="20"/>
        </w:rPr>
      </w:pPr>
    </w:p>
    <w:p w14:paraId="1BD38BB0" w14:textId="77777777" w:rsidR="009A02CD" w:rsidRPr="00A764EB" w:rsidRDefault="009A02CD" w:rsidP="008B4625">
      <w:pPr>
        <w:numPr>
          <w:ilvl w:val="0"/>
          <w:numId w:val="29"/>
        </w:numPr>
        <w:spacing w:after="0" w:line="240" w:lineRule="auto"/>
        <w:ind w:left="426" w:hanging="426"/>
        <w:jc w:val="both"/>
        <w:rPr>
          <w:rFonts w:ascii="Arial" w:eastAsia="Times New Roman" w:hAnsi="Arial" w:cs="Arial"/>
          <w:b/>
          <w:szCs w:val="20"/>
          <w:lang w:val="es-ES" w:eastAsia="es-ES"/>
        </w:rPr>
      </w:pPr>
      <w:r w:rsidRPr="00A764EB">
        <w:rPr>
          <w:rFonts w:ascii="Arial" w:eastAsia="Times New Roman" w:hAnsi="Arial" w:cs="Arial"/>
          <w:b/>
          <w:szCs w:val="20"/>
          <w:lang w:val="es-ES" w:eastAsia="es-ES"/>
        </w:rPr>
        <w:t>Diseño e Implementación de Herramientas de Mitigación y Adaptación en el Sector Minero Energético frente al Cambio Climático- Nacional:</w:t>
      </w:r>
    </w:p>
    <w:p w14:paraId="1DA29B2F" w14:textId="77777777" w:rsidR="009A02CD" w:rsidRPr="00A764EB" w:rsidRDefault="009A02CD" w:rsidP="009A02CD">
      <w:pPr>
        <w:spacing w:after="0" w:line="240" w:lineRule="auto"/>
        <w:jc w:val="both"/>
        <w:rPr>
          <w:rFonts w:ascii="Arial" w:eastAsia="Times New Roman" w:hAnsi="Arial" w:cs="Arial"/>
          <w:szCs w:val="20"/>
          <w:lang w:val="es-ES" w:eastAsia="es-ES"/>
        </w:rPr>
      </w:pPr>
    </w:p>
    <w:p w14:paraId="02280F0D" w14:textId="77777777" w:rsidR="009A02CD" w:rsidRDefault="009A02CD" w:rsidP="009A02CD">
      <w:pPr>
        <w:spacing w:after="0" w:line="240" w:lineRule="auto"/>
        <w:jc w:val="both"/>
        <w:rPr>
          <w:rFonts w:ascii="Arial" w:eastAsia="Times New Roman" w:hAnsi="Arial" w:cs="Arial"/>
          <w:szCs w:val="20"/>
          <w:lang w:val="es-ES" w:eastAsia="es-ES"/>
        </w:rPr>
      </w:pPr>
      <w:r w:rsidRPr="00A764EB">
        <w:rPr>
          <w:rFonts w:ascii="Arial" w:eastAsia="Times New Roman" w:hAnsi="Arial" w:cs="Arial"/>
          <w:szCs w:val="20"/>
          <w:lang w:val="es-ES" w:eastAsia="es-ES"/>
        </w:rPr>
        <w:t xml:space="preserve">Este proyecto cuenta con una apropiación vigente al cierre del segundo trimestre de $995 </w:t>
      </w:r>
      <w:r w:rsidRPr="00AF2328">
        <w:rPr>
          <w:rFonts w:ascii="Arial" w:eastAsia="Times New Roman" w:hAnsi="Arial" w:cs="Arial"/>
          <w:szCs w:val="20"/>
          <w:lang w:val="es-ES" w:eastAsia="es-ES"/>
        </w:rPr>
        <w:t>millones de pesos, comprometiendo $926 millones de pesos, equivalentes al 93,10% de ejecución. Del total comprometido, en este trimestre se destinaron $16 millones de pesos para las actividades de seguimiento y apoyo a la gestión del proyecto.</w:t>
      </w:r>
    </w:p>
    <w:p w14:paraId="55D6294F" w14:textId="77777777" w:rsidR="009A02CD" w:rsidRPr="00AF2328" w:rsidRDefault="009A02CD" w:rsidP="009A02CD">
      <w:pPr>
        <w:spacing w:after="0" w:line="240" w:lineRule="auto"/>
        <w:jc w:val="both"/>
        <w:rPr>
          <w:rFonts w:ascii="Arial" w:eastAsia="Times New Roman" w:hAnsi="Arial" w:cs="Arial"/>
          <w:szCs w:val="20"/>
          <w:lang w:val="es-ES" w:eastAsia="es-ES"/>
        </w:rPr>
      </w:pPr>
    </w:p>
    <w:p w14:paraId="13FB8F66" w14:textId="77777777" w:rsidR="009A02CD" w:rsidRPr="00A01A58" w:rsidRDefault="009A02CD" w:rsidP="009A02CD">
      <w:pPr>
        <w:spacing w:after="0" w:line="240" w:lineRule="auto"/>
        <w:jc w:val="both"/>
        <w:rPr>
          <w:rFonts w:ascii="Arial" w:eastAsia="Times New Roman" w:hAnsi="Arial" w:cs="Arial"/>
          <w:szCs w:val="20"/>
          <w:lang w:val="es-ES" w:eastAsia="es-ES"/>
        </w:rPr>
      </w:pPr>
      <w:r w:rsidRPr="00A01A58">
        <w:rPr>
          <w:rFonts w:ascii="Arial" w:eastAsia="Times New Roman" w:hAnsi="Arial" w:cs="Arial"/>
          <w:szCs w:val="20"/>
          <w:lang w:val="es-ES" w:eastAsia="es-ES"/>
        </w:rPr>
        <w:t xml:space="preserve">Asimismo, en obligaciones se han ejecutado $698 millones de pesos, de los cuales en el trimestre $118 millones se destinaron para el pago de compromisos para actividades de apoyo a la gestión y seguimiento del proyecto, logrando así una ejecución acumulada de un 70,13% de ejecución en obligaciones. </w:t>
      </w:r>
    </w:p>
    <w:p w14:paraId="34B9026A" w14:textId="77777777" w:rsidR="009A02CD" w:rsidRPr="00A01A58" w:rsidRDefault="009A02CD" w:rsidP="009A02CD">
      <w:pPr>
        <w:spacing w:after="0" w:line="240" w:lineRule="auto"/>
        <w:jc w:val="both"/>
        <w:rPr>
          <w:rFonts w:ascii="Arial" w:eastAsia="Times New Roman" w:hAnsi="Arial" w:cs="Arial"/>
          <w:szCs w:val="20"/>
          <w:lang w:val="es-ES" w:eastAsia="es-ES"/>
        </w:rPr>
      </w:pPr>
    </w:p>
    <w:p w14:paraId="389E657D" w14:textId="77777777" w:rsidR="009A02CD" w:rsidRPr="00A01A58" w:rsidRDefault="009A02CD" w:rsidP="009A02CD">
      <w:pPr>
        <w:spacing w:after="0" w:line="240" w:lineRule="auto"/>
        <w:jc w:val="both"/>
        <w:rPr>
          <w:rFonts w:ascii="Arial" w:eastAsia="Times New Roman" w:hAnsi="Arial" w:cs="Arial"/>
          <w:b/>
          <w:szCs w:val="20"/>
          <w:u w:val="single"/>
          <w:lang w:val="es-ES" w:eastAsia="es-ES"/>
        </w:rPr>
      </w:pPr>
      <w:r w:rsidRPr="00A01A58">
        <w:rPr>
          <w:rFonts w:ascii="Arial" w:eastAsia="Times New Roman" w:hAnsi="Arial" w:cs="Arial"/>
          <w:szCs w:val="20"/>
          <w:lang w:val="es-ES" w:eastAsia="es-ES"/>
        </w:rPr>
        <w:t xml:space="preserve"> </w:t>
      </w:r>
      <w:r w:rsidRPr="00A01A58">
        <w:rPr>
          <w:rFonts w:ascii="Arial" w:eastAsia="Times New Roman" w:hAnsi="Arial" w:cs="Arial"/>
          <w:b/>
          <w:szCs w:val="20"/>
          <w:u w:val="single"/>
          <w:lang w:val="es-ES" w:eastAsia="es-ES"/>
        </w:rPr>
        <w:t>Dirección de Hidrocarburos</w:t>
      </w:r>
    </w:p>
    <w:p w14:paraId="2FA8431A" w14:textId="77777777" w:rsidR="009A02CD" w:rsidRPr="00A01A58" w:rsidRDefault="009A02CD" w:rsidP="009A02CD">
      <w:pPr>
        <w:spacing w:after="0" w:line="240" w:lineRule="auto"/>
        <w:jc w:val="both"/>
        <w:rPr>
          <w:rFonts w:ascii="Arial" w:eastAsia="Arial" w:hAnsi="Arial" w:cs="Arial"/>
          <w:b/>
          <w:szCs w:val="20"/>
          <w:u w:val="single"/>
        </w:rPr>
      </w:pPr>
    </w:p>
    <w:p w14:paraId="65231C5A" w14:textId="77777777" w:rsidR="009A02CD" w:rsidRPr="00A01A58" w:rsidRDefault="009A02CD" w:rsidP="009A02CD">
      <w:pPr>
        <w:spacing w:after="0" w:line="240" w:lineRule="auto"/>
        <w:jc w:val="both"/>
        <w:rPr>
          <w:rFonts w:ascii="Arial" w:eastAsia="Arial" w:hAnsi="Arial" w:cs="Arial"/>
          <w:szCs w:val="20"/>
        </w:rPr>
      </w:pPr>
      <w:r w:rsidRPr="00A01A58">
        <w:rPr>
          <w:rFonts w:ascii="Arial" w:eastAsia="Arial" w:hAnsi="Arial" w:cs="Arial"/>
          <w:szCs w:val="20"/>
        </w:rPr>
        <w:t>La Dirección de Hidrocarburos para el año 2018 cuenta con 8 proyectos con una apropiación total de $915.242 millones de pesos. Durante el segundo trimestre se aplazaron recursos por $19.321 millones de pesos distribuidos en cinco de sus proyectos.</w:t>
      </w:r>
    </w:p>
    <w:p w14:paraId="0F0395B8" w14:textId="77777777" w:rsidR="009A02CD" w:rsidRPr="00A01A58" w:rsidRDefault="009A02CD" w:rsidP="009A02CD">
      <w:pPr>
        <w:spacing w:after="0" w:line="240" w:lineRule="auto"/>
        <w:jc w:val="both"/>
        <w:rPr>
          <w:rFonts w:ascii="Arial" w:eastAsia="Arial" w:hAnsi="Arial" w:cs="Arial"/>
          <w:szCs w:val="20"/>
        </w:rPr>
      </w:pPr>
    </w:p>
    <w:p w14:paraId="17937256" w14:textId="77777777" w:rsidR="009A02CD" w:rsidRPr="00A01A58" w:rsidRDefault="009A02CD" w:rsidP="009A02CD">
      <w:pPr>
        <w:spacing w:after="0" w:line="240" w:lineRule="auto"/>
        <w:jc w:val="both"/>
        <w:rPr>
          <w:rFonts w:ascii="Arial" w:eastAsia="Arial" w:hAnsi="Arial" w:cs="Arial"/>
          <w:szCs w:val="20"/>
        </w:rPr>
      </w:pPr>
      <w:r w:rsidRPr="00A01A58">
        <w:rPr>
          <w:rFonts w:ascii="Arial" w:eastAsia="Arial" w:hAnsi="Arial" w:cs="Arial"/>
          <w:szCs w:val="20"/>
        </w:rPr>
        <w:t xml:space="preserve">Al segundo trimestre la dirección de hidrocarburos ejecutó en compromisos $365.154 millones de pesos que equivalentes a un 39,90%. En cuanto a las obligaciones </w:t>
      </w:r>
      <w:r>
        <w:rPr>
          <w:rFonts w:ascii="Arial" w:eastAsia="Arial" w:hAnsi="Arial" w:cs="Arial"/>
          <w:szCs w:val="20"/>
        </w:rPr>
        <w:t>presentó</w:t>
      </w:r>
      <w:r w:rsidRPr="00A01A58">
        <w:rPr>
          <w:rFonts w:ascii="Arial" w:eastAsia="Arial" w:hAnsi="Arial" w:cs="Arial"/>
          <w:szCs w:val="20"/>
        </w:rPr>
        <w:t xml:space="preserve"> un total de $230.312 millon</w:t>
      </w:r>
      <w:r>
        <w:rPr>
          <w:rFonts w:ascii="Arial" w:eastAsia="Arial" w:hAnsi="Arial" w:cs="Arial"/>
          <w:szCs w:val="20"/>
        </w:rPr>
        <w:t>es de pesos correspondientes a un 25,16% ejecutado.</w:t>
      </w:r>
    </w:p>
    <w:p w14:paraId="0E961374" w14:textId="77777777" w:rsidR="009A02CD" w:rsidRPr="00A01A58" w:rsidRDefault="009A02CD" w:rsidP="009A02CD">
      <w:pPr>
        <w:spacing w:after="0" w:line="240" w:lineRule="auto"/>
        <w:jc w:val="both"/>
        <w:rPr>
          <w:rFonts w:ascii="Arial" w:eastAsia="Arial" w:hAnsi="Arial" w:cs="Arial"/>
          <w:szCs w:val="20"/>
        </w:rPr>
      </w:pPr>
    </w:p>
    <w:p w14:paraId="2E75042F" w14:textId="77777777" w:rsidR="009A02CD" w:rsidRPr="00422777" w:rsidRDefault="009A02CD" w:rsidP="009A02CD">
      <w:pPr>
        <w:spacing w:after="0" w:line="240" w:lineRule="auto"/>
        <w:jc w:val="both"/>
        <w:rPr>
          <w:rFonts w:ascii="Arial" w:eastAsia="Arial" w:hAnsi="Arial" w:cs="Arial"/>
          <w:szCs w:val="20"/>
        </w:rPr>
      </w:pPr>
      <w:r w:rsidRPr="00A01A58">
        <w:rPr>
          <w:rFonts w:ascii="Arial" w:eastAsia="Arial" w:hAnsi="Arial" w:cs="Arial"/>
          <w:szCs w:val="20"/>
        </w:rPr>
        <w:t xml:space="preserve">La </w:t>
      </w:r>
      <w:r w:rsidRPr="00422777">
        <w:rPr>
          <w:rFonts w:ascii="Arial" w:eastAsia="Arial" w:hAnsi="Arial" w:cs="Arial"/>
          <w:szCs w:val="20"/>
        </w:rPr>
        <w:t xml:space="preserve">ejecución de los proyectos se realizó de la siguiente manera: </w:t>
      </w:r>
    </w:p>
    <w:p w14:paraId="5A2E5E02" w14:textId="77777777" w:rsidR="009A02CD" w:rsidRPr="00422777" w:rsidRDefault="009A02CD" w:rsidP="009A02CD">
      <w:pPr>
        <w:spacing w:after="0" w:line="240" w:lineRule="auto"/>
        <w:jc w:val="both"/>
        <w:rPr>
          <w:rFonts w:ascii="Arial" w:eastAsia="Arial" w:hAnsi="Arial" w:cs="Arial"/>
          <w:b/>
          <w:szCs w:val="20"/>
          <w:u w:val="single"/>
        </w:rPr>
      </w:pPr>
    </w:p>
    <w:p w14:paraId="3FD951E3" w14:textId="77777777" w:rsidR="009A02CD" w:rsidRPr="00422777" w:rsidRDefault="009A02CD" w:rsidP="009A02CD">
      <w:pPr>
        <w:spacing w:after="0" w:line="240" w:lineRule="auto"/>
        <w:jc w:val="both"/>
        <w:rPr>
          <w:rFonts w:ascii="Arial" w:eastAsia="Arial" w:hAnsi="Arial" w:cs="Arial"/>
          <w:b/>
          <w:szCs w:val="20"/>
          <w:u w:val="single"/>
        </w:rPr>
      </w:pPr>
      <w:r w:rsidRPr="00422777">
        <w:rPr>
          <w:rFonts w:ascii="Arial" w:eastAsia="Arial" w:hAnsi="Arial" w:cs="Arial"/>
          <w:b/>
          <w:szCs w:val="20"/>
          <w:u w:val="single"/>
        </w:rPr>
        <w:t>Subsidios:</w:t>
      </w:r>
    </w:p>
    <w:p w14:paraId="0F273F2B" w14:textId="77777777" w:rsidR="009A02CD" w:rsidRPr="00422777" w:rsidRDefault="009A02CD" w:rsidP="009A02CD">
      <w:pPr>
        <w:spacing w:after="0" w:line="240" w:lineRule="auto"/>
        <w:jc w:val="both"/>
        <w:rPr>
          <w:rFonts w:ascii="Arial" w:eastAsia="Arial" w:hAnsi="Arial" w:cs="Arial"/>
          <w:b/>
          <w:szCs w:val="20"/>
          <w:u w:val="single"/>
        </w:rPr>
      </w:pPr>
    </w:p>
    <w:p w14:paraId="6FAF15F5" w14:textId="77777777" w:rsidR="009A02CD" w:rsidRPr="00422777" w:rsidRDefault="009A02CD" w:rsidP="008B4625">
      <w:pPr>
        <w:numPr>
          <w:ilvl w:val="0"/>
          <w:numId w:val="29"/>
        </w:numPr>
        <w:spacing w:after="0" w:line="240" w:lineRule="auto"/>
        <w:ind w:left="426"/>
        <w:jc w:val="both"/>
        <w:rPr>
          <w:rFonts w:ascii="Arial" w:eastAsia="Times New Roman" w:hAnsi="Arial" w:cs="Arial"/>
          <w:b/>
          <w:szCs w:val="20"/>
          <w:u w:val="single"/>
          <w:lang w:val="es-ES" w:eastAsia="es-ES"/>
        </w:rPr>
      </w:pPr>
      <w:r w:rsidRPr="00422777">
        <w:rPr>
          <w:rFonts w:ascii="Arial" w:eastAsia="Times New Roman" w:hAnsi="Arial" w:cs="Arial"/>
          <w:b/>
          <w:szCs w:val="20"/>
          <w:lang w:val="es-ES" w:eastAsia="es-ES"/>
        </w:rPr>
        <w:t xml:space="preserve">Distribución de Recursos para Pagos Por Menores Tarifas Sector Gas Combustible Domiciliario por Red a Nivel Nacional: </w:t>
      </w:r>
    </w:p>
    <w:p w14:paraId="2AEA40D5" w14:textId="77777777" w:rsidR="009A02CD" w:rsidRPr="00422777" w:rsidRDefault="009A02CD" w:rsidP="009A02CD">
      <w:pPr>
        <w:spacing w:after="0" w:line="240" w:lineRule="auto"/>
        <w:ind w:left="426"/>
        <w:jc w:val="both"/>
        <w:rPr>
          <w:rFonts w:ascii="Arial" w:eastAsia="Times New Roman" w:hAnsi="Arial" w:cs="Arial"/>
          <w:b/>
          <w:szCs w:val="20"/>
          <w:u w:val="single"/>
          <w:lang w:val="es-ES" w:eastAsia="es-ES"/>
        </w:rPr>
      </w:pPr>
    </w:p>
    <w:p w14:paraId="77C5E359" w14:textId="77777777" w:rsidR="009A02CD" w:rsidRPr="00422777" w:rsidRDefault="009A02CD" w:rsidP="009A02CD">
      <w:pPr>
        <w:spacing w:after="0" w:line="240" w:lineRule="auto"/>
        <w:jc w:val="both"/>
        <w:rPr>
          <w:rFonts w:ascii="Arial" w:eastAsia="Times New Roman" w:hAnsi="Arial" w:cs="Arial"/>
          <w:szCs w:val="20"/>
          <w:lang w:val="es-ES" w:eastAsia="es-ES"/>
        </w:rPr>
      </w:pPr>
      <w:r w:rsidRPr="00422777">
        <w:rPr>
          <w:rFonts w:ascii="Arial" w:eastAsia="Times New Roman" w:hAnsi="Arial" w:cs="Arial"/>
          <w:szCs w:val="20"/>
          <w:lang w:val="es-ES" w:eastAsia="es-ES"/>
        </w:rPr>
        <w:t xml:space="preserve">Este proyecto cuenta con una apropiación al segundo trimestre de $779.606 millones de pesos. Durante este trimestre sus compromisos ascendieron en $246.363 millones de pesos, con un acumulado de $306.198 millones de pesos equivalentes a un 39,28%. </w:t>
      </w:r>
      <w:r>
        <w:rPr>
          <w:rFonts w:ascii="Arial" w:eastAsia="Times New Roman" w:hAnsi="Arial" w:cs="Arial"/>
          <w:szCs w:val="20"/>
          <w:lang w:val="es-ES" w:eastAsia="es-ES"/>
        </w:rPr>
        <w:t>Las obligaciones ascendieron en $122.980 millones de pesos ejecutando un acumulado de $182.914 millones de pesos, es decir, un 23,46%.</w:t>
      </w:r>
    </w:p>
    <w:p w14:paraId="7DAFC178" w14:textId="77777777" w:rsidR="009A02CD" w:rsidRPr="00422777" w:rsidRDefault="009A02CD" w:rsidP="009A02CD">
      <w:pPr>
        <w:spacing w:after="0" w:line="240" w:lineRule="auto"/>
        <w:jc w:val="both"/>
        <w:rPr>
          <w:rFonts w:ascii="Arial" w:eastAsia="Times New Roman" w:hAnsi="Arial" w:cs="Arial"/>
          <w:szCs w:val="20"/>
          <w:lang w:val="es-ES" w:eastAsia="es-ES"/>
        </w:rPr>
      </w:pPr>
    </w:p>
    <w:p w14:paraId="5A9E0769" w14:textId="77777777" w:rsidR="009A02CD" w:rsidRDefault="009A02CD" w:rsidP="009A02CD">
      <w:pPr>
        <w:spacing w:after="0" w:line="240" w:lineRule="auto"/>
        <w:rPr>
          <w:rFonts w:ascii="Arial" w:eastAsia="Times New Roman" w:hAnsi="Arial" w:cs="Arial"/>
          <w:szCs w:val="20"/>
          <w:lang w:val="es-ES" w:eastAsia="es-ES"/>
        </w:rPr>
      </w:pPr>
      <w:r w:rsidRPr="00422777">
        <w:rPr>
          <w:rFonts w:ascii="Arial" w:eastAsia="Times New Roman" w:hAnsi="Arial" w:cs="Arial"/>
          <w:szCs w:val="20"/>
          <w:lang w:val="es-ES" w:eastAsia="es-ES"/>
        </w:rPr>
        <w:t>Los siguientes cuadros evidencian el comportamiento de</w:t>
      </w:r>
      <w:r>
        <w:rPr>
          <w:rFonts w:ascii="Arial" w:eastAsia="Times New Roman" w:hAnsi="Arial" w:cs="Arial"/>
          <w:szCs w:val="20"/>
          <w:lang w:val="es-ES" w:eastAsia="es-ES"/>
        </w:rPr>
        <w:t xml:space="preserve"> los compromisos y obligaciones:</w:t>
      </w:r>
    </w:p>
    <w:p w14:paraId="069E3764" w14:textId="77777777" w:rsidR="00D85753" w:rsidRDefault="00D85753" w:rsidP="009A02CD">
      <w:pPr>
        <w:spacing w:after="0" w:line="240" w:lineRule="auto"/>
        <w:rPr>
          <w:rFonts w:ascii="Arial" w:eastAsia="Times New Roman" w:hAnsi="Arial" w:cs="Arial"/>
          <w:szCs w:val="20"/>
          <w:lang w:val="es-ES" w:eastAsia="es-ES"/>
        </w:rPr>
      </w:pPr>
    </w:p>
    <w:p w14:paraId="7EBFAB66" w14:textId="77777777" w:rsidR="00D85753" w:rsidRDefault="00D85753" w:rsidP="009A02CD">
      <w:pPr>
        <w:spacing w:after="0" w:line="240" w:lineRule="auto"/>
        <w:rPr>
          <w:rFonts w:ascii="Arial" w:eastAsia="Times New Roman" w:hAnsi="Arial" w:cs="Arial"/>
          <w:szCs w:val="20"/>
          <w:lang w:val="es-ES" w:eastAsia="es-ES"/>
        </w:rPr>
      </w:pPr>
    </w:p>
    <w:p w14:paraId="464F549D" w14:textId="77777777" w:rsidR="00C02282" w:rsidRPr="006A67B4" w:rsidRDefault="00C02282" w:rsidP="00C02282">
      <w:pPr>
        <w:spacing w:after="0" w:line="240" w:lineRule="auto"/>
        <w:rPr>
          <w:rFonts w:ascii="Arial" w:eastAsia="Times New Roman" w:hAnsi="Arial" w:cs="Arial"/>
          <w:szCs w:val="20"/>
          <w:highlight w:val="yellow"/>
          <w:lang w:val="es-ES" w:eastAsia="es-ES"/>
        </w:rPr>
      </w:pPr>
    </w:p>
    <w:p w14:paraId="6C6DEDB7" w14:textId="1B6BA9FD" w:rsidR="00C02282" w:rsidRPr="009A02CD" w:rsidRDefault="00C02282" w:rsidP="00C02282">
      <w:pPr>
        <w:pStyle w:val="Descripcin"/>
        <w:keepNext/>
        <w:jc w:val="center"/>
      </w:pPr>
      <w:bookmarkStart w:id="34" w:name="_Toc525652454"/>
      <w:r w:rsidRPr="009A02CD">
        <w:lastRenderedPageBreak/>
        <w:t xml:space="preserve">Tabla </w:t>
      </w:r>
      <w:r w:rsidRPr="009A02CD">
        <w:fldChar w:fldCharType="begin"/>
      </w:r>
      <w:r w:rsidRPr="009A02CD">
        <w:instrText xml:space="preserve"> SEQ Tabla \* ARABIC </w:instrText>
      </w:r>
      <w:r w:rsidRPr="009A02CD">
        <w:fldChar w:fldCharType="separate"/>
      </w:r>
      <w:r w:rsidR="008B4625">
        <w:rPr>
          <w:noProof/>
        </w:rPr>
        <w:t>8</w:t>
      </w:r>
      <w:r w:rsidRPr="009A02CD">
        <w:fldChar w:fldCharType="end"/>
      </w:r>
      <w:r w:rsidR="009A02CD" w:rsidRPr="009A02CD">
        <w:t xml:space="preserve"> Segundo </w:t>
      </w:r>
      <w:r w:rsidRPr="009A02CD">
        <w:t xml:space="preserve">Trimestre Distribución de recursos para pagos por menores tarifas sector Gas </w:t>
      </w:r>
      <w:r w:rsidR="009A02CD">
        <w:t xml:space="preserve"> Compromisos </w:t>
      </w:r>
      <w:r w:rsidRPr="009A02CD">
        <w:t>MME</w:t>
      </w:r>
      <w:bookmarkEnd w:id="34"/>
    </w:p>
    <w:tbl>
      <w:tblPr>
        <w:tblW w:w="9629" w:type="dxa"/>
        <w:tblCellMar>
          <w:left w:w="70" w:type="dxa"/>
          <w:right w:w="70" w:type="dxa"/>
        </w:tblCellMar>
        <w:tblLook w:val="04A0" w:firstRow="1" w:lastRow="0" w:firstColumn="1" w:lastColumn="0" w:noHBand="0" w:noVBand="1"/>
      </w:tblPr>
      <w:tblGrid>
        <w:gridCol w:w="7503"/>
        <w:gridCol w:w="2126"/>
      </w:tblGrid>
      <w:tr w:rsidR="009A02CD" w:rsidRPr="000E4CAF" w14:paraId="0E0929AE" w14:textId="77777777" w:rsidTr="00BC1C03">
        <w:trPr>
          <w:trHeight w:val="315"/>
        </w:trPr>
        <w:tc>
          <w:tcPr>
            <w:tcW w:w="9629" w:type="dxa"/>
            <w:gridSpan w:val="2"/>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0990AB52"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GAS NATURAL - COMPROMISOS</w:t>
            </w:r>
          </w:p>
        </w:tc>
      </w:tr>
      <w:tr w:rsidR="009A02CD" w:rsidRPr="000E4CAF" w14:paraId="04D7FD3A" w14:textId="77777777" w:rsidTr="00BC1C03">
        <w:trPr>
          <w:trHeight w:val="315"/>
        </w:trPr>
        <w:tc>
          <w:tcPr>
            <w:tcW w:w="7503" w:type="dxa"/>
            <w:tcBorders>
              <w:top w:val="nil"/>
              <w:left w:val="single" w:sz="8" w:space="0" w:color="auto"/>
              <w:bottom w:val="nil"/>
              <w:right w:val="single" w:sz="4" w:space="0" w:color="auto"/>
            </w:tcBorders>
            <w:shd w:val="clear" w:color="auto" w:fill="17365D"/>
            <w:noWrap/>
            <w:vAlign w:val="bottom"/>
            <w:hideMark/>
          </w:tcPr>
          <w:p w14:paraId="1090B73B" w14:textId="77777777" w:rsidR="009A02CD" w:rsidRPr="00CF451D" w:rsidRDefault="009A02CD" w:rsidP="00BC1C03">
            <w:pPr>
              <w:spacing w:after="0" w:line="240" w:lineRule="auto"/>
              <w:jc w:val="center"/>
              <w:rPr>
                <w:rFonts w:ascii="Arial" w:eastAsia="Times New Roman" w:hAnsi="Arial" w:cs="Arial"/>
                <w:b/>
                <w:bCs/>
                <w:color w:val="FFFFFF"/>
                <w:sz w:val="18"/>
                <w:szCs w:val="18"/>
                <w:lang w:eastAsia="es-CO"/>
              </w:rPr>
            </w:pPr>
            <w:r w:rsidRPr="00CF451D">
              <w:rPr>
                <w:rFonts w:ascii="Arial" w:eastAsia="Times New Roman" w:hAnsi="Arial" w:cs="Arial"/>
                <w:b/>
                <w:bCs/>
                <w:color w:val="FFFFFF"/>
                <w:sz w:val="18"/>
                <w:szCs w:val="18"/>
                <w:lang w:eastAsia="es-CO"/>
              </w:rPr>
              <w:t>Objeto</w:t>
            </w:r>
          </w:p>
        </w:tc>
        <w:tc>
          <w:tcPr>
            <w:tcW w:w="2126" w:type="dxa"/>
            <w:tcBorders>
              <w:top w:val="nil"/>
              <w:left w:val="nil"/>
              <w:bottom w:val="nil"/>
              <w:right w:val="single" w:sz="8" w:space="0" w:color="auto"/>
            </w:tcBorders>
            <w:shd w:val="clear" w:color="auto" w:fill="17365D"/>
            <w:noWrap/>
            <w:vAlign w:val="bottom"/>
            <w:hideMark/>
          </w:tcPr>
          <w:p w14:paraId="1AD1FCB2"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Valor</w:t>
            </w:r>
          </w:p>
        </w:tc>
      </w:tr>
      <w:tr w:rsidR="009A02CD" w:rsidRPr="000E4CAF" w14:paraId="6084669B" w14:textId="77777777" w:rsidTr="00BC1C03">
        <w:trPr>
          <w:trHeight w:val="751"/>
        </w:trPr>
        <w:tc>
          <w:tcPr>
            <w:tcW w:w="7503"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6D1A5543"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GIRO DE RECURSOS A EMPRESAS DEL SECTOR GAS COMBUSTIBLE DISTRIBUIDO POR RED, POR CONCEPTO DE SUBSIDIOS MENORES TARIFAS PARA CUBRIR EL DÉFICIT REPORTADO Y VALIDADO DE 3° TRIMESTRE DE 2017.</w:t>
            </w:r>
          </w:p>
        </w:tc>
        <w:tc>
          <w:tcPr>
            <w:tcW w:w="2126" w:type="dxa"/>
            <w:tcBorders>
              <w:top w:val="single" w:sz="8" w:space="0" w:color="auto"/>
              <w:left w:val="nil"/>
              <w:bottom w:val="single" w:sz="4" w:space="0" w:color="auto"/>
              <w:right w:val="single" w:sz="8" w:space="0" w:color="auto"/>
            </w:tcBorders>
            <w:shd w:val="clear" w:color="auto" w:fill="auto"/>
            <w:noWrap/>
            <w:vAlign w:val="center"/>
            <w:hideMark/>
          </w:tcPr>
          <w:p w14:paraId="2645D836"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123.383 </w:t>
            </w:r>
          </w:p>
        </w:tc>
      </w:tr>
      <w:tr w:rsidR="009A02CD" w:rsidRPr="000E4CAF" w14:paraId="1541CB2F" w14:textId="77777777" w:rsidTr="00BC1C03">
        <w:trPr>
          <w:trHeight w:val="723"/>
        </w:trPr>
        <w:tc>
          <w:tcPr>
            <w:tcW w:w="7503"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2614417"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GIRO DE SUBSIDIOS A EMPRESAS DEL SECTOR GAS COMBUSTIBLE DOMICILIARIO POR RED PARA CUBRIR EL DÉFICIT REPORTADO Y VALIDADO DEL SEGUNDO TRIMESTRE DE 2017</w:t>
            </w:r>
          </w:p>
        </w:tc>
        <w:tc>
          <w:tcPr>
            <w:tcW w:w="2126" w:type="dxa"/>
            <w:tcBorders>
              <w:top w:val="nil"/>
              <w:left w:val="nil"/>
              <w:bottom w:val="single" w:sz="4" w:space="0" w:color="auto"/>
              <w:right w:val="single" w:sz="8" w:space="0" w:color="auto"/>
            </w:tcBorders>
            <w:shd w:val="clear" w:color="auto" w:fill="auto"/>
            <w:noWrap/>
            <w:vAlign w:val="center"/>
            <w:hideMark/>
          </w:tcPr>
          <w:p w14:paraId="787E02E4"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122.076 </w:t>
            </w:r>
          </w:p>
        </w:tc>
      </w:tr>
      <w:tr w:rsidR="009A02CD" w:rsidRPr="000E4CAF" w14:paraId="4BB1B295" w14:textId="77777777" w:rsidTr="00BC1C03">
        <w:trPr>
          <w:trHeight w:val="847"/>
        </w:trPr>
        <w:tc>
          <w:tcPr>
            <w:tcW w:w="7503" w:type="dxa"/>
            <w:tcBorders>
              <w:top w:val="nil"/>
              <w:left w:val="single" w:sz="8" w:space="0" w:color="auto"/>
              <w:bottom w:val="single" w:sz="4" w:space="0" w:color="auto"/>
              <w:right w:val="single" w:sz="4" w:space="0" w:color="000000"/>
            </w:tcBorders>
            <w:shd w:val="clear" w:color="auto" w:fill="auto"/>
            <w:vAlign w:val="center"/>
            <w:hideMark/>
          </w:tcPr>
          <w:p w14:paraId="181C8259"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GIRO DE SUBSIDIOS A EMPRESAS DEL SECTOR GAS COMBUSTIBLE DOMICILIARIO POR RED PARA CUBRIR EL DÉFICIT REPORTADO Y VALIDADO DEL SEGUNDO TRIMESTRE DE 2017. RESOL 4 0411 DE 26/04/2018 MODIFICO BENEFICIARIO.</w:t>
            </w:r>
          </w:p>
        </w:tc>
        <w:tc>
          <w:tcPr>
            <w:tcW w:w="2126" w:type="dxa"/>
            <w:tcBorders>
              <w:top w:val="nil"/>
              <w:left w:val="nil"/>
              <w:bottom w:val="single" w:sz="4" w:space="0" w:color="auto"/>
              <w:right w:val="single" w:sz="8" w:space="0" w:color="auto"/>
            </w:tcBorders>
            <w:shd w:val="clear" w:color="auto" w:fill="auto"/>
            <w:noWrap/>
            <w:vAlign w:val="center"/>
            <w:hideMark/>
          </w:tcPr>
          <w:p w14:paraId="18C1539F"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904 </w:t>
            </w:r>
          </w:p>
        </w:tc>
      </w:tr>
      <w:tr w:rsidR="009A02CD" w:rsidRPr="000E4CAF" w14:paraId="585676A0" w14:textId="77777777" w:rsidTr="00BC1C03">
        <w:trPr>
          <w:trHeight w:val="300"/>
        </w:trPr>
        <w:tc>
          <w:tcPr>
            <w:tcW w:w="7503" w:type="dxa"/>
            <w:tcBorders>
              <w:top w:val="single" w:sz="8" w:space="0" w:color="auto"/>
              <w:left w:val="single" w:sz="8" w:space="0" w:color="auto"/>
              <w:bottom w:val="single" w:sz="8" w:space="0" w:color="auto"/>
              <w:right w:val="single" w:sz="4" w:space="0" w:color="auto"/>
            </w:tcBorders>
            <w:shd w:val="clear" w:color="auto" w:fill="17365D"/>
            <w:noWrap/>
            <w:vAlign w:val="bottom"/>
            <w:hideMark/>
          </w:tcPr>
          <w:p w14:paraId="7B1CE454"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TOTAL</w:t>
            </w:r>
          </w:p>
        </w:tc>
        <w:tc>
          <w:tcPr>
            <w:tcW w:w="2126" w:type="dxa"/>
            <w:tcBorders>
              <w:top w:val="nil"/>
              <w:left w:val="single" w:sz="8" w:space="0" w:color="auto"/>
              <w:bottom w:val="single" w:sz="8" w:space="0" w:color="auto"/>
              <w:right w:val="single" w:sz="8" w:space="0" w:color="auto"/>
            </w:tcBorders>
            <w:shd w:val="clear" w:color="auto" w:fill="17365D"/>
            <w:noWrap/>
            <w:vAlign w:val="bottom"/>
            <w:hideMark/>
          </w:tcPr>
          <w:p w14:paraId="1E70616E" w14:textId="77777777" w:rsidR="009A02CD" w:rsidRPr="00CF451D" w:rsidRDefault="009A02CD" w:rsidP="00BC1C03">
            <w:pPr>
              <w:spacing w:after="0" w:line="240" w:lineRule="auto"/>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 xml:space="preserve"> $                  246.363 </w:t>
            </w:r>
          </w:p>
        </w:tc>
      </w:tr>
    </w:tbl>
    <w:p w14:paraId="33342970"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732682F4"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6E89C08A" w14:textId="77777777" w:rsidR="009A02CD" w:rsidRDefault="009A02CD" w:rsidP="00C02282">
      <w:pPr>
        <w:pStyle w:val="Prrafodelista"/>
        <w:spacing w:after="0" w:line="240" w:lineRule="auto"/>
        <w:ind w:left="360"/>
        <w:jc w:val="center"/>
        <w:rPr>
          <w:rFonts w:eastAsia="Calibri" w:cs="Arial"/>
          <w:sz w:val="16"/>
          <w:szCs w:val="16"/>
          <w:highlight w:val="yellow"/>
        </w:rPr>
      </w:pPr>
    </w:p>
    <w:p w14:paraId="0773CECD" w14:textId="0F6D116E" w:rsidR="009A02CD" w:rsidRDefault="009A02CD" w:rsidP="009A02CD">
      <w:pPr>
        <w:pStyle w:val="Descripcin"/>
        <w:keepNext/>
        <w:jc w:val="center"/>
      </w:pPr>
      <w:bookmarkStart w:id="35" w:name="_Toc525652455"/>
      <w:r>
        <w:t xml:space="preserve">Tabla </w:t>
      </w:r>
      <w:r>
        <w:fldChar w:fldCharType="begin"/>
      </w:r>
      <w:r>
        <w:instrText xml:space="preserve"> SEQ Tabla \* ARABIC </w:instrText>
      </w:r>
      <w:r>
        <w:fldChar w:fldCharType="separate"/>
      </w:r>
      <w:r w:rsidR="008B4625">
        <w:rPr>
          <w:noProof/>
        </w:rPr>
        <w:t>9</w:t>
      </w:r>
      <w:r>
        <w:fldChar w:fldCharType="end"/>
      </w:r>
      <w:r>
        <w:t xml:space="preserve"> </w:t>
      </w:r>
      <w:r w:rsidRPr="009130F6">
        <w:t xml:space="preserve">Segundo Trimestre Distribución de recursos para pagos por </w:t>
      </w:r>
      <w:r>
        <w:t xml:space="preserve">menores tarifas sector Gas  Obligaciones </w:t>
      </w:r>
      <w:r w:rsidRPr="009130F6">
        <w:t xml:space="preserve"> MME</w:t>
      </w:r>
      <w:bookmarkEnd w:id="35"/>
    </w:p>
    <w:tbl>
      <w:tblPr>
        <w:tblW w:w="9629" w:type="dxa"/>
        <w:tblCellMar>
          <w:left w:w="70" w:type="dxa"/>
          <w:right w:w="70" w:type="dxa"/>
        </w:tblCellMar>
        <w:tblLook w:val="04A0" w:firstRow="1" w:lastRow="0" w:firstColumn="1" w:lastColumn="0" w:noHBand="0" w:noVBand="1"/>
      </w:tblPr>
      <w:tblGrid>
        <w:gridCol w:w="6511"/>
        <w:gridCol w:w="1276"/>
        <w:gridCol w:w="1842"/>
      </w:tblGrid>
      <w:tr w:rsidR="009A02CD" w:rsidRPr="000E4CAF" w14:paraId="4552CAC9" w14:textId="77777777" w:rsidTr="00BC1C03">
        <w:trPr>
          <w:trHeight w:val="315"/>
        </w:trPr>
        <w:tc>
          <w:tcPr>
            <w:tcW w:w="9629"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72E48F1A"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GAS NATURAL - OBLIGACIONES</w:t>
            </w:r>
          </w:p>
        </w:tc>
      </w:tr>
      <w:tr w:rsidR="009A02CD" w:rsidRPr="000E4CAF" w14:paraId="423EF55D" w14:textId="77777777" w:rsidTr="00BC1C03">
        <w:trPr>
          <w:trHeight w:val="315"/>
        </w:trPr>
        <w:tc>
          <w:tcPr>
            <w:tcW w:w="6511" w:type="dxa"/>
            <w:tcBorders>
              <w:top w:val="nil"/>
              <w:left w:val="single" w:sz="8" w:space="0" w:color="auto"/>
              <w:bottom w:val="nil"/>
              <w:right w:val="single" w:sz="4" w:space="0" w:color="auto"/>
            </w:tcBorders>
            <w:shd w:val="clear" w:color="auto" w:fill="17365D"/>
            <w:noWrap/>
            <w:vAlign w:val="center"/>
            <w:hideMark/>
          </w:tcPr>
          <w:p w14:paraId="143A620E"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Resolución</w:t>
            </w:r>
          </w:p>
        </w:tc>
        <w:tc>
          <w:tcPr>
            <w:tcW w:w="1276" w:type="dxa"/>
            <w:tcBorders>
              <w:top w:val="nil"/>
              <w:left w:val="nil"/>
              <w:bottom w:val="nil"/>
              <w:right w:val="single" w:sz="4" w:space="0" w:color="auto"/>
            </w:tcBorders>
            <w:shd w:val="clear" w:color="auto" w:fill="17365D"/>
            <w:noWrap/>
            <w:vAlign w:val="bottom"/>
            <w:hideMark/>
          </w:tcPr>
          <w:p w14:paraId="1ED06F2E"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Valor</w:t>
            </w:r>
          </w:p>
        </w:tc>
        <w:tc>
          <w:tcPr>
            <w:tcW w:w="1842" w:type="dxa"/>
            <w:tcBorders>
              <w:top w:val="nil"/>
              <w:left w:val="nil"/>
              <w:bottom w:val="nil"/>
              <w:right w:val="single" w:sz="8" w:space="0" w:color="auto"/>
            </w:tcBorders>
            <w:shd w:val="clear" w:color="auto" w:fill="17365D"/>
            <w:noWrap/>
            <w:vAlign w:val="bottom"/>
            <w:hideMark/>
          </w:tcPr>
          <w:p w14:paraId="3D46051D"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Fecha</w:t>
            </w:r>
          </w:p>
        </w:tc>
      </w:tr>
      <w:tr w:rsidR="009A02CD" w:rsidRPr="000E4CAF" w14:paraId="54A45E12" w14:textId="77777777" w:rsidTr="00BC1C03">
        <w:trPr>
          <w:trHeight w:val="751"/>
        </w:trPr>
        <w:tc>
          <w:tcPr>
            <w:tcW w:w="6511" w:type="dxa"/>
            <w:tcBorders>
              <w:top w:val="single" w:sz="8" w:space="0" w:color="auto"/>
              <w:left w:val="single" w:sz="8" w:space="0" w:color="auto"/>
              <w:bottom w:val="single" w:sz="4" w:space="0" w:color="auto"/>
              <w:right w:val="nil"/>
            </w:tcBorders>
            <w:shd w:val="clear" w:color="auto" w:fill="auto"/>
            <w:vAlign w:val="center"/>
            <w:hideMark/>
          </w:tcPr>
          <w:p w14:paraId="0457C3BC"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GIRO DE SUBSIDIOS A EMPRESAS DEL SECTOR GAS COMBUSTIBLE DOMICILIARIO POR RED PARA CUBRIR EL DÉFICIT REPORTADO Y VALIDADO DEL SEGUNDO TRIMESTRE DE 2017.</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5FCB9B2" w14:textId="77777777" w:rsidR="009A02CD" w:rsidRPr="00CF451D" w:rsidRDefault="009A02CD" w:rsidP="00BC1C03">
            <w:pPr>
              <w:spacing w:after="0" w:line="240" w:lineRule="auto"/>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122.076 </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14:paraId="3B6CB68F"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27 DE ABRIL Y 8 DE JUNIO 2018</w:t>
            </w:r>
          </w:p>
        </w:tc>
      </w:tr>
      <w:tr w:rsidR="009A02CD" w:rsidRPr="000E4CAF" w14:paraId="4309079B" w14:textId="77777777" w:rsidTr="00BC1C03">
        <w:trPr>
          <w:trHeight w:val="1185"/>
        </w:trPr>
        <w:tc>
          <w:tcPr>
            <w:tcW w:w="6511" w:type="dxa"/>
            <w:tcBorders>
              <w:top w:val="nil"/>
              <w:left w:val="single" w:sz="8" w:space="0" w:color="auto"/>
              <w:bottom w:val="single" w:sz="4" w:space="0" w:color="auto"/>
              <w:right w:val="nil"/>
            </w:tcBorders>
            <w:shd w:val="clear" w:color="auto" w:fill="auto"/>
            <w:vAlign w:val="center"/>
            <w:hideMark/>
          </w:tcPr>
          <w:p w14:paraId="40B9B560"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GIRO DE SUBSIDIOS A EMPRESAS DEL SECTOR GAS COMBUSTIBLE DOMICILIARIO POR RED PARA CUBRIR EL DÉFICIT REPORTADO Y VALIDADO DEL SEGUNDO TRIMESTRE DE 2017. RESOL 4 0411 DE 26/04/2018 MODIFICO BENEFICIARIO.</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6FFFBD" w14:textId="77777777" w:rsidR="009A02CD" w:rsidRPr="00CF451D" w:rsidRDefault="009A02CD" w:rsidP="00BC1C03">
            <w:pPr>
              <w:spacing w:after="0" w:line="240" w:lineRule="auto"/>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904 </w:t>
            </w:r>
          </w:p>
        </w:tc>
        <w:tc>
          <w:tcPr>
            <w:tcW w:w="1842" w:type="dxa"/>
            <w:tcBorders>
              <w:top w:val="nil"/>
              <w:left w:val="nil"/>
              <w:bottom w:val="single" w:sz="4" w:space="0" w:color="auto"/>
              <w:right w:val="single" w:sz="8" w:space="0" w:color="auto"/>
            </w:tcBorders>
            <w:shd w:val="clear" w:color="auto" w:fill="auto"/>
            <w:vAlign w:val="center"/>
            <w:hideMark/>
          </w:tcPr>
          <w:p w14:paraId="76B2C3A8"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27 DE ABRIL DE 2018</w:t>
            </w:r>
          </w:p>
        </w:tc>
      </w:tr>
      <w:tr w:rsidR="009A02CD" w:rsidRPr="000E4CAF" w14:paraId="128749E6" w14:textId="77777777" w:rsidTr="00BC1C03">
        <w:trPr>
          <w:trHeight w:val="300"/>
        </w:trPr>
        <w:tc>
          <w:tcPr>
            <w:tcW w:w="7787" w:type="dxa"/>
            <w:gridSpan w:val="2"/>
            <w:tcBorders>
              <w:top w:val="single" w:sz="8" w:space="0" w:color="auto"/>
              <w:left w:val="single" w:sz="8" w:space="0" w:color="auto"/>
              <w:bottom w:val="single" w:sz="8" w:space="0" w:color="auto"/>
              <w:right w:val="single" w:sz="4" w:space="0" w:color="auto"/>
            </w:tcBorders>
            <w:shd w:val="clear" w:color="auto" w:fill="17365D"/>
            <w:noWrap/>
            <w:vAlign w:val="bottom"/>
            <w:hideMark/>
          </w:tcPr>
          <w:p w14:paraId="4C759DA6"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TOTAL</w:t>
            </w:r>
          </w:p>
        </w:tc>
        <w:tc>
          <w:tcPr>
            <w:tcW w:w="1842" w:type="dxa"/>
            <w:tcBorders>
              <w:top w:val="single" w:sz="8" w:space="0" w:color="auto"/>
              <w:left w:val="single" w:sz="8" w:space="0" w:color="auto"/>
              <w:bottom w:val="single" w:sz="8" w:space="0" w:color="auto"/>
              <w:right w:val="single" w:sz="8" w:space="0" w:color="auto"/>
            </w:tcBorders>
            <w:shd w:val="clear" w:color="auto" w:fill="17365D"/>
            <w:noWrap/>
            <w:vAlign w:val="bottom"/>
            <w:hideMark/>
          </w:tcPr>
          <w:p w14:paraId="572DC910" w14:textId="77777777" w:rsidR="009A02CD" w:rsidRPr="00CF451D" w:rsidRDefault="009A02CD" w:rsidP="00BC1C03">
            <w:pPr>
              <w:spacing w:after="0" w:line="240" w:lineRule="auto"/>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 xml:space="preserve"> $             122.980 </w:t>
            </w:r>
          </w:p>
        </w:tc>
      </w:tr>
    </w:tbl>
    <w:p w14:paraId="1607FF37"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4BD6961B"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35AC6F3C" w14:textId="77777777" w:rsidR="009A02CD" w:rsidRDefault="009A02CD" w:rsidP="00C02282">
      <w:pPr>
        <w:pStyle w:val="Prrafodelista"/>
        <w:spacing w:after="0" w:line="240" w:lineRule="auto"/>
        <w:ind w:left="360"/>
        <w:jc w:val="center"/>
        <w:rPr>
          <w:rFonts w:eastAsia="Calibri" w:cs="Arial"/>
          <w:sz w:val="16"/>
          <w:szCs w:val="16"/>
          <w:highlight w:val="yellow"/>
        </w:rPr>
      </w:pPr>
    </w:p>
    <w:p w14:paraId="0C650576" w14:textId="77777777" w:rsidR="009A02CD" w:rsidRPr="009A02CD" w:rsidRDefault="009A02CD" w:rsidP="00C02282">
      <w:pPr>
        <w:pStyle w:val="Prrafodelista"/>
        <w:spacing w:after="0" w:line="240" w:lineRule="auto"/>
        <w:ind w:left="360"/>
        <w:jc w:val="center"/>
        <w:rPr>
          <w:rFonts w:eastAsia="Calibri" w:cs="Arial"/>
          <w:sz w:val="16"/>
          <w:szCs w:val="16"/>
        </w:rPr>
      </w:pPr>
    </w:p>
    <w:p w14:paraId="52BAB00F" w14:textId="77777777" w:rsidR="00C02282" w:rsidRPr="009A02CD" w:rsidRDefault="00C02282" w:rsidP="008B4625">
      <w:pPr>
        <w:numPr>
          <w:ilvl w:val="0"/>
          <w:numId w:val="29"/>
        </w:numPr>
        <w:spacing w:after="0" w:line="240" w:lineRule="auto"/>
        <w:ind w:left="426"/>
        <w:rPr>
          <w:rFonts w:ascii="Arial" w:eastAsia="Times New Roman" w:hAnsi="Arial" w:cs="Arial"/>
          <w:szCs w:val="20"/>
          <w:lang w:val="es-ES" w:eastAsia="es-ES"/>
        </w:rPr>
      </w:pPr>
      <w:r w:rsidRPr="009A02CD">
        <w:rPr>
          <w:rFonts w:ascii="Arial" w:eastAsia="Times New Roman" w:hAnsi="Arial" w:cs="Arial"/>
          <w:b/>
          <w:szCs w:val="20"/>
          <w:lang w:val="es-ES" w:eastAsia="es-ES"/>
        </w:rPr>
        <w:t>Distribución de Recursos para Pagos por Menores Tarifas Sector GLP, distribuido en Cilindros y Tanques Estacionarios a Nivel Nacional</w:t>
      </w:r>
      <w:r w:rsidRPr="009A02CD">
        <w:rPr>
          <w:rFonts w:ascii="Arial" w:eastAsia="Times New Roman" w:hAnsi="Arial" w:cs="Arial"/>
          <w:szCs w:val="20"/>
          <w:lang w:val="es-ES" w:eastAsia="es-ES"/>
        </w:rPr>
        <w:t xml:space="preserve">: </w:t>
      </w:r>
    </w:p>
    <w:p w14:paraId="5F011487" w14:textId="77777777" w:rsidR="00C02282" w:rsidRPr="006A67B4" w:rsidRDefault="00C02282" w:rsidP="00C02282">
      <w:pPr>
        <w:spacing w:after="0" w:line="240" w:lineRule="auto"/>
        <w:ind w:left="284" w:hanging="284"/>
        <w:rPr>
          <w:rFonts w:ascii="Arial" w:eastAsia="Times New Roman" w:hAnsi="Arial" w:cs="Arial"/>
          <w:szCs w:val="20"/>
          <w:highlight w:val="yellow"/>
          <w:lang w:val="es-ES" w:eastAsia="es-ES"/>
        </w:rPr>
      </w:pPr>
    </w:p>
    <w:p w14:paraId="1B691781" w14:textId="77777777" w:rsidR="009A02CD" w:rsidRPr="007D40C0" w:rsidRDefault="009A02CD" w:rsidP="009A02CD">
      <w:pPr>
        <w:spacing w:after="0" w:line="240" w:lineRule="auto"/>
        <w:jc w:val="both"/>
        <w:rPr>
          <w:rFonts w:ascii="Arial" w:eastAsia="Times New Roman" w:hAnsi="Arial" w:cs="Arial"/>
          <w:szCs w:val="20"/>
          <w:lang w:val="es-ES" w:eastAsia="es-ES"/>
        </w:rPr>
      </w:pPr>
      <w:r w:rsidRPr="007D40C0">
        <w:rPr>
          <w:rFonts w:ascii="Arial" w:eastAsia="Times New Roman" w:hAnsi="Arial" w:cs="Arial"/>
          <w:szCs w:val="20"/>
          <w:lang w:val="es-ES" w:eastAsia="es-ES"/>
        </w:rPr>
        <w:t xml:space="preserve">Este proyecto cuenta con una apropiación al segundo trimestre de $43.956 millones de pesos. Durante el segundo trimestre se comprometieron recursos por valor de $7.691 millones de pesos, con un acumulado de $22.099 millones equivalentes a un 50,27% de ejecución. </w:t>
      </w:r>
    </w:p>
    <w:p w14:paraId="29B78090" w14:textId="77777777" w:rsidR="009A02CD" w:rsidRPr="007D40C0" w:rsidRDefault="009A02CD" w:rsidP="009A02CD">
      <w:pPr>
        <w:spacing w:after="0" w:line="240" w:lineRule="auto"/>
        <w:jc w:val="both"/>
        <w:rPr>
          <w:rFonts w:ascii="Arial" w:eastAsia="Times New Roman" w:hAnsi="Arial" w:cs="Arial"/>
          <w:szCs w:val="20"/>
          <w:lang w:val="es-ES" w:eastAsia="es-ES"/>
        </w:rPr>
      </w:pPr>
    </w:p>
    <w:p w14:paraId="7FCBEB57" w14:textId="77777777" w:rsidR="009A02CD" w:rsidRPr="007D40C0" w:rsidRDefault="009A02CD" w:rsidP="009A02CD">
      <w:pPr>
        <w:spacing w:after="0" w:line="240" w:lineRule="auto"/>
        <w:jc w:val="both"/>
        <w:rPr>
          <w:rFonts w:ascii="Arial" w:eastAsia="Times New Roman" w:hAnsi="Arial" w:cs="Arial"/>
          <w:szCs w:val="20"/>
          <w:lang w:val="es-ES" w:eastAsia="es-ES"/>
        </w:rPr>
      </w:pPr>
      <w:r w:rsidRPr="007D40C0">
        <w:rPr>
          <w:rFonts w:ascii="Arial" w:eastAsia="Times New Roman" w:hAnsi="Arial" w:cs="Arial"/>
          <w:szCs w:val="20"/>
          <w:lang w:val="es-ES" w:eastAsia="es-ES"/>
        </w:rPr>
        <w:t>As</w:t>
      </w:r>
      <w:r>
        <w:rPr>
          <w:rFonts w:ascii="Arial" w:eastAsia="Times New Roman" w:hAnsi="Arial" w:cs="Arial"/>
          <w:szCs w:val="20"/>
          <w:lang w:val="es-ES" w:eastAsia="es-ES"/>
        </w:rPr>
        <w:t xml:space="preserve">í </w:t>
      </w:r>
      <w:r w:rsidRPr="007D40C0">
        <w:rPr>
          <w:rFonts w:ascii="Arial" w:eastAsia="Times New Roman" w:hAnsi="Arial" w:cs="Arial"/>
          <w:szCs w:val="20"/>
          <w:lang w:val="es-ES" w:eastAsia="es-ES"/>
        </w:rPr>
        <w:t xml:space="preserve">mismo, sus obligaciones ascendieron $11.776 millones de pesos para un total de $19.828 millones equivalentes a un 45,11% de ejecución. </w:t>
      </w:r>
    </w:p>
    <w:p w14:paraId="4D1054B0" w14:textId="77777777" w:rsidR="009A02CD" w:rsidRPr="007D40C0" w:rsidRDefault="009A02CD" w:rsidP="009A02CD">
      <w:pPr>
        <w:spacing w:after="0" w:line="240" w:lineRule="auto"/>
        <w:jc w:val="both"/>
        <w:rPr>
          <w:rFonts w:ascii="Arial" w:eastAsia="Times New Roman" w:hAnsi="Arial" w:cs="Arial"/>
          <w:szCs w:val="20"/>
          <w:lang w:val="es-ES" w:eastAsia="es-ES"/>
        </w:rPr>
      </w:pPr>
    </w:p>
    <w:p w14:paraId="068DD1B6" w14:textId="77777777" w:rsidR="009A02CD" w:rsidRPr="007D40C0" w:rsidRDefault="009A02CD" w:rsidP="009A02CD">
      <w:pPr>
        <w:spacing w:after="0" w:line="240" w:lineRule="auto"/>
        <w:jc w:val="both"/>
        <w:rPr>
          <w:rFonts w:ascii="Arial" w:eastAsia="Times New Roman" w:hAnsi="Arial" w:cs="Arial"/>
          <w:szCs w:val="20"/>
          <w:lang w:val="es-ES" w:eastAsia="es-ES"/>
        </w:rPr>
      </w:pPr>
      <w:r w:rsidRPr="007D40C0">
        <w:rPr>
          <w:rFonts w:ascii="Arial" w:eastAsia="Times New Roman" w:hAnsi="Arial" w:cs="Arial"/>
          <w:szCs w:val="20"/>
          <w:lang w:val="es-ES" w:eastAsia="es-ES"/>
        </w:rPr>
        <w:t xml:space="preserve">Los siguientes cuadros evidencian el comportamiento de los compromisos y obligaciones del proyecto: </w:t>
      </w:r>
    </w:p>
    <w:p w14:paraId="711318F0" w14:textId="18319D4E" w:rsidR="00C02282" w:rsidRPr="009A02CD" w:rsidRDefault="00C02282" w:rsidP="00C02282">
      <w:pPr>
        <w:pStyle w:val="Descripcin"/>
        <w:keepNext/>
      </w:pPr>
      <w:bookmarkStart w:id="36" w:name="_Toc525652456"/>
      <w:r w:rsidRPr="009A02CD">
        <w:lastRenderedPageBreak/>
        <w:t xml:space="preserve">Tabla </w:t>
      </w:r>
      <w:r w:rsidRPr="009A02CD">
        <w:fldChar w:fldCharType="begin"/>
      </w:r>
      <w:r w:rsidRPr="009A02CD">
        <w:instrText xml:space="preserve"> SEQ Tabla \* ARABIC </w:instrText>
      </w:r>
      <w:r w:rsidRPr="009A02CD">
        <w:fldChar w:fldCharType="separate"/>
      </w:r>
      <w:r w:rsidR="008B4625">
        <w:rPr>
          <w:noProof/>
        </w:rPr>
        <w:t>10</w:t>
      </w:r>
      <w:r w:rsidRPr="009A02CD">
        <w:fldChar w:fldCharType="end"/>
      </w:r>
      <w:r w:rsidRPr="009A02CD">
        <w:t xml:space="preserve"> </w:t>
      </w:r>
      <w:r w:rsidR="009A02CD" w:rsidRPr="009A02CD">
        <w:t xml:space="preserve">Segundo </w:t>
      </w:r>
      <w:r w:rsidRPr="009A02CD">
        <w:t>Trimestre Distribución Recursos para pagos por menores tarifas sector GLP/ Compromisos MME</w:t>
      </w:r>
      <w:bookmarkEnd w:id="36"/>
    </w:p>
    <w:tbl>
      <w:tblPr>
        <w:tblW w:w="9629" w:type="dxa"/>
        <w:tblCellMar>
          <w:left w:w="70" w:type="dxa"/>
          <w:right w:w="70" w:type="dxa"/>
        </w:tblCellMar>
        <w:tblLook w:val="04A0" w:firstRow="1" w:lastRow="0" w:firstColumn="1" w:lastColumn="0" w:noHBand="0" w:noVBand="1"/>
      </w:tblPr>
      <w:tblGrid>
        <w:gridCol w:w="7645"/>
        <w:gridCol w:w="1984"/>
      </w:tblGrid>
      <w:tr w:rsidR="009A02CD" w:rsidRPr="000E4CAF" w14:paraId="678CA79C" w14:textId="77777777" w:rsidTr="00BC1C03">
        <w:trPr>
          <w:trHeight w:val="315"/>
        </w:trPr>
        <w:tc>
          <w:tcPr>
            <w:tcW w:w="9629" w:type="dxa"/>
            <w:gridSpan w:val="2"/>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1C22365F"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GLP - COMPROMISOS</w:t>
            </w:r>
          </w:p>
        </w:tc>
      </w:tr>
      <w:tr w:rsidR="009A02CD" w:rsidRPr="000E4CAF" w14:paraId="7653CEE2" w14:textId="77777777" w:rsidTr="00BC1C03">
        <w:trPr>
          <w:trHeight w:val="315"/>
        </w:trPr>
        <w:tc>
          <w:tcPr>
            <w:tcW w:w="7645" w:type="dxa"/>
            <w:tcBorders>
              <w:top w:val="nil"/>
              <w:left w:val="single" w:sz="8" w:space="0" w:color="auto"/>
              <w:bottom w:val="nil"/>
              <w:right w:val="single" w:sz="4" w:space="0" w:color="auto"/>
            </w:tcBorders>
            <w:shd w:val="clear" w:color="auto" w:fill="17365D"/>
            <w:noWrap/>
            <w:vAlign w:val="bottom"/>
            <w:hideMark/>
          </w:tcPr>
          <w:p w14:paraId="1A07085B"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Objeto</w:t>
            </w:r>
          </w:p>
        </w:tc>
        <w:tc>
          <w:tcPr>
            <w:tcW w:w="1984" w:type="dxa"/>
            <w:tcBorders>
              <w:top w:val="nil"/>
              <w:left w:val="nil"/>
              <w:bottom w:val="nil"/>
              <w:right w:val="single" w:sz="8" w:space="0" w:color="auto"/>
            </w:tcBorders>
            <w:shd w:val="clear" w:color="auto" w:fill="17365D"/>
            <w:noWrap/>
            <w:vAlign w:val="bottom"/>
            <w:hideMark/>
          </w:tcPr>
          <w:p w14:paraId="1AD84821"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Valor</w:t>
            </w:r>
          </w:p>
        </w:tc>
      </w:tr>
      <w:tr w:rsidR="009A02CD" w:rsidRPr="000E4CAF" w14:paraId="4A170AA6" w14:textId="77777777" w:rsidTr="00BC1C03">
        <w:trPr>
          <w:trHeight w:val="888"/>
        </w:trPr>
        <w:tc>
          <w:tcPr>
            <w:tcW w:w="7645"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0834BD73"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GIRO RECURSOS EMPRESAS CON DESTINO USUARIOS COMUNIDADES INDIGENAS Y ESTRATOS 1 Y </w:t>
            </w:r>
            <w:proofErr w:type="gramStart"/>
            <w:r w:rsidRPr="00CF451D">
              <w:rPr>
                <w:rFonts w:ascii="Arial" w:eastAsia="Times New Roman" w:hAnsi="Arial" w:cs="Arial"/>
                <w:color w:val="000000"/>
                <w:sz w:val="18"/>
                <w:szCs w:val="18"/>
                <w:lang w:eastAsia="es-CO"/>
              </w:rPr>
              <w:t>2,EN</w:t>
            </w:r>
            <w:proofErr w:type="gramEnd"/>
            <w:r w:rsidRPr="00CF451D">
              <w:rPr>
                <w:rFonts w:ascii="Arial" w:eastAsia="Times New Roman" w:hAnsi="Arial" w:cs="Arial"/>
                <w:color w:val="000000"/>
                <w:sz w:val="18"/>
                <w:szCs w:val="18"/>
                <w:lang w:eastAsia="es-CO"/>
              </w:rPr>
              <w:t xml:space="preserve"> VIRTUD PROGRAMA SUBSIDIOS AL CONSUMO GLP EN CILINDROS DEL MME, DPTOS CAUCA,CAQUETÁ,NARIÑO,PUTUMAYO,ARCHIPIELAGO SAN ANDRÉS,PROVIDENCIA,STA CATALINA. FEBRERO/2018.</w:t>
            </w:r>
          </w:p>
        </w:tc>
        <w:tc>
          <w:tcPr>
            <w:tcW w:w="1984" w:type="dxa"/>
            <w:tcBorders>
              <w:top w:val="single" w:sz="8" w:space="0" w:color="auto"/>
              <w:left w:val="nil"/>
              <w:bottom w:val="single" w:sz="4" w:space="0" w:color="auto"/>
              <w:right w:val="single" w:sz="8" w:space="0" w:color="auto"/>
            </w:tcBorders>
            <w:shd w:val="clear" w:color="auto" w:fill="auto"/>
            <w:noWrap/>
            <w:vAlign w:val="center"/>
            <w:hideMark/>
          </w:tcPr>
          <w:p w14:paraId="6A54964D" w14:textId="77777777" w:rsidR="009A02CD" w:rsidRPr="00CF451D" w:rsidRDefault="009A02CD" w:rsidP="00BC1C03">
            <w:pPr>
              <w:spacing w:after="0" w:line="240" w:lineRule="auto"/>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3.626 </w:t>
            </w:r>
          </w:p>
        </w:tc>
      </w:tr>
      <w:tr w:rsidR="009A02CD" w:rsidRPr="000E4CAF" w14:paraId="0CF0E353" w14:textId="77777777" w:rsidTr="00BC1C03">
        <w:trPr>
          <w:trHeight w:val="1110"/>
        </w:trPr>
        <w:tc>
          <w:tcPr>
            <w:tcW w:w="7645"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710053C0"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GIRO RECURSOS A EMPRESAS CON DESTINO USUARIOS COMUNIDADES INDIGENAS Y ESTRATOS 1-</w:t>
            </w:r>
            <w:proofErr w:type="gramStart"/>
            <w:r w:rsidRPr="00CF451D">
              <w:rPr>
                <w:rFonts w:ascii="Arial" w:eastAsia="Times New Roman" w:hAnsi="Arial" w:cs="Arial"/>
                <w:color w:val="000000"/>
                <w:sz w:val="18"/>
                <w:szCs w:val="18"/>
                <w:lang w:eastAsia="es-CO"/>
              </w:rPr>
              <w:t>2,EN</w:t>
            </w:r>
            <w:proofErr w:type="gramEnd"/>
            <w:r w:rsidRPr="00CF451D">
              <w:rPr>
                <w:rFonts w:ascii="Arial" w:eastAsia="Times New Roman" w:hAnsi="Arial" w:cs="Arial"/>
                <w:color w:val="000000"/>
                <w:sz w:val="18"/>
                <w:szCs w:val="18"/>
                <w:lang w:eastAsia="es-CO"/>
              </w:rPr>
              <w:t xml:space="preserve"> VIRTUD PROGRAMA SUBSIDIOS AL CONSUMO GLP EN CILINDROS DEL MME, DPTOS CAUCA,CAQUETÁ,NARIÑO,PUTUMAYO,ARCHIPIELAGO SAN ANDRÉS,PROVIDENCIA,STA CATALINA. DE MARZO/2018.</w:t>
            </w:r>
          </w:p>
        </w:tc>
        <w:tc>
          <w:tcPr>
            <w:tcW w:w="1984" w:type="dxa"/>
            <w:tcBorders>
              <w:top w:val="nil"/>
              <w:left w:val="nil"/>
              <w:bottom w:val="single" w:sz="4" w:space="0" w:color="auto"/>
              <w:right w:val="single" w:sz="8" w:space="0" w:color="auto"/>
            </w:tcBorders>
            <w:shd w:val="clear" w:color="auto" w:fill="auto"/>
            <w:noWrap/>
            <w:vAlign w:val="center"/>
            <w:hideMark/>
          </w:tcPr>
          <w:p w14:paraId="3499D799" w14:textId="77777777" w:rsidR="009A02CD" w:rsidRPr="00CF451D" w:rsidRDefault="009A02CD" w:rsidP="00BC1C03">
            <w:pPr>
              <w:spacing w:after="0" w:line="240" w:lineRule="auto"/>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4.065 </w:t>
            </w:r>
          </w:p>
        </w:tc>
      </w:tr>
      <w:tr w:rsidR="009A02CD" w:rsidRPr="000E4CAF" w14:paraId="1E5DCA25" w14:textId="77777777" w:rsidTr="00BC1C03">
        <w:trPr>
          <w:trHeight w:val="315"/>
        </w:trPr>
        <w:tc>
          <w:tcPr>
            <w:tcW w:w="7645" w:type="dxa"/>
            <w:tcBorders>
              <w:top w:val="nil"/>
              <w:left w:val="single" w:sz="8" w:space="0" w:color="auto"/>
              <w:bottom w:val="single" w:sz="8" w:space="0" w:color="auto"/>
              <w:right w:val="single" w:sz="8" w:space="0" w:color="000000"/>
            </w:tcBorders>
            <w:shd w:val="clear" w:color="auto" w:fill="17365D"/>
            <w:noWrap/>
            <w:vAlign w:val="bottom"/>
            <w:hideMark/>
          </w:tcPr>
          <w:p w14:paraId="104D995C" w14:textId="77777777" w:rsidR="009A02CD" w:rsidRPr="00CF451D" w:rsidRDefault="009A02CD" w:rsidP="00BC1C03">
            <w:pPr>
              <w:spacing w:after="0" w:line="240" w:lineRule="auto"/>
              <w:jc w:val="center"/>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TOTAL</w:t>
            </w:r>
          </w:p>
        </w:tc>
        <w:tc>
          <w:tcPr>
            <w:tcW w:w="1984" w:type="dxa"/>
            <w:tcBorders>
              <w:top w:val="nil"/>
              <w:left w:val="nil"/>
              <w:bottom w:val="single" w:sz="8" w:space="0" w:color="auto"/>
              <w:right w:val="single" w:sz="4" w:space="0" w:color="auto"/>
            </w:tcBorders>
            <w:shd w:val="clear" w:color="auto" w:fill="17365D"/>
            <w:noWrap/>
            <w:vAlign w:val="bottom"/>
            <w:hideMark/>
          </w:tcPr>
          <w:p w14:paraId="0C01065D" w14:textId="77777777" w:rsidR="009A02CD" w:rsidRPr="00CF451D" w:rsidRDefault="009A02CD" w:rsidP="00BC1C03">
            <w:pPr>
              <w:spacing w:after="0" w:line="240" w:lineRule="auto"/>
              <w:rPr>
                <w:rFonts w:ascii="Arial" w:eastAsia="Times New Roman" w:hAnsi="Arial" w:cs="Arial"/>
                <w:b/>
                <w:bCs/>
                <w:color w:val="FFFFFF"/>
                <w:sz w:val="20"/>
                <w:szCs w:val="20"/>
                <w:lang w:eastAsia="es-CO"/>
              </w:rPr>
            </w:pPr>
            <w:r w:rsidRPr="00CF451D">
              <w:rPr>
                <w:rFonts w:ascii="Arial" w:eastAsia="Times New Roman" w:hAnsi="Arial" w:cs="Arial"/>
                <w:b/>
                <w:bCs/>
                <w:color w:val="FFFFFF"/>
                <w:sz w:val="20"/>
                <w:szCs w:val="20"/>
                <w:lang w:eastAsia="es-CO"/>
              </w:rPr>
              <w:t xml:space="preserve"> $                     7.691 </w:t>
            </w:r>
          </w:p>
        </w:tc>
      </w:tr>
    </w:tbl>
    <w:p w14:paraId="1E65E6A6"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464E2F6B"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2B3DE42F" w14:textId="77777777" w:rsidR="00C02282" w:rsidRPr="006A67B4" w:rsidRDefault="00C02282" w:rsidP="00C02282">
      <w:pPr>
        <w:spacing w:after="0" w:line="240" w:lineRule="auto"/>
        <w:jc w:val="center"/>
        <w:rPr>
          <w:rFonts w:ascii="Arial" w:eastAsia="Times New Roman" w:hAnsi="Arial" w:cs="Arial"/>
          <w:b/>
          <w:sz w:val="20"/>
          <w:szCs w:val="20"/>
          <w:highlight w:val="yellow"/>
          <w:lang w:val="es-ES" w:eastAsia="es-ES"/>
        </w:rPr>
      </w:pPr>
    </w:p>
    <w:p w14:paraId="221769C2" w14:textId="77777777" w:rsidR="00C02282" w:rsidRPr="006A67B4" w:rsidRDefault="00C02282" w:rsidP="00C02282">
      <w:pPr>
        <w:spacing w:after="0" w:line="240" w:lineRule="auto"/>
        <w:ind w:left="7080" w:firstLine="708"/>
        <w:rPr>
          <w:rFonts w:ascii="Arial" w:hAnsi="Arial" w:cs="Arial"/>
          <w:sz w:val="16"/>
          <w:szCs w:val="16"/>
          <w:highlight w:val="yellow"/>
          <w:lang w:eastAsia="es-ES"/>
        </w:rPr>
      </w:pPr>
    </w:p>
    <w:p w14:paraId="7740EE66" w14:textId="090E7824" w:rsidR="00C02282" w:rsidRPr="009A02CD" w:rsidRDefault="00C02282" w:rsidP="00C02282">
      <w:pPr>
        <w:pStyle w:val="Descripcin"/>
        <w:keepNext/>
        <w:jc w:val="center"/>
      </w:pPr>
      <w:bookmarkStart w:id="37" w:name="_Toc525652457"/>
      <w:r w:rsidRPr="009A02CD">
        <w:t xml:space="preserve">Tabla </w:t>
      </w:r>
      <w:r w:rsidRPr="009A02CD">
        <w:fldChar w:fldCharType="begin"/>
      </w:r>
      <w:r w:rsidRPr="009A02CD">
        <w:instrText xml:space="preserve"> SEQ Tabla \* ARABIC </w:instrText>
      </w:r>
      <w:r w:rsidRPr="009A02CD">
        <w:fldChar w:fldCharType="separate"/>
      </w:r>
      <w:r w:rsidR="008B4625">
        <w:rPr>
          <w:noProof/>
        </w:rPr>
        <w:t>11</w:t>
      </w:r>
      <w:r w:rsidRPr="009A02CD">
        <w:fldChar w:fldCharType="end"/>
      </w:r>
      <w:r w:rsidR="009A02CD" w:rsidRPr="009A02CD">
        <w:t xml:space="preserve"> Segundo</w:t>
      </w:r>
      <w:r w:rsidRPr="009A02CD">
        <w:t xml:space="preserve"> Trimestre Distribución Recursos para pagos por menores tarifas sector GLP/ Obligaciones  MME</w:t>
      </w:r>
      <w:bookmarkEnd w:id="37"/>
    </w:p>
    <w:tbl>
      <w:tblPr>
        <w:tblW w:w="9629" w:type="dxa"/>
        <w:tblCellMar>
          <w:left w:w="70" w:type="dxa"/>
          <w:right w:w="70" w:type="dxa"/>
        </w:tblCellMar>
        <w:tblLook w:val="04A0" w:firstRow="1" w:lastRow="0" w:firstColumn="1" w:lastColumn="0" w:noHBand="0" w:noVBand="1"/>
      </w:tblPr>
      <w:tblGrid>
        <w:gridCol w:w="6598"/>
        <w:gridCol w:w="1189"/>
        <w:gridCol w:w="1842"/>
      </w:tblGrid>
      <w:tr w:rsidR="009A02CD" w:rsidRPr="000E4CAF" w14:paraId="4D55D224" w14:textId="77777777" w:rsidTr="00BC1C03">
        <w:trPr>
          <w:trHeight w:val="315"/>
          <w:tblHeader/>
        </w:trPr>
        <w:tc>
          <w:tcPr>
            <w:tcW w:w="9629"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603ADDA4" w14:textId="77777777" w:rsidR="009A02CD" w:rsidRPr="007D40C0" w:rsidRDefault="009A02CD" w:rsidP="00BC1C03">
            <w:pPr>
              <w:spacing w:after="0" w:line="240" w:lineRule="auto"/>
              <w:jc w:val="center"/>
              <w:rPr>
                <w:rFonts w:eastAsia="Times New Roman"/>
                <w:b/>
                <w:bCs/>
                <w:color w:val="FFFFFF"/>
                <w:lang w:eastAsia="es-CO"/>
              </w:rPr>
            </w:pPr>
            <w:r w:rsidRPr="007D40C0">
              <w:rPr>
                <w:rFonts w:eastAsia="Times New Roman"/>
                <w:b/>
                <w:bCs/>
                <w:color w:val="FFFFFF"/>
                <w:lang w:eastAsia="es-CO"/>
              </w:rPr>
              <w:t>GLP - OBLIGACIONES</w:t>
            </w:r>
          </w:p>
        </w:tc>
      </w:tr>
      <w:tr w:rsidR="009A02CD" w:rsidRPr="000E4CAF" w14:paraId="5F0D6F73" w14:textId="77777777" w:rsidTr="00BC1C03">
        <w:trPr>
          <w:trHeight w:val="315"/>
          <w:tblHeader/>
        </w:trPr>
        <w:tc>
          <w:tcPr>
            <w:tcW w:w="6598" w:type="dxa"/>
            <w:tcBorders>
              <w:top w:val="nil"/>
              <w:left w:val="single" w:sz="8" w:space="0" w:color="auto"/>
              <w:bottom w:val="nil"/>
              <w:right w:val="single" w:sz="4" w:space="0" w:color="auto"/>
            </w:tcBorders>
            <w:shd w:val="clear" w:color="auto" w:fill="17365D"/>
            <w:noWrap/>
            <w:vAlign w:val="center"/>
            <w:hideMark/>
          </w:tcPr>
          <w:p w14:paraId="706B88B1" w14:textId="77777777" w:rsidR="009A02CD" w:rsidRPr="007D40C0" w:rsidRDefault="009A02CD" w:rsidP="00BC1C03">
            <w:pPr>
              <w:spacing w:after="0" w:line="240" w:lineRule="auto"/>
              <w:jc w:val="center"/>
              <w:rPr>
                <w:rFonts w:eastAsia="Times New Roman"/>
                <w:b/>
                <w:bCs/>
                <w:color w:val="FFFFFF"/>
                <w:lang w:eastAsia="es-CO"/>
              </w:rPr>
            </w:pPr>
            <w:r w:rsidRPr="007D40C0">
              <w:rPr>
                <w:rFonts w:eastAsia="Times New Roman"/>
                <w:b/>
                <w:bCs/>
                <w:color w:val="FFFFFF"/>
                <w:lang w:eastAsia="es-CO"/>
              </w:rPr>
              <w:t>Resolución</w:t>
            </w:r>
          </w:p>
        </w:tc>
        <w:tc>
          <w:tcPr>
            <w:tcW w:w="1189" w:type="dxa"/>
            <w:tcBorders>
              <w:top w:val="nil"/>
              <w:left w:val="nil"/>
              <w:bottom w:val="nil"/>
              <w:right w:val="single" w:sz="4" w:space="0" w:color="auto"/>
            </w:tcBorders>
            <w:shd w:val="clear" w:color="auto" w:fill="17365D"/>
            <w:noWrap/>
            <w:vAlign w:val="bottom"/>
            <w:hideMark/>
          </w:tcPr>
          <w:p w14:paraId="6867D16E" w14:textId="77777777" w:rsidR="009A02CD" w:rsidRPr="007D40C0" w:rsidRDefault="009A02CD" w:rsidP="00BC1C03">
            <w:pPr>
              <w:spacing w:after="0" w:line="240" w:lineRule="auto"/>
              <w:jc w:val="center"/>
              <w:rPr>
                <w:rFonts w:eastAsia="Times New Roman"/>
                <w:b/>
                <w:bCs/>
                <w:color w:val="FFFFFF"/>
                <w:lang w:eastAsia="es-CO"/>
              </w:rPr>
            </w:pPr>
            <w:r w:rsidRPr="007D40C0">
              <w:rPr>
                <w:rFonts w:eastAsia="Times New Roman"/>
                <w:b/>
                <w:bCs/>
                <w:color w:val="FFFFFF"/>
                <w:lang w:eastAsia="es-CO"/>
              </w:rPr>
              <w:t>Valor</w:t>
            </w:r>
          </w:p>
        </w:tc>
        <w:tc>
          <w:tcPr>
            <w:tcW w:w="1842" w:type="dxa"/>
            <w:tcBorders>
              <w:top w:val="nil"/>
              <w:left w:val="nil"/>
              <w:bottom w:val="nil"/>
              <w:right w:val="single" w:sz="8" w:space="0" w:color="auto"/>
            </w:tcBorders>
            <w:shd w:val="clear" w:color="auto" w:fill="17365D"/>
            <w:noWrap/>
            <w:vAlign w:val="bottom"/>
            <w:hideMark/>
          </w:tcPr>
          <w:p w14:paraId="71DA4EC9" w14:textId="77777777" w:rsidR="009A02CD" w:rsidRPr="007D40C0" w:rsidRDefault="009A02CD" w:rsidP="00BC1C03">
            <w:pPr>
              <w:spacing w:after="0" w:line="240" w:lineRule="auto"/>
              <w:jc w:val="center"/>
              <w:rPr>
                <w:rFonts w:eastAsia="Times New Roman"/>
                <w:b/>
                <w:bCs/>
                <w:color w:val="FFFFFF"/>
                <w:lang w:eastAsia="es-CO"/>
              </w:rPr>
            </w:pPr>
            <w:r w:rsidRPr="007D40C0">
              <w:rPr>
                <w:rFonts w:eastAsia="Times New Roman"/>
                <w:b/>
                <w:bCs/>
                <w:color w:val="FFFFFF"/>
                <w:lang w:eastAsia="es-CO"/>
              </w:rPr>
              <w:t>Fecha</w:t>
            </w:r>
          </w:p>
        </w:tc>
      </w:tr>
      <w:tr w:rsidR="009A02CD" w:rsidRPr="000E4CAF" w14:paraId="4852CA3A" w14:textId="77777777" w:rsidTr="00BC1C03">
        <w:trPr>
          <w:trHeight w:val="997"/>
        </w:trPr>
        <w:tc>
          <w:tcPr>
            <w:tcW w:w="659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79877D"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CONSTRUCCIÓN PROPANODUCTOS RURALES POR REDES EN MUNICIPIOS DE LOS DPTOS DEL HUILA Y CAUCA, VEREDAS Y/O CENTROS POBLADOS DE SAN AGUSTÍN,PITAL,PALESTINA,COLOMBIA E ISNOS EN EL DPTO DEL HUILA; E INZA EN EL DPTO DE CAUCA... VTO: 31/07/2018</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4E4F91CA" w14:textId="77777777" w:rsidR="009A02CD" w:rsidRPr="00CF451D" w:rsidRDefault="009A02CD" w:rsidP="00BC1C03">
            <w:pPr>
              <w:spacing w:after="0" w:line="240" w:lineRule="auto"/>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1.902 </w:t>
            </w:r>
          </w:p>
        </w:tc>
        <w:tc>
          <w:tcPr>
            <w:tcW w:w="1842" w:type="dxa"/>
            <w:tcBorders>
              <w:top w:val="single" w:sz="4" w:space="0" w:color="auto"/>
              <w:left w:val="nil"/>
              <w:bottom w:val="single" w:sz="4" w:space="0" w:color="auto"/>
              <w:right w:val="single" w:sz="8" w:space="0" w:color="auto"/>
            </w:tcBorders>
            <w:shd w:val="clear" w:color="auto" w:fill="auto"/>
            <w:vAlign w:val="center"/>
            <w:hideMark/>
          </w:tcPr>
          <w:p w14:paraId="5D98C1E1"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16 y 28 DE MAYO DE 2018 </w:t>
            </w:r>
          </w:p>
        </w:tc>
      </w:tr>
      <w:tr w:rsidR="009A02CD" w:rsidRPr="000E4CAF" w14:paraId="7A68D0AF" w14:textId="77777777" w:rsidTr="00BC1C03">
        <w:trPr>
          <w:trHeight w:val="1110"/>
        </w:trPr>
        <w:tc>
          <w:tcPr>
            <w:tcW w:w="6598" w:type="dxa"/>
            <w:tcBorders>
              <w:top w:val="nil"/>
              <w:left w:val="single" w:sz="8" w:space="0" w:color="auto"/>
              <w:bottom w:val="single" w:sz="4" w:space="0" w:color="auto"/>
              <w:right w:val="single" w:sz="4" w:space="0" w:color="auto"/>
            </w:tcBorders>
            <w:shd w:val="clear" w:color="auto" w:fill="auto"/>
            <w:vAlign w:val="center"/>
            <w:hideMark/>
          </w:tcPr>
          <w:p w14:paraId="2B24E5B8" w14:textId="77777777" w:rsidR="009A02CD" w:rsidRPr="00CF451D" w:rsidRDefault="009A02CD" w:rsidP="00BC1C03">
            <w:pPr>
              <w:spacing w:after="0" w:line="240" w:lineRule="auto"/>
              <w:jc w:val="both"/>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ESTABLECER LOS TÉRMINOS Y CONDICIONES PARA LA COFINANCIACIÓN POR PARTE DEL MINISTERIO PARA QUE LA EMPRESA EJECUTE EL PROY: "CONSTRUCCIÓN PROPANODUCTO DOMICILIARIO PARA LOS CENTROS POBLADOS EL CARMEN Y MIRADOR, MUN. DE OPORAPA, HUILA. VTO:31/07/2018</w:t>
            </w:r>
          </w:p>
        </w:tc>
        <w:tc>
          <w:tcPr>
            <w:tcW w:w="1189" w:type="dxa"/>
            <w:tcBorders>
              <w:top w:val="nil"/>
              <w:left w:val="nil"/>
              <w:bottom w:val="single" w:sz="4" w:space="0" w:color="auto"/>
              <w:right w:val="single" w:sz="4" w:space="0" w:color="auto"/>
            </w:tcBorders>
            <w:shd w:val="clear" w:color="auto" w:fill="auto"/>
            <w:noWrap/>
            <w:vAlign w:val="center"/>
            <w:hideMark/>
          </w:tcPr>
          <w:p w14:paraId="418D84BB" w14:textId="77777777" w:rsidR="009A02CD" w:rsidRPr="00CF451D" w:rsidRDefault="009A02CD" w:rsidP="00BC1C03">
            <w:pPr>
              <w:spacing w:after="0" w:line="240" w:lineRule="auto"/>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          249 </w:t>
            </w:r>
          </w:p>
        </w:tc>
        <w:tc>
          <w:tcPr>
            <w:tcW w:w="1842" w:type="dxa"/>
            <w:tcBorders>
              <w:top w:val="nil"/>
              <w:left w:val="nil"/>
              <w:bottom w:val="single" w:sz="4" w:space="0" w:color="auto"/>
              <w:right w:val="single" w:sz="8" w:space="0" w:color="auto"/>
            </w:tcBorders>
            <w:shd w:val="clear" w:color="auto" w:fill="auto"/>
            <w:vAlign w:val="center"/>
            <w:hideMark/>
          </w:tcPr>
          <w:p w14:paraId="6D29DF4F" w14:textId="77777777" w:rsidR="009A02CD" w:rsidRPr="00CF451D" w:rsidRDefault="009A02CD" w:rsidP="00BC1C03">
            <w:pPr>
              <w:spacing w:after="0" w:line="240" w:lineRule="auto"/>
              <w:jc w:val="center"/>
              <w:rPr>
                <w:rFonts w:ascii="Arial" w:eastAsia="Times New Roman" w:hAnsi="Arial" w:cs="Arial"/>
                <w:color w:val="000000"/>
                <w:sz w:val="18"/>
                <w:szCs w:val="18"/>
                <w:lang w:eastAsia="es-CO"/>
              </w:rPr>
            </w:pPr>
            <w:r w:rsidRPr="00CF451D">
              <w:rPr>
                <w:rFonts w:ascii="Arial" w:eastAsia="Times New Roman" w:hAnsi="Arial" w:cs="Arial"/>
                <w:color w:val="000000"/>
                <w:sz w:val="18"/>
                <w:szCs w:val="18"/>
                <w:lang w:eastAsia="es-CO"/>
              </w:rPr>
              <w:t xml:space="preserve"> 16 y 28 DE MAYO DE 2018 </w:t>
            </w:r>
          </w:p>
        </w:tc>
      </w:tr>
      <w:tr w:rsidR="009A02CD" w:rsidRPr="000E4CAF" w14:paraId="56F914F1" w14:textId="77777777" w:rsidTr="00BC1C03">
        <w:trPr>
          <w:trHeight w:val="1260"/>
        </w:trPr>
        <w:tc>
          <w:tcPr>
            <w:tcW w:w="6598" w:type="dxa"/>
            <w:tcBorders>
              <w:top w:val="nil"/>
              <w:left w:val="single" w:sz="8" w:space="0" w:color="auto"/>
              <w:bottom w:val="single" w:sz="4" w:space="0" w:color="auto"/>
              <w:right w:val="single" w:sz="4" w:space="0" w:color="auto"/>
            </w:tcBorders>
            <w:shd w:val="clear" w:color="auto" w:fill="auto"/>
            <w:vAlign w:val="center"/>
            <w:hideMark/>
          </w:tcPr>
          <w:p w14:paraId="221AB480" w14:textId="77777777" w:rsidR="009A02CD" w:rsidRPr="007D40C0" w:rsidRDefault="009A02CD" w:rsidP="00BC1C03">
            <w:pPr>
              <w:spacing w:after="0" w:line="240" w:lineRule="auto"/>
              <w:jc w:val="both"/>
              <w:rPr>
                <w:rFonts w:eastAsia="Times New Roman"/>
                <w:color w:val="000000"/>
                <w:sz w:val="20"/>
                <w:szCs w:val="20"/>
                <w:lang w:eastAsia="es-CO"/>
              </w:rPr>
            </w:pPr>
            <w:r w:rsidRPr="007D40C0">
              <w:rPr>
                <w:rFonts w:eastAsia="Times New Roman"/>
                <w:color w:val="000000"/>
                <w:sz w:val="20"/>
                <w:szCs w:val="20"/>
                <w:lang w:eastAsia="es-CO"/>
              </w:rPr>
              <w:t>ESTABLECER LOS TÉRMINOS Y CONDICIONES PARA LA COFINANCIACIÓN POR PARTE DEL MME PARA QUE LA EMPRESA EJECUTE LA IMPLEMENTACIÓN DEL SERVICIO DE GAS GLP POR REDES EN LOS MUNICIPIOS DE CORDOBA, GUAITARILLA Y PUPIALES DEL DPTO DE NARIÑO. VTO: 31/07/2018</w:t>
            </w:r>
          </w:p>
        </w:tc>
        <w:tc>
          <w:tcPr>
            <w:tcW w:w="1189" w:type="dxa"/>
            <w:tcBorders>
              <w:top w:val="nil"/>
              <w:left w:val="nil"/>
              <w:bottom w:val="single" w:sz="4" w:space="0" w:color="auto"/>
              <w:right w:val="single" w:sz="4" w:space="0" w:color="auto"/>
            </w:tcBorders>
            <w:shd w:val="clear" w:color="auto" w:fill="auto"/>
            <w:noWrap/>
            <w:vAlign w:val="center"/>
            <w:hideMark/>
          </w:tcPr>
          <w:p w14:paraId="758B4DC4" w14:textId="77777777" w:rsidR="009A02CD" w:rsidRPr="007D40C0" w:rsidRDefault="009A02CD" w:rsidP="00BC1C03">
            <w:pPr>
              <w:spacing w:after="0" w:line="240" w:lineRule="auto"/>
              <w:rPr>
                <w:rFonts w:eastAsia="Times New Roman"/>
                <w:color w:val="000000"/>
                <w:lang w:eastAsia="es-CO"/>
              </w:rPr>
            </w:pPr>
            <w:r w:rsidRPr="007D40C0">
              <w:rPr>
                <w:rFonts w:eastAsia="Times New Roman"/>
                <w:color w:val="000000"/>
                <w:lang w:eastAsia="es-CO"/>
              </w:rPr>
              <w:t xml:space="preserve"> $      1.898 </w:t>
            </w:r>
          </w:p>
        </w:tc>
        <w:tc>
          <w:tcPr>
            <w:tcW w:w="1842" w:type="dxa"/>
            <w:tcBorders>
              <w:top w:val="nil"/>
              <w:left w:val="nil"/>
              <w:bottom w:val="single" w:sz="4" w:space="0" w:color="auto"/>
              <w:right w:val="single" w:sz="8" w:space="0" w:color="auto"/>
            </w:tcBorders>
            <w:shd w:val="clear" w:color="auto" w:fill="auto"/>
            <w:vAlign w:val="center"/>
            <w:hideMark/>
          </w:tcPr>
          <w:p w14:paraId="7C334C0A" w14:textId="77777777" w:rsidR="009A02CD" w:rsidRPr="007D40C0" w:rsidRDefault="009A02CD" w:rsidP="00BC1C03">
            <w:pPr>
              <w:spacing w:after="0" w:line="240" w:lineRule="auto"/>
              <w:jc w:val="center"/>
              <w:rPr>
                <w:rFonts w:eastAsia="Times New Roman"/>
                <w:color w:val="000000"/>
                <w:sz w:val="20"/>
                <w:szCs w:val="20"/>
                <w:lang w:eastAsia="es-CO"/>
              </w:rPr>
            </w:pPr>
            <w:r w:rsidRPr="007D40C0">
              <w:rPr>
                <w:rFonts w:eastAsia="Times New Roman"/>
                <w:color w:val="000000"/>
                <w:sz w:val="20"/>
                <w:szCs w:val="20"/>
                <w:lang w:eastAsia="es-CO"/>
              </w:rPr>
              <w:t xml:space="preserve"> 17 DE MAYO Y 26 DE JUNIO DE 2018 </w:t>
            </w:r>
          </w:p>
        </w:tc>
      </w:tr>
      <w:tr w:rsidR="009A02CD" w:rsidRPr="000E4CAF" w14:paraId="73260CA9" w14:textId="77777777" w:rsidTr="00BC1C03">
        <w:trPr>
          <w:trHeight w:val="1059"/>
        </w:trPr>
        <w:tc>
          <w:tcPr>
            <w:tcW w:w="6598" w:type="dxa"/>
            <w:tcBorders>
              <w:top w:val="nil"/>
              <w:left w:val="single" w:sz="8" w:space="0" w:color="auto"/>
              <w:bottom w:val="single" w:sz="4" w:space="0" w:color="auto"/>
              <w:right w:val="single" w:sz="4" w:space="0" w:color="auto"/>
            </w:tcBorders>
            <w:shd w:val="clear" w:color="auto" w:fill="auto"/>
            <w:vAlign w:val="center"/>
            <w:hideMark/>
          </w:tcPr>
          <w:p w14:paraId="2CA53E63"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RECURSOS A EMPRESAS CON DESTINO USUARIOS COMUNIDADES INDIGENAS Y ESTRATOS 1-</w:t>
            </w:r>
            <w:proofErr w:type="gramStart"/>
            <w:r w:rsidRPr="00185D32">
              <w:rPr>
                <w:rFonts w:ascii="Arial" w:eastAsia="Times New Roman" w:hAnsi="Arial" w:cs="Arial"/>
                <w:color w:val="000000"/>
                <w:sz w:val="18"/>
                <w:szCs w:val="18"/>
                <w:lang w:eastAsia="es-CO"/>
              </w:rPr>
              <w:t>2,EN</w:t>
            </w:r>
            <w:proofErr w:type="gramEnd"/>
            <w:r w:rsidRPr="00185D32">
              <w:rPr>
                <w:rFonts w:ascii="Arial" w:eastAsia="Times New Roman" w:hAnsi="Arial" w:cs="Arial"/>
                <w:color w:val="000000"/>
                <w:sz w:val="18"/>
                <w:szCs w:val="18"/>
                <w:lang w:eastAsia="es-CO"/>
              </w:rPr>
              <w:t xml:space="preserve"> VIRTUD PROGRAMA SUBSIDIOS AL CONSUMO GLP EN CILINDROS DEL MME, DPTOS CAUCA,CAQUETÁ,NARIÑO,PUTUMAYO,ARCHIPIELAGO SAN ANDRÉS,PROVIDENCIA,STA CATALINA. DE MARZO/2018.</w:t>
            </w:r>
          </w:p>
        </w:tc>
        <w:tc>
          <w:tcPr>
            <w:tcW w:w="1189" w:type="dxa"/>
            <w:tcBorders>
              <w:top w:val="nil"/>
              <w:left w:val="nil"/>
              <w:bottom w:val="single" w:sz="4" w:space="0" w:color="auto"/>
              <w:right w:val="single" w:sz="4" w:space="0" w:color="auto"/>
            </w:tcBorders>
            <w:shd w:val="clear" w:color="auto" w:fill="auto"/>
            <w:noWrap/>
            <w:vAlign w:val="center"/>
            <w:hideMark/>
          </w:tcPr>
          <w:p w14:paraId="5A5737D3"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4.065 </w:t>
            </w:r>
          </w:p>
        </w:tc>
        <w:tc>
          <w:tcPr>
            <w:tcW w:w="1842" w:type="dxa"/>
            <w:tcBorders>
              <w:top w:val="nil"/>
              <w:left w:val="nil"/>
              <w:bottom w:val="single" w:sz="4" w:space="0" w:color="auto"/>
              <w:right w:val="single" w:sz="8" w:space="0" w:color="auto"/>
            </w:tcBorders>
            <w:shd w:val="clear" w:color="auto" w:fill="auto"/>
            <w:vAlign w:val="center"/>
            <w:hideMark/>
          </w:tcPr>
          <w:p w14:paraId="5F058E04"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26 DE ABRIL DE 2018 </w:t>
            </w:r>
          </w:p>
        </w:tc>
      </w:tr>
      <w:tr w:rsidR="009A02CD" w:rsidRPr="000E4CAF" w14:paraId="5F8B576C" w14:textId="77777777" w:rsidTr="00BC1C03">
        <w:trPr>
          <w:trHeight w:val="1230"/>
        </w:trPr>
        <w:tc>
          <w:tcPr>
            <w:tcW w:w="6598" w:type="dxa"/>
            <w:tcBorders>
              <w:top w:val="nil"/>
              <w:left w:val="single" w:sz="8" w:space="0" w:color="auto"/>
              <w:bottom w:val="single" w:sz="4" w:space="0" w:color="auto"/>
              <w:right w:val="single" w:sz="4" w:space="0" w:color="auto"/>
            </w:tcBorders>
            <w:shd w:val="clear" w:color="auto" w:fill="auto"/>
            <w:vAlign w:val="center"/>
            <w:hideMark/>
          </w:tcPr>
          <w:p w14:paraId="15C0AE1A"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GIRO RECURSOS EMPRESAS CON DESTINO USUARIOS COMUNIDADES INDIGENAS Y ESTRATOS 1 Y </w:t>
            </w:r>
            <w:proofErr w:type="gramStart"/>
            <w:r w:rsidRPr="00185D32">
              <w:rPr>
                <w:rFonts w:ascii="Arial" w:eastAsia="Times New Roman" w:hAnsi="Arial" w:cs="Arial"/>
                <w:color w:val="000000"/>
                <w:sz w:val="18"/>
                <w:szCs w:val="18"/>
                <w:lang w:eastAsia="es-CO"/>
              </w:rPr>
              <w:t>2,EN</w:t>
            </w:r>
            <w:proofErr w:type="gramEnd"/>
            <w:r w:rsidRPr="00185D32">
              <w:rPr>
                <w:rFonts w:ascii="Arial" w:eastAsia="Times New Roman" w:hAnsi="Arial" w:cs="Arial"/>
                <w:color w:val="000000"/>
                <w:sz w:val="18"/>
                <w:szCs w:val="18"/>
                <w:lang w:eastAsia="es-CO"/>
              </w:rPr>
              <w:t xml:space="preserve"> VIRTUD PROGRAMA SUBSIDIOS AL CONSUMO GLP EN CILINDROS DEL MME, DPTOS CAUCA,CAQUETÁ,NARIÑO,PUTUMAYO,ARCHIPIELAGO SAN ANDRÉS,PROVIDENCIA,STA CATALINA. FEBRERO/2018.</w:t>
            </w:r>
          </w:p>
        </w:tc>
        <w:tc>
          <w:tcPr>
            <w:tcW w:w="1189" w:type="dxa"/>
            <w:tcBorders>
              <w:top w:val="nil"/>
              <w:left w:val="nil"/>
              <w:bottom w:val="single" w:sz="4" w:space="0" w:color="auto"/>
              <w:right w:val="single" w:sz="4" w:space="0" w:color="auto"/>
            </w:tcBorders>
            <w:shd w:val="clear" w:color="auto" w:fill="auto"/>
            <w:noWrap/>
            <w:vAlign w:val="center"/>
            <w:hideMark/>
          </w:tcPr>
          <w:p w14:paraId="1BE3D4EB"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3.626 </w:t>
            </w:r>
          </w:p>
        </w:tc>
        <w:tc>
          <w:tcPr>
            <w:tcW w:w="1842" w:type="dxa"/>
            <w:tcBorders>
              <w:top w:val="nil"/>
              <w:left w:val="nil"/>
              <w:bottom w:val="single" w:sz="4" w:space="0" w:color="auto"/>
              <w:right w:val="single" w:sz="8" w:space="0" w:color="auto"/>
            </w:tcBorders>
            <w:shd w:val="clear" w:color="auto" w:fill="auto"/>
            <w:vAlign w:val="center"/>
            <w:hideMark/>
          </w:tcPr>
          <w:p w14:paraId="0E6BFB10"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6 DE ABRIL DE 2018 </w:t>
            </w:r>
          </w:p>
        </w:tc>
      </w:tr>
      <w:tr w:rsidR="009A02CD" w:rsidRPr="000E4CAF" w14:paraId="044CE986" w14:textId="77777777" w:rsidTr="00BC1C03">
        <w:trPr>
          <w:trHeight w:val="1006"/>
        </w:trPr>
        <w:tc>
          <w:tcPr>
            <w:tcW w:w="6598" w:type="dxa"/>
            <w:tcBorders>
              <w:top w:val="nil"/>
              <w:left w:val="single" w:sz="8" w:space="0" w:color="auto"/>
              <w:bottom w:val="single" w:sz="8" w:space="0" w:color="auto"/>
              <w:right w:val="single" w:sz="4" w:space="0" w:color="auto"/>
            </w:tcBorders>
            <w:shd w:val="clear" w:color="auto" w:fill="auto"/>
            <w:vAlign w:val="center"/>
            <w:hideMark/>
          </w:tcPr>
          <w:p w14:paraId="7FA5B66D"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lastRenderedPageBreak/>
              <w:t>PROFESIONAL -APOYAR LA VERIFICACIÓN DEL RENDIMIENTO ADECUADO, FUNCIONALIDAD Y OPERACIÓN DE LOS SISTEMAS DE INFORMACIÓN RELACIONADOS CON LOS PROCESOS DEL GRUPO DE GAS COMBUSTIBLE DE LA D. DE HIDROCARBUROS. VTO: 25/12/2018</w:t>
            </w:r>
          </w:p>
        </w:tc>
        <w:tc>
          <w:tcPr>
            <w:tcW w:w="1189" w:type="dxa"/>
            <w:tcBorders>
              <w:top w:val="nil"/>
              <w:left w:val="nil"/>
              <w:bottom w:val="single" w:sz="8" w:space="0" w:color="auto"/>
              <w:right w:val="single" w:sz="4" w:space="0" w:color="auto"/>
            </w:tcBorders>
            <w:shd w:val="clear" w:color="auto" w:fill="auto"/>
            <w:noWrap/>
            <w:vAlign w:val="center"/>
            <w:hideMark/>
          </w:tcPr>
          <w:p w14:paraId="13547EE4"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36 </w:t>
            </w:r>
          </w:p>
        </w:tc>
        <w:tc>
          <w:tcPr>
            <w:tcW w:w="1842" w:type="dxa"/>
            <w:tcBorders>
              <w:top w:val="nil"/>
              <w:left w:val="nil"/>
              <w:bottom w:val="single" w:sz="8" w:space="0" w:color="auto"/>
              <w:right w:val="single" w:sz="8" w:space="0" w:color="auto"/>
            </w:tcBorders>
            <w:shd w:val="clear" w:color="auto" w:fill="auto"/>
            <w:vAlign w:val="center"/>
            <w:hideMark/>
          </w:tcPr>
          <w:p w14:paraId="2B94BE15"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18 DE ABRIL, 24 Y 30 DE MAYO  Y 6 DE JUNIO DE 2018 </w:t>
            </w:r>
          </w:p>
        </w:tc>
      </w:tr>
      <w:tr w:rsidR="009A02CD" w:rsidRPr="000E4CAF" w14:paraId="6BAB3B4F" w14:textId="77777777" w:rsidTr="00BC1C03">
        <w:trPr>
          <w:trHeight w:val="315"/>
        </w:trPr>
        <w:tc>
          <w:tcPr>
            <w:tcW w:w="7787" w:type="dxa"/>
            <w:gridSpan w:val="2"/>
            <w:tcBorders>
              <w:top w:val="nil"/>
              <w:left w:val="single" w:sz="8" w:space="0" w:color="auto"/>
              <w:bottom w:val="single" w:sz="8" w:space="0" w:color="auto"/>
              <w:right w:val="single" w:sz="8" w:space="0" w:color="000000"/>
            </w:tcBorders>
            <w:shd w:val="clear" w:color="auto" w:fill="17365D"/>
            <w:noWrap/>
            <w:vAlign w:val="bottom"/>
            <w:hideMark/>
          </w:tcPr>
          <w:p w14:paraId="15A76E82"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1842" w:type="dxa"/>
            <w:tcBorders>
              <w:top w:val="nil"/>
              <w:left w:val="nil"/>
              <w:bottom w:val="single" w:sz="8" w:space="0" w:color="auto"/>
              <w:right w:val="single" w:sz="8" w:space="0" w:color="auto"/>
            </w:tcBorders>
            <w:shd w:val="clear" w:color="auto" w:fill="17365D"/>
            <w:noWrap/>
            <w:vAlign w:val="bottom"/>
            <w:hideMark/>
          </w:tcPr>
          <w:p w14:paraId="534726E0" w14:textId="77777777" w:rsidR="009A02CD" w:rsidRPr="00185D32" w:rsidRDefault="009A02CD" w:rsidP="00BC1C03">
            <w:pPr>
              <w:spacing w:after="0" w:line="240" w:lineRule="auto"/>
              <w:rPr>
                <w:rFonts w:ascii="Arial" w:eastAsia="Times New Roman" w:hAnsi="Arial" w:cs="Arial"/>
                <w:b/>
                <w:bCs/>
                <w:color w:val="FFFFFF"/>
                <w:lang w:eastAsia="es-CO"/>
              </w:rPr>
            </w:pPr>
            <w:r w:rsidRPr="00185D32">
              <w:rPr>
                <w:rFonts w:ascii="Arial" w:eastAsia="Times New Roman" w:hAnsi="Arial" w:cs="Arial"/>
                <w:b/>
                <w:bCs/>
                <w:color w:val="FFFFFF"/>
                <w:lang w:eastAsia="es-CO"/>
              </w:rPr>
              <w:t xml:space="preserve"> $            11.776 </w:t>
            </w:r>
          </w:p>
        </w:tc>
      </w:tr>
    </w:tbl>
    <w:p w14:paraId="4DEBD718"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6BA787B6"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1914C2A5" w14:textId="77777777" w:rsidR="00C02282" w:rsidRPr="009A02CD" w:rsidRDefault="00C02282" w:rsidP="00C02282">
      <w:pPr>
        <w:pStyle w:val="Prrafodelista"/>
        <w:spacing w:after="0" w:line="240" w:lineRule="auto"/>
        <w:ind w:left="360"/>
        <w:jc w:val="center"/>
        <w:rPr>
          <w:rFonts w:eastAsia="Calibri" w:cs="Arial"/>
          <w:sz w:val="16"/>
          <w:szCs w:val="16"/>
        </w:rPr>
      </w:pPr>
    </w:p>
    <w:p w14:paraId="4C7BE82A" w14:textId="77777777" w:rsidR="00C02282" w:rsidRPr="009A02CD" w:rsidRDefault="00C02282" w:rsidP="008B4625">
      <w:pPr>
        <w:numPr>
          <w:ilvl w:val="0"/>
          <w:numId w:val="29"/>
        </w:numPr>
        <w:spacing w:after="0" w:line="240" w:lineRule="auto"/>
        <w:ind w:left="426"/>
        <w:jc w:val="both"/>
        <w:rPr>
          <w:rFonts w:ascii="Arial" w:eastAsia="Times New Roman" w:hAnsi="Arial" w:cs="Arial"/>
          <w:b/>
          <w:szCs w:val="20"/>
          <w:lang w:val="es-ES" w:eastAsia="es-ES"/>
        </w:rPr>
      </w:pPr>
      <w:r w:rsidRPr="009A02CD">
        <w:rPr>
          <w:rFonts w:ascii="Arial" w:eastAsia="Times New Roman" w:hAnsi="Arial" w:cs="Arial"/>
          <w:b/>
          <w:szCs w:val="20"/>
          <w:lang w:val="es-ES" w:eastAsia="es-ES"/>
        </w:rPr>
        <w:t>Implementación Compensación por el Transporte de Combustibles Líquidos Derivados del Petróleo entre Yumbo y la Ciudad de Pasto:</w:t>
      </w:r>
    </w:p>
    <w:p w14:paraId="48868440" w14:textId="77777777" w:rsidR="00C02282" w:rsidRPr="006A67B4" w:rsidRDefault="00C02282" w:rsidP="00C02282">
      <w:pPr>
        <w:spacing w:after="0" w:line="240" w:lineRule="auto"/>
        <w:ind w:left="1080"/>
        <w:jc w:val="both"/>
        <w:rPr>
          <w:rFonts w:ascii="Arial" w:eastAsia="Times New Roman" w:hAnsi="Arial" w:cs="Arial"/>
          <w:b/>
          <w:szCs w:val="20"/>
          <w:highlight w:val="yellow"/>
          <w:lang w:val="es-ES" w:eastAsia="es-ES"/>
        </w:rPr>
      </w:pPr>
    </w:p>
    <w:p w14:paraId="512C7F29" w14:textId="77777777" w:rsidR="009A02CD" w:rsidRPr="009E2358" w:rsidRDefault="009A02CD" w:rsidP="009A02CD">
      <w:pPr>
        <w:spacing w:after="0" w:line="240" w:lineRule="auto"/>
        <w:jc w:val="both"/>
        <w:rPr>
          <w:rFonts w:ascii="Arial" w:eastAsia="Times New Roman" w:hAnsi="Arial" w:cs="Arial"/>
          <w:szCs w:val="20"/>
          <w:lang w:val="es-ES" w:eastAsia="es-ES"/>
        </w:rPr>
      </w:pPr>
      <w:r w:rsidRPr="009E2358">
        <w:rPr>
          <w:rFonts w:ascii="Arial" w:eastAsia="Times New Roman" w:hAnsi="Arial" w:cs="Arial"/>
          <w:szCs w:val="20"/>
          <w:lang w:val="es-ES" w:eastAsia="es-ES"/>
        </w:rPr>
        <w:t>Este proyecto cuenta con una apropiación vigente para el 2018 de $64.558 millones de pesos ejecutado en compromisos por $22.677 millones (35,13%); de los cuales durante el segundo trimestre se comprometieron recursos por $13.088 millones de pesos.</w:t>
      </w:r>
    </w:p>
    <w:p w14:paraId="33173B23" w14:textId="77777777" w:rsidR="009A02CD" w:rsidRPr="009E2358" w:rsidRDefault="009A02CD" w:rsidP="009A02CD">
      <w:pPr>
        <w:spacing w:after="0" w:line="240" w:lineRule="auto"/>
        <w:jc w:val="both"/>
        <w:rPr>
          <w:rFonts w:ascii="Arial" w:eastAsia="Times New Roman" w:hAnsi="Arial" w:cs="Arial"/>
          <w:szCs w:val="20"/>
          <w:lang w:val="es-ES" w:eastAsia="es-ES"/>
        </w:rPr>
      </w:pPr>
    </w:p>
    <w:p w14:paraId="1D446F21" w14:textId="77777777" w:rsidR="009A02CD" w:rsidRPr="009E2358" w:rsidRDefault="009A02CD" w:rsidP="009A02CD">
      <w:pPr>
        <w:spacing w:after="0" w:line="240" w:lineRule="auto"/>
        <w:jc w:val="both"/>
        <w:rPr>
          <w:rFonts w:ascii="Arial" w:eastAsia="Times New Roman" w:hAnsi="Arial" w:cs="Arial"/>
          <w:szCs w:val="20"/>
          <w:lang w:val="es-ES" w:eastAsia="es-ES"/>
        </w:rPr>
      </w:pPr>
      <w:r w:rsidRPr="009E2358">
        <w:rPr>
          <w:rFonts w:ascii="Arial" w:eastAsia="Times New Roman" w:hAnsi="Arial" w:cs="Arial"/>
          <w:szCs w:val="20"/>
          <w:lang w:val="es-ES" w:eastAsia="es-ES"/>
        </w:rPr>
        <w:t xml:space="preserve">En cuanto a las obligaciones, se ejecutaron en el trimestre recursos por $17.925 millones de pesos, equivalentes a $22.450 millones (34,78%) de ejecución acumulado. </w:t>
      </w:r>
    </w:p>
    <w:p w14:paraId="65680E6B" w14:textId="77777777" w:rsidR="009A02CD" w:rsidRPr="009E2358" w:rsidRDefault="009A02CD" w:rsidP="009A02CD">
      <w:pPr>
        <w:spacing w:after="0" w:line="240" w:lineRule="auto"/>
        <w:jc w:val="both"/>
        <w:rPr>
          <w:rFonts w:ascii="Arial" w:eastAsia="Times New Roman" w:hAnsi="Arial" w:cs="Arial"/>
          <w:szCs w:val="20"/>
          <w:lang w:val="es-ES" w:eastAsia="es-ES"/>
        </w:rPr>
      </w:pPr>
    </w:p>
    <w:p w14:paraId="63FDF902" w14:textId="77777777" w:rsidR="009A02CD" w:rsidRPr="009E2358" w:rsidRDefault="009A02CD" w:rsidP="009A02CD">
      <w:pPr>
        <w:spacing w:after="0" w:line="240" w:lineRule="auto"/>
        <w:jc w:val="both"/>
        <w:rPr>
          <w:rFonts w:ascii="Arial" w:eastAsia="Times New Roman" w:hAnsi="Arial" w:cs="Arial"/>
          <w:sz w:val="20"/>
          <w:szCs w:val="20"/>
          <w:lang w:val="es-ES" w:eastAsia="es-ES"/>
        </w:rPr>
      </w:pPr>
      <w:r w:rsidRPr="009E2358">
        <w:rPr>
          <w:rFonts w:ascii="Arial" w:eastAsia="Times New Roman" w:hAnsi="Arial" w:cs="Arial"/>
          <w:szCs w:val="20"/>
          <w:lang w:val="es-ES" w:eastAsia="es-ES"/>
        </w:rPr>
        <w:t>Lo</w:t>
      </w:r>
      <w:r>
        <w:rPr>
          <w:rFonts w:ascii="Arial" w:eastAsia="Times New Roman" w:hAnsi="Arial" w:cs="Arial"/>
          <w:szCs w:val="20"/>
          <w:lang w:val="es-ES" w:eastAsia="es-ES"/>
        </w:rPr>
        <w:t>s</w:t>
      </w:r>
      <w:r w:rsidRPr="009E2358">
        <w:rPr>
          <w:rFonts w:ascii="Arial" w:eastAsia="Times New Roman" w:hAnsi="Arial" w:cs="Arial"/>
          <w:szCs w:val="20"/>
          <w:lang w:val="es-ES" w:eastAsia="es-ES"/>
        </w:rPr>
        <w:t xml:space="preserve"> siguientes cuadros evidencian el comportamiento de los compromisos y las obligaciones del proyecto para el </w:t>
      </w:r>
      <w:r>
        <w:rPr>
          <w:rFonts w:ascii="Arial" w:eastAsia="Times New Roman" w:hAnsi="Arial" w:cs="Arial"/>
          <w:szCs w:val="20"/>
          <w:lang w:val="es-ES" w:eastAsia="es-ES"/>
        </w:rPr>
        <w:t>segundo</w:t>
      </w:r>
      <w:r w:rsidRPr="009E2358">
        <w:rPr>
          <w:rFonts w:ascii="Arial" w:eastAsia="Times New Roman" w:hAnsi="Arial" w:cs="Arial"/>
          <w:szCs w:val="20"/>
          <w:lang w:val="es-ES" w:eastAsia="es-ES"/>
        </w:rPr>
        <w:t xml:space="preserve"> trimestre</w:t>
      </w:r>
      <w:r w:rsidRPr="009E2358">
        <w:rPr>
          <w:rFonts w:ascii="Arial" w:eastAsia="Times New Roman" w:hAnsi="Arial" w:cs="Arial"/>
          <w:sz w:val="20"/>
          <w:szCs w:val="20"/>
          <w:lang w:val="es-ES" w:eastAsia="es-ES"/>
        </w:rPr>
        <w:t xml:space="preserve">. </w:t>
      </w:r>
    </w:p>
    <w:p w14:paraId="1D5A133E" w14:textId="77777777" w:rsidR="00C02282" w:rsidRPr="006A67B4" w:rsidRDefault="00C02282" w:rsidP="00C02282">
      <w:pPr>
        <w:spacing w:after="0" w:line="240" w:lineRule="auto"/>
        <w:ind w:left="7080" w:firstLine="708"/>
        <w:rPr>
          <w:rFonts w:ascii="Arial" w:eastAsia="Times New Roman" w:hAnsi="Arial" w:cs="Arial"/>
          <w:b/>
          <w:sz w:val="20"/>
          <w:szCs w:val="20"/>
          <w:highlight w:val="yellow"/>
          <w:lang w:val="es-ES" w:eastAsia="es-ES"/>
        </w:rPr>
      </w:pPr>
    </w:p>
    <w:p w14:paraId="23A0EF7E" w14:textId="5321ECAA" w:rsidR="00C02282" w:rsidRPr="009A02CD" w:rsidRDefault="00C02282" w:rsidP="00C02282">
      <w:pPr>
        <w:pStyle w:val="Descripcin"/>
        <w:keepNext/>
        <w:jc w:val="center"/>
      </w:pPr>
      <w:bookmarkStart w:id="38" w:name="_Toc525652458"/>
      <w:r w:rsidRPr="009A02CD">
        <w:t xml:space="preserve">Tabla </w:t>
      </w:r>
      <w:r w:rsidRPr="009A02CD">
        <w:fldChar w:fldCharType="begin"/>
      </w:r>
      <w:r w:rsidRPr="009A02CD">
        <w:instrText xml:space="preserve"> SEQ Tabla \* ARABIC </w:instrText>
      </w:r>
      <w:r w:rsidRPr="009A02CD">
        <w:fldChar w:fldCharType="separate"/>
      </w:r>
      <w:r w:rsidR="008B4625">
        <w:rPr>
          <w:noProof/>
        </w:rPr>
        <w:t>12</w:t>
      </w:r>
      <w:r w:rsidRPr="009A02CD">
        <w:fldChar w:fldCharType="end"/>
      </w:r>
      <w:r w:rsidR="009A02CD" w:rsidRPr="009A02CD">
        <w:t xml:space="preserve"> Segundo </w:t>
      </w:r>
      <w:r w:rsidRPr="009A02CD">
        <w:t>Trimestre Yumbo Pasto / Compromisos MME</w:t>
      </w:r>
      <w:bookmarkEnd w:id="38"/>
    </w:p>
    <w:tbl>
      <w:tblPr>
        <w:tblW w:w="9488" w:type="dxa"/>
        <w:tblCellMar>
          <w:left w:w="70" w:type="dxa"/>
          <w:right w:w="70" w:type="dxa"/>
        </w:tblCellMar>
        <w:tblLook w:val="04A0" w:firstRow="1" w:lastRow="0" w:firstColumn="1" w:lastColumn="0" w:noHBand="0" w:noVBand="1"/>
      </w:tblPr>
      <w:tblGrid>
        <w:gridCol w:w="7078"/>
        <w:gridCol w:w="2410"/>
      </w:tblGrid>
      <w:tr w:rsidR="009A02CD" w:rsidRPr="000E4CAF" w14:paraId="3B6032AE" w14:textId="77777777" w:rsidTr="00BC1C03">
        <w:trPr>
          <w:trHeight w:val="315"/>
          <w:tblHeader/>
        </w:trPr>
        <w:tc>
          <w:tcPr>
            <w:tcW w:w="9488" w:type="dxa"/>
            <w:gridSpan w:val="2"/>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0E8264C3"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YUMBO PASTO - COMPROMISOS</w:t>
            </w:r>
          </w:p>
        </w:tc>
      </w:tr>
      <w:tr w:rsidR="009A02CD" w:rsidRPr="000E4CAF" w14:paraId="27CFC05B" w14:textId="77777777" w:rsidTr="00BC1C03">
        <w:trPr>
          <w:trHeight w:val="315"/>
          <w:tblHeader/>
        </w:trPr>
        <w:tc>
          <w:tcPr>
            <w:tcW w:w="7078" w:type="dxa"/>
            <w:tcBorders>
              <w:top w:val="nil"/>
              <w:left w:val="single" w:sz="8" w:space="0" w:color="auto"/>
              <w:bottom w:val="nil"/>
              <w:right w:val="single" w:sz="4" w:space="0" w:color="auto"/>
            </w:tcBorders>
            <w:shd w:val="clear" w:color="auto" w:fill="17365D"/>
            <w:noWrap/>
            <w:vAlign w:val="bottom"/>
            <w:hideMark/>
          </w:tcPr>
          <w:p w14:paraId="74850CA2"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Objeto</w:t>
            </w:r>
          </w:p>
        </w:tc>
        <w:tc>
          <w:tcPr>
            <w:tcW w:w="2410" w:type="dxa"/>
            <w:tcBorders>
              <w:top w:val="nil"/>
              <w:left w:val="nil"/>
              <w:bottom w:val="nil"/>
              <w:right w:val="single" w:sz="8" w:space="0" w:color="auto"/>
            </w:tcBorders>
            <w:shd w:val="clear" w:color="auto" w:fill="17365D"/>
            <w:noWrap/>
            <w:vAlign w:val="bottom"/>
            <w:hideMark/>
          </w:tcPr>
          <w:p w14:paraId="2F42915F"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Valor</w:t>
            </w:r>
          </w:p>
        </w:tc>
      </w:tr>
      <w:tr w:rsidR="009A02CD" w:rsidRPr="000E4CAF" w14:paraId="251BD440" w14:textId="77777777" w:rsidTr="00BC1C03">
        <w:trPr>
          <w:trHeight w:val="1070"/>
        </w:trPr>
        <w:tc>
          <w:tcPr>
            <w:tcW w:w="707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8132A8A"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A EMPRESAS DISTRIBUIDORAS MAYORISTAS DE COMBUSTIBLES LIQUIDOS, MES DE MAYO (SERVICIOS ABRIL 2018), CAUSADOS POR COMPENSACIÓN POR EL TRANS.DE COMBUSTIBLES LIQUIDOS DERIVADOS DEL PETRÓLEO ENTRE LAS CIUDADES YUMBO Y SAN JUAN DE PASTO</w:t>
            </w:r>
          </w:p>
        </w:tc>
        <w:tc>
          <w:tcPr>
            <w:tcW w:w="2410" w:type="dxa"/>
            <w:tcBorders>
              <w:top w:val="single" w:sz="8" w:space="0" w:color="auto"/>
              <w:left w:val="nil"/>
              <w:bottom w:val="single" w:sz="4" w:space="0" w:color="auto"/>
              <w:right w:val="single" w:sz="8" w:space="0" w:color="auto"/>
            </w:tcBorders>
            <w:shd w:val="clear" w:color="auto" w:fill="auto"/>
            <w:noWrap/>
            <w:vAlign w:val="center"/>
            <w:hideMark/>
          </w:tcPr>
          <w:p w14:paraId="4253D4E9"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3.582 </w:t>
            </w:r>
          </w:p>
        </w:tc>
      </w:tr>
      <w:tr w:rsidR="009A02CD" w:rsidRPr="000E4CAF" w14:paraId="585A35DB" w14:textId="77777777" w:rsidTr="00BC1C03">
        <w:trPr>
          <w:trHeight w:val="1138"/>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7AA5A6A"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A EMPRESAS DISTRIBUIDORAS MAYORISTAS DE GLP, MES DE MAYO (SERVICIOS ABRIL 2018), CAUSADOS POR COMPENSACIÓN POR EL TRANSPORT.DE COMBUSTIBLES LIQUIDOS DERIVADOS DEL PETRÓLEO ENTRE LAS CIUDADES DE YUMBO Y SAN JUAN DE PASTO DE QUE TRATA EL ART.55</w:t>
            </w:r>
          </w:p>
        </w:tc>
        <w:tc>
          <w:tcPr>
            <w:tcW w:w="2410" w:type="dxa"/>
            <w:tcBorders>
              <w:top w:val="nil"/>
              <w:left w:val="nil"/>
              <w:bottom w:val="single" w:sz="4" w:space="0" w:color="auto"/>
              <w:right w:val="single" w:sz="8" w:space="0" w:color="auto"/>
            </w:tcBorders>
            <w:shd w:val="clear" w:color="auto" w:fill="auto"/>
            <w:noWrap/>
            <w:vAlign w:val="center"/>
            <w:hideMark/>
          </w:tcPr>
          <w:p w14:paraId="1D5B7312"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862 </w:t>
            </w:r>
          </w:p>
        </w:tc>
      </w:tr>
      <w:tr w:rsidR="009A02CD" w:rsidRPr="000E4CAF" w14:paraId="5294349B" w14:textId="77777777" w:rsidTr="00BC1C03">
        <w:trPr>
          <w:trHeight w:val="842"/>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7D0F4DE"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A EMPRESAS DISTRIBUIDORAS MAYORISTAS POR LA COMPENSACIÓN POR EL TRANSPORTE DE COMBUSTIBLES LÍQUIDOS DERIVADOS DEL PETRÓLEO ENTRE LAS CIUDADES DE YUMBO Y PASTO. FACTURAS DE JUNIO DE 2018</w:t>
            </w:r>
          </w:p>
        </w:tc>
        <w:tc>
          <w:tcPr>
            <w:tcW w:w="2410" w:type="dxa"/>
            <w:tcBorders>
              <w:top w:val="nil"/>
              <w:left w:val="nil"/>
              <w:bottom w:val="single" w:sz="4" w:space="0" w:color="auto"/>
              <w:right w:val="single" w:sz="8" w:space="0" w:color="auto"/>
            </w:tcBorders>
            <w:shd w:val="clear" w:color="auto" w:fill="auto"/>
            <w:noWrap/>
            <w:vAlign w:val="center"/>
            <w:hideMark/>
          </w:tcPr>
          <w:p w14:paraId="464EA81D"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3.544 </w:t>
            </w:r>
          </w:p>
        </w:tc>
      </w:tr>
      <w:tr w:rsidR="009A02CD" w:rsidRPr="000E4CAF" w14:paraId="5FD93FDC" w14:textId="77777777" w:rsidTr="00BC1C03">
        <w:trPr>
          <w:trHeight w:val="843"/>
        </w:trPr>
        <w:tc>
          <w:tcPr>
            <w:tcW w:w="7078"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AB2F082"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A EMPRESAS DISTRIBUIDORAS MAYORISTAS POR LA COMPENSACIÓN POR EL TRANSPORTE DE COMBUSTIBLES LÍQUIDOS DERIVADOS DEL PETRÓLEO GLP ENTRE LAS CIUDADES DE YUMBO Y PASTO. FACTURAS DE JUNIO DE 2018</w:t>
            </w:r>
          </w:p>
        </w:tc>
        <w:tc>
          <w:tcPr>
            <w:tcW w:w="2410" w:type="dxa"/>
            <w:tcBorders>
              <w:top w:val="nil"/>
              <w:left w:val="nil"/>
              <w:bottom w:val="single" w:sz="4" w:space="0" w:color="auto"/>
              <w:right w:val="single" w:sz="8" w:space="0" w:color="auto"/>
            </w:tcBorders>
            <w:shd w:val="clear" w:color="auto" w:fill="auto"/>
            <w:noWrap/>
            <w:vAlign w:val="center"/>
            <w:hideMark/>
          </w:tcPr>
          <w:p w14:paraId="5DC168AB"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791 </w:t>
            </w:r>
          </w:p>
        </w:tc>
      </w:tr>
      <w:tr w:rsidR="009A02CD" w:rsidRPr="000E4CAF" w14:paraId="7A5CEFB9" w14:textId="77777777" w:rsidTr="00BC1C03">
        <w:trPr>
          <w:trHeight w:val="985"/>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73CFA9"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lastRenderedPageBreak/>
              <w:t>PAGO EMPRESAS DISTRIBUIDORAS MAYORISTAS DE COMBUSTIBLES LIQUIDOS DERIVADOS DEL PETRÓLEO, ENTRE YUMBO Y SAN JUAN DE PASTO, CORRESPONDIENTE A LAS FRAS MES DE ABRIL 2018 (SERVICIOS MES DE MARZO)</w:t>
            </w:r>
          </w:p>
        </w:tc>
        <w:tc>
          <w:tcPr>
            <w:tcW w:w="2410" w:type="dxa"/>
            <w:tcBorders>
              <w:top w:val="nil"/>
              <w:left w:val="nil"/>
              <w:bottom w:val="single" w:sz="4" w:space="0" w:color="auto"/>
              <w:right w:val="single" w:sz="8" w:space="0" w:color="auto"/>
            </w:tcBorders>
            <w:shd w:val="clear" w:color="auto" w:fill="auto"/>
            <w:noWrap/>
            <w:vAlign w:val="center"/>
            <w:hideMark/>
          </w:tcPr>
          <w:p w14:paraId="71F26015"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3.478 </w:t>
            </w:r>
          </w:p>
        </w:tc>
      </w:tr>
      <w:tr w:rsidR="009A02CD" w:rsidRPr="000E4CAF" w14:paraId="642E34D0" w14:textId="77777777" w:rsidTr="00BC1C03">
        <w:trPr>
          <w:trHeight w:val="1028"/>
        </w:trPr>
        <w:tc>
          <w:tcPr>
            <w:tcW w:w="70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659433"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PAGO EMPRESAS DISTRIBUIDORAS MAYORISTAS DE GLP POR TRANSPORTE DE COMBUSTIBLES LIQUIDOS DERIVADOS DEL PETRÓLEO, ENTRE YUMBO Y SAN JUAN DE PASTO, CORRESPONDIENTE A LAS FRAS MES DE ABRIL 2018 (SERVICIOS MES DE MARZO)</w:t>
            </w:r>
          </w:p>
        </w:tc>
        <w:tc>
          <w:tcPr>
            <w:tcW w:w="2410" w:type="dxa"/>
            <w:tcBorders>
              <w:top w:val="nil"/>
              <w:left w:val="nil"/>
              <w:bottom w:val="nil"/>
              <w:right w:val="single" w:sz="8" w:space="0" w:color="auto"/>
            </w:tcBorders>
            <w:shd w:val="clear" w:color="auto" w:fill="auto"/>
            <w:noWrap/>
            <w:vAlign w:val="center"/>
            <w:hideMark/>
          </w:tcPr>
          <w:p w14:paraId="05F35C72" w14:textId="77777777" w:rsidR="009A02CD" w:rsidRPr="00185D32" w:rsidRDefault="009A02CD"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831 </w:t>
            </w:r>
          </w:p>
        </w:tc>
      </w:tr>
      <w:tr w:rsidR="009A02CD" w:rsidRPr="000E4CAF" w14:paraId="290613DA" w14:textId="77777777" w:rsidTr="00BC1C03">
        <w:trPr>
          <w:trHeight w:val="315"/>
        </w:trPr>
        <w:tc>
          <w:tcPr>
            <w:tcW w:w="7078" w:type="dxa"/>
            <w:tcBorders>
              <w:top w:val="nil"/>
              <w:left w:val="single" w:sz="8" w:space="0" w:color="auto"/>
              <w:bottom w:val="single" w:sz="8" w:space="0" w:color="auto"/>
              <w:right w:val="single" w:sz="4" w:space="0" w:color="auto"/>
            </w:tcBorders>
            <w:shd w:val="clear" w:color="auto" w:fill="17365D"/>
            <w:noWrap/>
            <w:vAlign w:val="center"/>
            <w:hideMark/>
          </w:tcPr>
          <w:p w14:paraId="5BAD00A1"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2410" w:type="dxa"/>
            <w:tcBorders>
              <w:top w:val="nil"/>
              <w:left w:val="nil"/>
              <w:bottom w:val="single" w:sz="8" w:space="0" w:color="auto"/>
              <w:right w:val="single" w:sz="8" w:space="0" w:color="auto"/>
            </w:tcBorders>
            <w:shd w:val="clear" w:color="auto" w:fill="17365D"/>
            <w:noWrap/>
            <w:vAlign w:val="center"/>
            <w:hideMark/>
          </w:tcPr>
          <w:p w14:paraId="16FDFE00" w14:textId="77777777" w:rsidR="009A02CD" w:rsidRPr="00185D32" w:rsidRDefault="009A02CD" w:rsidP="00BC1C03">
            <w:pPr>
              <w:spacing w:after="0" w:line="240" w:lineRule="auto"/>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13.088 </w:t>
            </w:r>
          </w:p>
        </w:tc>
      </w:tr>
    </w:tbl>
    <w:p w14:paraId="2EAEB25C"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7EFD332F"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3CF96BD2" w14:textId="77777777" w:rsidR="00C02282" w:rsidRPr="006A67B4" w:rsidRDefault="00C02282" w:rsidP="00C02282">
      <w:pPr>
        <w:spacing w:after="0" w:line="240" w:lineRule="auto"/>
        <w:ind w:left="7080" w:firstLine="708"/>
        <w:jc w:val="center"/>
        <w:rPr>
          <w:rFonts w:ascii="Arial" w:eastAsia="Calibri" w:hAnsi="Arial" w:cs="Arial"/>
          <w:highlight w:val="yellow"/>
        </w:rPr>
      </w:pPr>
    </w:p>
    <w:p w14:paraId="47AA33FA" w14:textId="14B95D00" w:rsidR="00C02282" w:rsidRPr="009A02CD" w:rsidRDefault="00C02282" w:rsidP="00C02282">
      <w:pPr>
        <w:pStyle w:val="Descripcin"/>
        <w:keepNext/>
        <w:jc w:val="center"/>
      </w:pPr>
      <w:bookmarkStart w:id="39" w:name="_Toc525652459"/>
      <w:r w:rsidRPr="009A02CD">
        <w:t xml:space="preserve">Tabla </w:t>
      </w:r>
      <w:r w:rsidRPr="009A02CD">
        <w:fldChar w:fldCharType="begin"/>
      </w:r>
      <w:r w:rsidRPr="009A02CD">
        <w:instrText xml:space="preserve"> SEQ Tabla \* ARABIC </w:instrText>
      </w:r>
      <w:r w:rsidRPr="009A02CD">
        <w:fldChar w:fldCharType="separate"/>
      </w:r>
      <w:r w:rsidR="008B4625">
        <w:rPr>
          <w:noProof/>
        </w:rPr>
        <w:t>13</w:t>
      </w:r>
      <w:r w:rsidRPr="009A02CD">
        <w:fldChar w:fldCharType="end"/>
      </w:r>
      <w:r w:rsidR="009A02CD" w:rsidRPr="009A02CD">
        <w:t xml:space="preserve"> Segundo </w:t>
      </w:r>
      <w:r w:rsidRPr="009A02CD">
        <w:t xml:space="preserve"> Trimestre Yumbo Pasto / Obligaciones MME</w:t>
      </w:r>
      <w:bookmarkEnd w:id="39"/>
    </w:p>
    <w:tbl>
      <w:tblPr>
        <w:tblW w:w="9488" w:type="dxa"/>
        <w:tblCellMar>
          <w:left w:w="70" w:type="dxa"/>
          <w:right w:w="70" w:type="dxa"/>
        </w:tblCellMar>
        <w:tblLook w:val="04A0" w:firstRow="1" w:lastRow="0" w:firstColumn="1" w:lastColumn="0" w:noHBand="0" w:noVBand="1"/>
      </w:tblPr>
      <w:tblGrid>
        <w:gridCol w:w="6511"/>
        <w:gridCol w:w="1417"/>
        <w:gridCol w:w="1560"/>
      </w:tblGrid>
      <w:tr w:rsidR="009A02CD" w:rsidRPr="000E4CAF" w14:paraId="6C0FCADA" w14:textId="77777777" w:rsidTr="00BC1C03">
        <w:trPr>
          <w:trHeight w:val="315"/>
          <w:tblHeader/>
        </w:trPr>
        <w:tc>
          <w:tcPr>
            <w:tcW w:w="9488" w:type="dxa"/>
            <w:gridSpan w:val="3"/>
            <w:tcBorders>
              <w:top w:val="single" w:sz="8" w:space="0" w:color="auto"/>
              <w:left w:val="single" w:sz="8" w:space="0" w:color="auto"/>
              <w:bottom w:val="single" w:sz="4" w:space="0" w:color="auto"/>
              <w:right w:val="single" w:sz="8" w:space="0" w:color="000000"/>
            </w:tcBorders>
            <w:shd w:val="clear" w:color="auto" w:fill="17365D"/>
            <w:noWrap/>
            <w:vAlign w:val="bottom"/>
            <w:hideMark/>
          </w:tcPr>
          <w:p w14:paraId="5C9C1CF5"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YUMBO PASTO- OBLIGACIONES</w:t>
            </w:r>
          </w:p>
        </w:tc>
      </w:tr>
      <w:tr w:rsidR="009A02CD" w:rsidRPr="000E4CAF" w14:paraId="3AEC1EEF" w14:textId="77777777" w:rsidTr="00BC1C03">
        <w:trPr>
          <w:trHeight w:val="315"/>
          <w:tblHeader/>
        </w:trPr>
        <w:tc>
          <w:tcPr>
            <w:tcW w:w="6511" w:type="dxa"/>
            <w:tcBorders>
              <w:top w:val="nil"/>
              <w:left w:val="single" w:sz="8" w:space="0" w:color="auto"/>
              <w:bottom w:val="single" w:sz="4" w:space="0" w:color="auto"/>
              <w:right w:val="single" w:sz="4" w:space="0" w:color="auto"/>
            </w:tcBorders>
            <w:shd w:val="clear" w:color="auto" w:fill="17365D"/>
            <w:noWrap/>
            <w:vAlign w:val="center"/>
            <w:hideMark/>
          </w:tcPr>
          <w:p w14:paraId="34E603F5"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Resolución</w:t>
            </w:r>
          </w:p>
        </w:tc>
        <w:tc>
          <w:tcPr>
            <w:tcW w:w="1417" w:type="dxa"/>
            <w:tcBorders>
              <w:top w:val="nil"/>
              <w:left w:val="nil"/>
              <w:bottom w:val="single" w:sz="4" w:space="0" w:color="auto"/>
              <w:right w:val="single" w:sz="4" w:space="0" w:color="auto"/>
            </w:tcBorders>
            <w:shd w:val="clear" w:color="auto" w:fill="17365D"/>
            <w:noWrap/>
            <w:vAlign w:val="bottom"/>
            <w:hideMark/>
          </w:tcPr>
          <w:p w14:paraId="7732A418"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Valor</w:t>
            </w:r>
          </w:p>
        </w:tc>
        <w:tc>
          <w:tcPr>
            <w:tcW w:w="1560" w:type="dxa"/>
            <w:tcBorders>
              <w:top w:val="nil"/>
              <w:left w:val="nil"/>
              <w:bottom w:val="single" w:sz="4" w:space="0" w:color="auto"/>
              <w:right w:val="single" w:sz="8" w:space="0" w:color="auto"/>
            </w:tcBorders>
            <w:shd w:val="clear" w:color="auto" w:fill="17365D"/>
            <w:noWrap/>
            <w:vAlign w:val="bottom"/>
            <w:hideMark/>
          </w:tcPr>
          <w:p w14:paraId="6CCE219B"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Fecha</w:t>
            </w:r>
          </w:p>
        </w:tc>
      </w:tr>
      <w:tr w:rsidR="009A02CD" w:rsidRPr="000E4CAF" w14:paraId="449BB4D2" w14:textId="77777777" w:rsidTr="00BC1C03">
        <w:trPr>
          <w:trHeight w:val="738"/>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0F6B98C2"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GIRO A EMPRESAS DISTRIBUIDORAS MAYORISTAS DE COMBUSTIBLES LIQUIDOS DERIVADOS DEL PETROLEO, POR COMPENSACIÓN DE LAS FACTURAS MES DE FEBRERO 2018, ENTRE LAS CIUDADES DE YUMBO Y SAN JUAN DE PASTO</w:t>
            </w:r>
          </w:p>
        </w:tc>
        <w:tc>
          <w:tcPr>
            <w:tcW w:w="1417" w:type="dxa"/>
            <w:tcBorders>
              <w:top w:val="nil"/>
              <w:left w:val="nil"/>
              <w:bottom w:val="single" w:sz="4" w:space="0" w:color="auto"/>
              <w:right w:val="single" w:sz="4" w:space="0" w:color="auto"/>
            </w:tcBorders>
            <w:shd w:val="clear" w:color="auto" w:fill="auto"/>
            <w:noWrap/>
            <w:vAlign w:val="center"/>
            <w:hideMark/>
          </w:tcPr>
          <w:p w14:paraId="2DD00D77"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3.536 </w:t>
            </w:r>
          </w:p>
        </w:tc>
        <w:tc>
          <w:tcPr>
            <w:tcW w:w="1560" w:type="dxa"/>
            <w:tcBorders>
              <w:top w:val="nil"/>
              <w:left w:val="nil"/>
              <w:bottom w:val="single" w:sz="4" w:space="0" w:color="auto"/>
              <w:right w:val="single" w:sz="8" w:space="0" w:color="auto"/>
            </w:tcBorders>
            <w:shd w:val="clear" w:color="auto" w:fill="auto"/>
            <w:vAlign w:val="center"/>
            <w:hideMark/>
          </w:tcPr>
          <w:p w14:paraId="21A1508B"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6 DE ABRIL DE 2018</w:t>
            </w:r>
          </w:p>
        </w:tc>
      </w:tr>
      <w:tr w:rsidR="009A02CD" w:rsidRPr="000E4CAF" w14:paraId="0904750D" w14:textId="77777777" w:rsidTr="00BC1C03">
        <w:trPr>
          <w:trHeight w:val="977"/>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2474AB57"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GIRO A EMPRESAS DISTRIBUIDORAS MAYORISTAS DE COMBUSTIBLES LIQUIDOS, MES DE MAYO (SERVICIOS ABRIL 2018), CAUSADOS POR COMPENSACIÓN POR EL TRANS.DE COMBUSTIBLES LIQUIDOS DERIVADOS DEL PETRÓLEO ENTRE LAS CIUDADES YUMBO Y SAN JUAN DE PASTO</w:t>
            </w:r>
          </w:p>
        </w:tc>
        <w:tc>
          <w:tcPr>
            <w:tcW w:w="1417" w:type="dxa"/>
            <w:tcBorders>
              <w:top w:val="nil"/>
              <w:left w:val="nil"/>
              <w:bottom w:val="single" w:sz="4" w:space="0" w:color="auto"/>
              <w:right w:val="single" w:sz="4" w:space="0" w:color="auto"/>
            </w:tcBorders>
            <w:shd w:val="clear" w:color="auto" w:fill="auto"/>
            <w:noWrap/>
            <w:vAlign w:val="center"/>
            <w:hideMark/>
          </w:tcPr>
          <w:p w14:paraId="2ADDF449"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3.582 </w:t>
            </w:r>
          </w:p>
        </w:tc>
        <w:tc>
          <w:tcPr>
            <w:tcW w:w="1560" w:type="dxa"/>
            <w:tcBorders>
              <w:top w:val="nil"/>
              <w:left w:val="nil"/>
              <w:bottom w:val="single" w:sz="4" w:space="0" w:color="auto"/>
              <w:right w:val="single" w:sz="8" w:space="0" w:color="auto"/>
            </w:tcBorders>
            <w:shd w:val="clear" w:color="auto" w:fill="auto"/>
            <w:vAlign w:val="center"/>
            <w:hideMark/>
          </w:tcPr>
          <w:p w14:paraId="1FF15988"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8 DE JUNIO DE 2018</w:t>
            </w:r>
          </w:p>
        </w:tc>
      </w:tr>
      <w:tr w:rsidR="009A02CD" w:rsidRPr="000E4CAF" w14:paraId="7C66082F" w14:textId="77777777" w:rsidTr="00BC1C03">
        <w:trPr>
          <w:trHeight w:val="573"/>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0B0B2182"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GIRO A EMPRESAS DISTRIBUIDORAS MAYORISTAS DE GLP, FACTURAS MES DE FEBRERO 2018, ENTRE LAS CIUDADES DE YUMBO Y SAN JUAN DE PAST</w:t>
            </w:r>
          </w:p>
        </w:tc>
        <w:tc>
          <w:tcPr>
            <w:tcW w:w="1417" w:type="dxa"/>
            <w:tcBorders>
              <w:top w:val="nil"/>
              <w:left w:val="nil"/>
              <w:bottom w:val="single" w:sz="4" w:space="0" w:color="auto"/>
              <w:right w:val="single" w:sz="4" w:space="0" w:color="auto"/>
            </w:tcBorders>
            <w:shd w:val="clear" w:color="auto" w:fill="auto"/>
            <w:noWrap/>
            <w:vAlign w:val="center"/>
            <w:hideMark/>
          </w:tcPr>
          <w:p w14:paraId="45112B07"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847 </w:t>
            </w:r>
          </w:p>
        </w:tc>
        <w:tc>
          <w:tcPr>
            <w:tcW w:w="1560" w:type="dxa"/>
            <w:tcBorders>
              <w:top w:val="nil"/>
              <w:left w:val="nil"/>
              <w:bottom w:val="single" w:sz="4" w:space="0" w:color="auto"/>
              <w:right w:val="single" w:sz="8" w:space="0" w:color="auto"/>
            </w:tcBorders>
            <w:shd w:val="clear" w:color="auto" w:fill="auto"/>
            <w:vAlign w:val="center"/>
            <w:hideMark/>
          </w:tcPr>
          <w:p w14:paraId="3EAC8B3A"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6 DE ABRIL DE 2018</w:t>
            </w:r>
          </w:p>
        </w:tc>
      </w:tr>
      <w:tr w:rsidR="009A02CD" w:rsidRPr="000E4CAF" w14:paraId="1D151533" w14:textId="77777777" w:rsidTr="00BC1C03">
        <w:trPr>
          <w:trHeight w:val="978"/>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7154E44A"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GIRO A EMPRESAS DISTRIBUIDORAS MAYORISTAS DE GLP, MES DE MAYO (SERVICIOS ABRIL 2018), CAUSADOS POR COMPENSACIÓN POR EL TRANSPORT.DE COMBUSTIBLES LIQUIDOS DERIVADOS DEL PETRÓLEO ENTRE LAS CIUDADES DE YUMBO Y SAN JUAN DE PASTO DE QUE TRATA EL ART.55</w:t>
            </w:r>
          </w:p>
        </w:tc>
        <w:tc>
          <w:tcPr>
            <w:tcW w:w="1417" w:type="dxa"/>
            <w:tcBorders>
              <w:top w:val="nil"/>
              <w:left w:val="nil"/>
              <w:bottom w:val="single" w:sz="4" w:space="0" w:color="auto"/>
              <w:right w:val="single" w:sz="4" w:space="0" w:color="auto"/>
            </w:tcBorders>
            <w:shd w:val="clear" w:color="auto" w:fill="auto"/>
            <w:noWrap/>
            <w:vAlign w:val="center"/>
            <w:hideMark/>
          </w:tcPr>
          <w:p w14:paraId="60C6D667"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862 </w:t>
            </w:r>
          </w:p>
        </w:tc>
        <w:tc>
          <w:tcPr>
            <w:tcW w:w="1560" w:type="dxa"/>
            <w:tcBorders>
              <w:top w:val="nil"/>
              <w:left w:val="nil"/>
              <w:bottom w:val="single" w:sz="4" w:space="0" w:color="auto"/>
              <w:right w:val="single" w:sz="8" w:space="0" w:color="auto"/>
            </w:tcBorders>
            <w:shd w:val="clear" w:color="auto" w:fill="auto"/>
            <w:vAlign w:val="center"/>
            <w:hideMark/>
          </w:tcPr>
          <w:p w14:paraId="471C206F"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8 DE JUNO DE 2018</w:t>
            </w:r>
          </w:p>
        </w:tc>
      </w:tr>
      <w:tr w:rsidR="009A02CD" w:rsidRPr="000E4CAF" w14:paraId="7EB6F5AB" w14:textId="77777777" w:rsidTr="00BC1C03">
        <w:trPr>
          <w:trHeight w:val="837"/>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4CDAF4F5"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GIRO A EMPRESAS DISTRIBUIDORAS MAYORISTAS POR LA COMPENSACIÓN POR EL TRANSPORTE DE COMBUSTIBLES LÍQUIDOS DERIVADOS DEL PETRÓLEO ENTRE LAS CIUDADES DE YUMBO Y PASTO. FACTURAS DE JUNIO DE 2018</w:t>
            </w:r>
          </w:p>
        </w:tc>
        <w:tc>
          <w:tcPr>
            <w:tcW w:w="1417" w:type="dxa"/>
            <w:tcBorders>
              <w:top w:val="nil"/>
              <w:left w:val="nil"/>
              <w:bottom w:val="single" w:sz="4" w:space="0" w:color="auto"/>
              <w:right w:val="single" w:sz="4" w:space="0" w:color="auto"/>
            </w:tcBorders>
            <w:shd w:val="clear" w:color="auto" w:fill="auto"/>
            <w:noWrap/>
            <w:vAlign w:val="center"/>
            <w:hideMark/>
          </w:tcPr>
          <w:p w14:paraId="06F43406"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3.544 </w:t>
            </w:r>
          </w:p>
        </w:tc>
        <w:tc>
          <w:tcPr>
            <w:tcW w:w="1560" w:type="dxa"/>
            <w:tcBorders>
              <w:top w:val="nil"/>
              <w:left w:val="nil"/>
              <w:bottom w:val="single" w:sz="4" w:space="0" w:color="auto"/>
              <w:right w:val="single" w:sz="8" w:space="0" w:color="auto"/>
            </w:tcBorders>
            <w:shd w:val="clear" w:color="auto" w:fill="auto"/>
            <w:vAlign w:val="center"/>
            <w:hideMark/>
          </w:tcPr>
          <w:p w14:paraId="617C7590"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27 DE JUNIO DE 2018</w:t>
            </w:r>
          </w:p>
        </w:tc>
      </w:tr>
      <w:tr w:rsidR="009A02CD" w:rsidRPr="000E4CAF" w14:paraId="7D35D987" w14:textId="77777777" w:rsidTr="00BC1C03">
        <w:trPr>
          <w:trHeight w:val="848"/>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4BFB9197"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GIRO A EMPRESAS DISTRIBUIDORAS MAYORISTAS POR LA COMPENSACIÓN POR EL TRANSPORTE DE COMBUSTIBLES LÍQUIDOS DERIVADOS DEL PETRÓLEO GLP ENTRE LAS CIUDADES DE YUMBO Y PASTO. FACTURAS DE JUNIO DE 2018</w:t>
            </w:r>
          </w:p>
        </w:tc>
        <w:tc>
          <w:tcPr>
            <w:tcW w:w="1417" w:type="dxa"/>
            <w:tcBorders>
              <w:top w:val="nil"/>
              <w:left w:val="nil"/>
              <w:bottom w:val="single" w:sz="4" w:space="0" w:color="auto"/>
              <w:right w:val="single" w:sz="4" w:space="0" w:color="auto"/>
            </w:tcBorders>
            <w:shd w:val="clear" w:color="auto" w:fill="auto"/>
            <w:noWrap/>
            <w:vAlign w:val="center"/>
            <w:hideMark/>
          </w:tcPr>
          <w:p w14:paraId="0D0D1A10"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791 </w:t>
            </w:r>
          </w:p>
        </w:tc>
        <w:tc>
          <w:tcPr>
            <w:tcW w:w="1560" w:type="dxa"/>
            <w:tcBorders>
              <w:top w:val="nil"/>
              <w:left w:val="nil"/>
              <w:bottom w:val="single" w:sz="4" w:space="0" w:color="auto"/>
              <w:right w:val="single" w:sz="8" w:space="0" w:color="auto"/>
            </w:tcBorders>
            <w:shd w:val="clear" w:color="auto" w:fill="auto"/>
            <w:vAlign w:val="center"/>
            <w:hideMark/>
          </w:tcPr>
          <w:p w14:paraId="4AAD80DF"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27 DE JUNIO DE 2018</w:t>
            </w:r>
          </w:p>
        </w:tc>
      </w:tr>
      <w:tr w:rsidR="009A02CD" w:rsidRPr="000E4CAF" w14:paraId="75A2C04C" w14:textId="77777777" w:rsidTr="00BC1C03">
        <w:trPr>
          <w:trHeight w:val="888"/>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15E70D2D"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PAGO EMPRESAS DISTRIBUIDORAS MAYORISTAS DE COMBUSTIBLES LIQUIDOS DERIVADOS DEL PETRÓLEO, ENTRE YUMBO Y SAN JUAN DE PASTO, CORRESPONDIENTE A LAS FRAS MES DE ABRIL 2018 (SERVICIOS MES DE MARZO)</w:t>
            </w:r>
          </w:p>
        </w:tc>
        <w:tc>
          <w:tcPr>
            <w:tcW w:w="1417" w:type="dxa"/>
            <w:tcBorders>
              <w:top w:val="nil"/>
              <w:left w:val="nil"/>
              <w:bottom w:val="single" w:sz="4" w:space="0" w:color="auto"/>
              <w:right w:val="single" w:sz="4" w:space="0" w:color="auto"/>
            </w:tcBorders>
            <w:shd w:val="clear" w:color="auto" w:fill="auto"/>
            <w:noWrap/>
            <w:vAlign w:val="center"/>
            <w:hideMark/>
          </w:tcPr>
          <w:p w14:paraId="5BF13802"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3.478 </w:t>
            </w:r>
          </w:p>
        </w:tc>
        <w:tc>
          <w:tcPr>
            <w:tcW w:w="1560" w:type="dxa"/>
            <w:tcBorders>
              <w:top w:val="nil"/>
              <w:left w:val="nil"/>
              <w:bottom w:val="single" w:sz="4" w:space="0" w:color="auto"/>
              <w:right w:val="single" w:sz="8" w:space="0" w:color="auto"/>
            </w:tcBorders>
            <w:shd w:val="clear" w:color="auto" w:fill="auto"/>
            <w:vAlign w:val="center"/>
            <w:hideMark/>
          </w:tcPr>
          <w:p w14:paraId="4FFE9B90"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22 DE MAYO DE 2018</w:t>
            </w:r>
          </w:p>
        </w:tc>
      </w:tr>
      <w:tr w:rsidR="009A02CD" w:rsidRPr="000E4CAF" w14:paraId="1B11A1E9" w14:textId="77777777" w:rsidTr="00BC1C03">
        <w:trPr>
          <w:trHeight w:val="831"/>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7FB80D68"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t>PAGO EMPRESAS DISTRIBUIDORAS MAYORISTAS DE GLP POR TRANSPORTE DE COMBUSTIBLES LIQUIDOS DERIVADOS DEL PETRÓLEO, ENTRE YUMBO Y SAN JUAN DE PASTO, CORRESPONDIENTE A LAS FRAS MES DE ABRIL 2018 (SERVICIOS MES DE MARZO)</w:t>
            </w:r>
          </w:p>
        </w:tc>
        <w:tc>
          <w:tcPr>
            <w:tcW w:w="1417" w:type="dxa"/>
            <w:tcBorders>
              <w:top w:val="nil"/>
              <w:left w:val="nil"/>
              <w:bottom w:val="single" w:sz="4" w:space="0" w:color="auto"/>
              <w:right w:val="single" w:sz="4" w:space="0" w:color="auto"/>
            </w:tcBorders>
            <w:shd w:val="clear" w:color="auto" w:fill="auto"/>
            <w:noWrap/>
            <w:vAlign w:val="center"/>
            <w:hideMark/>
          </w:tcPr>
          <w:p w14:paraId="52E73AE7"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831 </w:t>
            </w:r>
          </w:p>
        </w:tc>
        <w:tc>
          <w:tcPr>
            <w:tcW w:w="1560" w:type="dxa"/>
            <w:tcBorders>
              <w:top w:val="nil"/>
              <w:left w:val="nil"/>
              <w:bottom w:val="single" w:sz="4" w:space="0" w:color="auto"/>
              <w:right w:val="single" w:sz="8" w:space="0" w:color="auto"/>
            </w:tcBorders>
            <w:shd w:val="clear" w:color="auto" w:fill="auto"/>
            <w:vAlign w:val="center"/>
            <w:hideMark/>
          </w:tcPr>
          <w:p w14:paraId="0BCB8DF5"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22 DE MAYO DE 2018</w:t>
            </w:r>
          </w:p>
        </w:tc>
      </w:tr>
      <w:tr w:rsidR="009A02CD" w:rsidRPr="000E4CAF" w14:paraId="7C2F9870" w14:textId="77777777" w:rsidTr="00BC1C03">
        <w:trPr>
          <w:trHeight w:val="1045"/>
        </w:trPr>
        <w:tc>
          <w:tcPr>
            <w:tcW w:w="6511" w:type="dxa"/>
            <w:tcBorders>
              <w:top w:val="nil"/>
              <w:left w:val="single" w:sz="8" w:space="0" w:color="auto"/>
              <w:bottom w:val="single" w:sz="4" w:space="0" w:color="auto"/>
              <w:right w:val="single" w:sz="4" w:space="0" w:color="auto"/>
            </w:tcBorders>
            <w:shd w:val="clear" w:color="auto" w:fill="auto"/>
            <w:vAlign w:val="center"/>
            <w:hideMark/>
          </w:tcPr>
          <w:p w14:paraId="0E7D1A13" w14:textId="77777777" w:rsidR="009A02CD" w:rsidRPr="00185D32" w:rsidRDefault="009A02CD" w:rsidP="00BC1C03">
            <w:pPr>
              <w:spacing w:after="0" w:line="240" w:lineRule="auto"/>
              <w:jc w:val="both"/>
              <w:rPr>
                <w:rFonts w:eastAsia="Times New Roman"/>
                <w:color w:val="000000"/>
                <w:sz w:val="18"/>
                <w:szCs w:val="18"/>
                <w:lang w:eastAsia="es-CO"/>
              </w:rPr>
            </w:pPr>
            <w:r w:rsidRPr="00185D32">
              <w:rPr>
                <w:rFonts w:eastAsia="Times New Roman"/>
                <w:color w:val="000000"/>
                <w:sz w:val="18"/>
                <w:szCs w:val="18"/>
                <w:lang w:eastAsia="es-CO"/>
              </w:rPr>
              <w:lastRenderedPageBreak/>
              <w:t>SERVICIO DE CONTROL E INSPECCIÓN AL TRANSPORTE DE COMBUSTIBLES LÍQUIDOS Y GLP, INCLUYENDO LA VERIFICACIÓN, ASEGURAMIENTO Y CONSERVACIÓN DE LA NFORMACIÓN Y SOPORTES DOCUMENTALES DE CADA UNA DE LAS ACTUACIONES PROPIAS DE LA ACTIVIDAD. VTO: 31/07/2018</w:t>
            </w:r>
          </w:p>
        </w:tc>
        <w:tc>
          <w:tcPr>
            <w:tcW w:w="1417" w:type="dxa"/>
            <w:tcBorders>
              <w:top w:val="nil"/>
              <w:left w:val="nil"/>
              <w:bottom w:val="single" w:sz="4" w:space="0" w:color="auto"/>
              <w:right w:val="single" w:sz="4" w:space="0" w:color="auto"/>
            </w:tcBorders>
            <w:shd w:val="clear" w:color="auto" w:fill="auto"/>
            <w:noWrap/>
            <w:vAlign w:val="center"/>
            <w:hideMark/>
          </w:tcPr>
          <w:p w14:paraId="705E07BE"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 xml:space="preserve"> $              454 </w:t>
            </w:r>
          </w:p>
        </w:tc>
        <w:tc>
          <w:tcPr>
            <w:tcW w:w="1560" w:type="dxa"/>
            <w:tcBorders>
              <w:top w:val="nil"/>
              <w:left w:val="nil"/>
              <w:bottom w:val="single" w:sz="4" w:space="0" w:color="auto"/>
              <w:right w:val="single" w:sz="8" w:space="0" w:color="auto"/>
            </w:tcBorders>
            <w:shd w:val="clear" w:color="auto" w:fill="auto"/>
            <w:vAlign w:val="center"/>
            <w:hideMark/>
          </w:tcPr>
          <w:p w14:paraId="625BF0BE" w14:textId="77777777" w:rsidR="009A02CD" w:rsidRPr="00185D32" w:rsidRDefault="009A02CD" w:rsidP="00BC1C03">
            <w:pPr>
              <w:spacing w:after="0" w:line="240" w:lineRule="auto"/>
              <w:jc w:val="center"/>
              <w:rPr>
                <w:rFonts w:eastAsia="Times New Roman"/>
                <w:color w:val="000000"/>
                <w:sz w:val="18"/>
                <w:szCs w:val="18"/>
                <w:lang w:eastAsia="es-CO"/>
              </w:rPr>
            </w:pPr>
            <w:r w:rsidRPr="00185D32">
              <w:rPr>
                <w:rFonts w:eastAsia="Times New Roman"/>
                <w:color w:val="000000"/>
                <w:sz w:val="18"/>
                <w:szCs w:val="18"/>
                <w:lang w:eastAsia="es-CO"/>
              </w:rPr>
              <w:t>9 Y 27 DE ABRIL, 23 DE MAYO  Y 26 DE JUNIO DE 2018</w:t>
            </w:r>
          </w:p>
        </w:tc>
      </w:tr>
      <w:tr w:rsidR="009A02CD" w:rsidRPr="000E4CAF" w14:paraId="4F5E6C0E" w14:textId="77777777" w:rsidTr="00BC1C03">
        <w:trPr>
          <w:trHeight w:val="315"/>
        </w:trPr>
        <w:tc>
          <w:tcPr>
            <w:tcW w:w="7928" w:type="dxa"/>
            <w:gridSpan w:val="2"/>
            <w:tcBorders>
              <w:top w:val="single" w:sz="4" w:space="0" w:color="auto"/>
              <w:left w:val="single" w:sz="8" w:space="0" w:color="auto"/>
              <w:bottom w:val="single" w:sz="8" w:space="0" w:color="auto"/>
              <w:right w:val="single" w:sz="4" w:space="0" w:color="auto"/>
            </w:tcBorders>
            <w:shd w:val="clear" w:color="auto" w:fill="17365D"/>
            <w:noWrap/>
            <w:vAlign w:val="center"/>
            <w:hideMark/>
          </w:tcPr>
          <w:p w14:paraId="48F804B6"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1560" w:type="dxa"/>
            <w:tcBorders>
              <w:top w:val="nil"/>
              <w:left w:val="nil"/>
              <w:bottom w:val="single" w:sz="8" w:space="0" w:color="auto"/>
              <w:right w:val="single" w:sz="8" w:space="0" w:color="auto"/>
            </w:tcBorders>
            <w:shd w:val="clear" w:color="auto" w:fill="17365D"/>
            <w:noWrap/>
            <w:vAlign w:val="center"/>
            <w:hideMark/>
          </w:tcPr>
          <w:p w14:paraId="6DD9960D" w14:textId="77777777" w:rsidR="009A02CD" w:rsidRPr="00185D32" w:rsidRDefault="009A02CD" w:rsidP="00BC1C03">
            <w:pPr>
              <w:spacing w:after="0" w:line="240" w:lineRule="auto"/>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17.925 </w:t>
            </w:r>
          </w:p>
        </w:tc>
      </w:tr>
    </w:tbl>
    <w:p w14:paraId="60C20EFB"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0FC58C5A"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5E869944" w14:textId="77777777" w:rsidR="00C02282" w:rsidRPr="006A67B4" w:rsidRDefault="00C02282" w:rsidP="00C02282">
      <w:pPr>
        <w:spacing w:after="0" w:line="240" w:lineRule="auto"/>
        <w:jc w:val="center"/>
        <w:rPr>
          <w:rFonts w:ascii="Arial" w:eastAsia="Calibri" w:hAnsi="Arial" w:cs="Arial"/>
          <w:highlight w:val="yellow"/>
        </w:rPr>
      </w:pPr>
    </w:p>
    <w:p w14:paraId="6CB2B5B8" w14:textId="77777777" w:rsidR="00C02282" w:rsidRPr="009A02CD" w:rsidRDefault="00C02282" w:rsidP="00C02282">
      <w:pPr>
        <w:spacing w:after="0" w:line="240" w:lineRule="auto"/>
        <w:jc w:val="both"/>
        <w:rPr>
          <w:rFonts w:ascii="Arial" w:eastAsia="Arial" w:hAnsi="Arial" w:cs="Arial"/>
          <w:b/>
          <w:szCs w:val="20"/>
          <w:u w:val="single"/>
        </w:rPr>
      </w:pPr>
      <w:r w:rsidRPr="009A02CD">
        <w:rPr>
          <w:rFonts w:ascii="Arial" w:eastAsia="Arial" w:hAnsi="Arial" w:cs="Arial"/>
          <w:b/>
          <w:szCs w:val="20"/>
          <w:u w:val="single"/>
        </w:rPr>
        <w:t>Fondos:</w:t>
      </w:r>
    </w:p>
    <w:p w14:paraId="1EF242E4" w14:textId="77777777" w:rsidR="00C02282" w:rsidRPr="009A02CD" w:rsidRDefault="00C02282" w:rsidP="00C02282">
      <w:pPr>
        <w:spacing w:after="0" w:line="240" w:lineRule="auto"/>
        <w:jc w:val="both"/>
        <w:rPr>
          <w:rFonts w:ascii="Arial" w:eastAsia="Arial" w:hAnsi="Arial" w:cs="Arial"/>
          <w:b/>
          <w:szCs w:val="20"/>
          <w:u w:val="single"/>
        </w:rPr>
      </w:pPr>
    </w:p>
    <w:p w14:paraId="4EFCDFA5" w14:textId="77777777" w:rsidR="00C02282" w:rsidRPr="009A02CD" w:rsidRDefault="00C02282" w:rsidP="00C02282">
      <w:pPr>
        <w:spacing w:after="0" w:line="240" w:lineRule="auto"/>
        <w:jc w:val="center"/>
        <w:rPr>
          <w:rFonts w:ascii="Arial" w:eastAsia="Times New Roman" w:hAnsi="Arial" w:cs="Arial"/>
          <w:b/>
          <w:szCs w:val="20"/>
          <w:u w:val="single"/>
          <w:lang w:val="es-ES" w:eastAsia="es-ES"/>
        </w:rPr>
      </w:pPr>
    </w:p>
    <w:p w14:paraId="561CAD55" w14:textId="77777777" w:rsidR="00C02282" w:rsidRPr="009A02CD" w:rsidRDefault="00C02282" w:rsidP="008B4625">
      <w:pPr>
        <w:numPr>
          <w:ilvl w:val="0"/>
          <w:numId w:val="29"/>
        </w:numPr>
        <w:spacing w:after="0" w:line="240" w:lineRule="auto"/>
        <w:ind w:left="426"/>
        <w:jc w:val="both"/>
        <w:rPr>
          <w:rFonts w:ascii="Arial" w:eastAsia="Times New Roman" w:hAnsi="Arial" w:cs="Arial"/>
          <w:b/>
          <w:szCs w:val="20"/>
          <w:lang w:val="es-ES" w:eastAsia="es-ES"/>
        </w:rPr>
      </w:pPr>
      <w:r w:rsidRPr="009A02CD">
        <w:rPr>
          <w:rFonts w:ascii="Arial" w:eastAsia="Times New Roman" w:hAnsi="Arial" w:cs="Arial"/>
          <w:b/>
          <w:szCs w:val="20"/>
          <w:lang w:val="es-ES" w:eastAsia="es-ES"/>
        </w:rPr>
        <w:t>Desarrollo de Infraestructura de Transporte, Distribución y Conexión del Servicio Público de gas Natural a Nivel Nacional:</w:t>
      </w:r>
    </w:p>
    <w:p w14:paraId="25328167" w14:textId="77777777" w:rsidR="00C02282" w:rsidRPr="006A67B4" w:rsidRDefault="00C02282" w:rsidP="00C02282">
      <w:pPr>
        <w:spacing w:after="0" w:line="240" w:lineRule="auto"/>
        <w:ind w:left="426"/>
        <w:jc w:val="both"/>
        <w:rPr>
          <w:rFonts w:ascii="Arial" w:eastAsia="Times New Roman" w:hAnsi="Arial" w:cs="Arial"/>
          <w:b/>
          <w:szCs w:val="20"/>
          <w:highlight w:val="yellow"/>
          <w:lang w:val="es-ES" w:eastAsia="es-ES"/>
        </w:rPr>
      </w:pPr>
    </w:p>
    <w:p w14:paraId="74724846" w14:textId="77777777" w:rsidR="009A02CD" w:rsidRPr="00F45106" w:rsidRDefault="009A02CD" w:rsidP="009A02CD">
      <w:pPr>
        <w:spacing w:after="0" w:line="240" w:lineRule="auto"/>
        <w:jc w:val="both"/>
        <w:rPr>
          <w:rFonts w:ascii="Arial" w:eastAsia="Arial" w:hAnsi="Arial" w:cs="Arial"/>
          <w:szCs w:val="20"/>
        </w:rPr>
      </w:pPr>
      <w:r w:rsidRPr="00F45106">
        <w:rPr>
          <w:rFonts w:ascii="Arial" w:eastAsia="Arial" w:hAnsi="Arial" w:cs="Arial"/>
          <w:szCs w:val="20"/>
        </w:rPr>
        <w:t xml:space="preserve">Este proyecto cuenta con una apropiación vigente de $6.853 millones de pesos, de los cuales al cierre del segundo trimestre se comprometieron $6.853 millones de pesos, equivalentes a un 100,00% de ejecución. </w:t>
      </w:r>
    </w:p>
    <w:p w14:paraId="5F4B9166" w14:textId="77777777" w:rsidR="009A02CD" w:rsidRPr="00F45106" w:rsidRDefault="009A02CD" w:rsidP="009A02CD">
      <w:pPr>
        <w:spacing w:after="0" w:line="240" w:lineRule="auto"/>
        <w:jc w:val="both"/>
        <w:rPr>
          <w:rFonts w:ascii="Arial" w:eastAsia="Arial" w:hAnsi="Arial" w:cs="Arial"/>
          <w:szCs w:val="20"/>
        </w:rPr>
      </w:pPr>
    </w:p>
    <w:p w14:paraId="7115EC83" w14:textId="77777777" w:rsidR="009A02CD" w:rsidRDefault="009A02CD" w:rsidP="009A02CD">
      <w:pPr>
        <w:spacing w:after="0" w:line="240" w:lineRule="auto"/>
        <w:jc w:val="both"/>
        <w:rPr>
          <w:rFonts w:ascii="Arial" w:eastAsia="Arial" w:hAnsi="Arial" w:cs="Arial"/>
          <w:szCs w:val="20"/>
        </w:rPr>
      </w:pPr>
      <w:r w:rsidRPr="00F45106">
        <w:rPr>
          <w:rFonts w:ascii="Arial" w:eastAsia="Arial" w:hAnsi="Arial" w:cs="Arial"/>
          <w:szCs w:val="20"/>
        </w:rPr>
        <w:t>En cuanto a las obligaciones, durante el segundo trimestre de 2018 se ejecutaron recursos por $1.717 millones como se evidencia en el siguiente cuadro.</w:t>
      </w:r>
      <w:r>
        <w:rPr>
          <w:rFonts w:ascii="Arial" w:eastAsia="Arial" w:hAnsi="Arial" w:cs="Arial"/>
          <w:szCs w:val="20"/>
        </w:rPr>
        <w:t xml:space="preserve"> </w:t>
      </w:r>
      <w:r w:rsidRPr="00F45106">
        <w:rPr>
          <w:rFonts w:ascii="Arial" w:eastAsia="Arial" w:hAnsi="Arial" w:cs="Arial"/>
          <w:szCs w:val="20"/>
        </w:rPr>
        <w:t>Estas obligaciones corresponden al 25,15% de ejecución al cierre de junio de 2018.</w:t>
      </w:r>
    </w:p>
    <w:p w14:paraId="1A1F717A" w14:textId="77777777" w:rsidR="00D85753" w:rsidRDefault="00D85753" w:rsidP="009A02CD">
      <w:pPr>
        <w:spacing w:after="0" w:line="240" w:lineRule="auto"/>
        <w:jc w:val="both"/>
        <w:rPr>
          <w:rFonts w:ascii="Arial" w:eastAsia="Arial" w:hAnsi="Arial" w:cs="Arial"/>
          <w:szCs w:val="20"/>
        </w:rPr>
      </w:pPr>
    </w:p>
    <w:p w14:paraId="1BAD2FDC" w14:textId="167D64E8" w:rsidR="00C02282" w:rsidRPr="009A02CD" w:rsidRDefault="00C02282" w:rsidP="00C02282">
      <w:pPr>
        <w:pStyle w:val="Descripcin"/>
        <w:keepNext/>
        <w:jc w:val="center"/>
      </w:pPr>
      <w:bookmarkStart w:id="40" w:name="_Toc525652461"/>
      <w:r w:rsidRPr="009A02CD">
        <w:t xml:space="preserve">Tabla </w:t>
      </w:r>
      <w:r w:rsidRPr="009A02CD">
        <w:fldChar w:fldCharType="begin"/>
      </w:r>
      <w:r w:rsidRPr="009A02CD">
        <w:instrText xml:space="preserve"> SEQ Tabla \* ARABIC </w:instrText>
      </w:r>
      <w:r w:rsidRPr="009A02CD">
        <w:fldChar w:fldCharType="separate"/>
      </w:r>
      <w:r w:rsidR="008B4625">
        <w:rPr>
          <w:noProof/>
        </w:rPr>
        <w:t>15</w:t>
      </w:r>
      <w:r w:rsidRPr="009A02CD">
        <w:fldChar w:fldCharType="end"/>
      </w:r>
      <w:r w:rsidRPr="009A02CD">
        <w:t xml:space="preserve"> </w:t>
      </w:r>
      <w:r w:rsidR="009A02CD" w:rsidRPr="009A02CD">
        <w:t xml:space="preserve">Segundo </w:t>
      </w:r>
      <w:r w:rsidRPr="009A02CD">
        <w:t>Trimestre Infraestructura y Transporte / Obligaciones MME</w:t>
      </w:r>
      <w:bookmarkEnd w:id="40"/>
    </w:p>
    <w:tbl>
      <w:tblPr>
        <w:tblW w:w="9629" w:type="dxa"/>
        <w:tblCellMar>
          <w:left w:w="70" w:type="dxa"/>
          <w:right w:w="70" w:type="dxa"/>
        </w:tblCellMar>
        <w:tblLook w:val="04A0" w:firstRow="1" w:lastRow="0" w:firstColumn="1" w:lastColumn="0" w:noHBand="0" w:noVBand="1"/>
      </w:tblPr>
      <w:tblGrid>
        <w:gridCol w:w="6653"/>
        <w:gridCol w:w="1134"/>
        <w:gridCol w:w="1842"/>
      </w:tblGrid>
      <w:tr w:rsidR="009A02CD" w:rsidRPr="000E4CAF" w14:paraId="34C443A0" w14:textId="77777777" w:rsidTr="00D93790">
        <w:trPr>
          <w:trHeight w:val="345"/>
          <w:tblHeader/>
        </w:trPr>
        <w:tc>
          <w:tcPr>
            <w:tcW w:w="9629"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3DC11EB8"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DESARROLLO DE LA INFRAESTRECTURA (Nuevo) - OBLIGACIONES</w:t>
            </w:r>
          </w:p>
        </w:tc>
      </w:tr>
      <w:tr w:rsidR="009A02CD" w:rsidRPr="000E4CAF" w14:paraId="12F71F67" w14:textId="77777777" w:rsidTr="00D93790">
        <w:trPr>
          <w:trHeight w:val="315"/>
          <w:tblHeader/>
        </w:trPr>
        <w:tc>
          <w:tcPr>
            <w:tcW w:w="6653" w:type="dxa"/>
            <w:tcBorders>
              <w:top w:val="nil"/>
              <w:left w:val="single" w:sz="8" w:space="0" w:color="auto"/>
              <w:bottom w:val="nil"/>
              <w:right w:val="single" w:sz="4" w:space="0" w:color="auto"/>
            </w:tcBorders>
            <w:shd w:val="clear" w:color="auto" w:fill="17365D"/>
            <w:noWrap/>
            <w:vAlign w:val="center"/>
            <w:hideMark/>
          </w:tcPr>
          <w:p w14:paraId="68630F3D"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Resolución</w:t>
            </w:r>
          </w:p>
        </w:tc>
        <w:tc>
          <w:tcPr>
            <w:tcW w:w="1134" w:type="dxa"/>
            <w:tcBorders>
              <w:top w:val="nil"/>
              <w:left w:val="nil"/>
              <w:bottom w:val="nil"/>
              <w:right w:val="single" w:sz="4" w:space="0" w:color="auto"/>
            </w:tcBorders>
            <w:shd w:val="clear" w:color="auto" w:fill="17365D"/>
            <w:noWrap/>
            <w:vAlign w:val="bottom"/>
            <w:hideMark/>
          </w:tcPr>
          <w:p w14:paraId="3B4C8741"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Valor</w:t>
            </w:r>
          </w:p>
        </w:tc>
        <w:tc>
          <w:tcPr>
            <w:tcW w:w="1842" w:type="dxa"/>
            <w:tcBorders>
              <w:top w:val="nil"/>
              <w:left w:val="nil"/>
              <w:bottom w:val="nil"/>
              <w:right w:val="single" w:sz="8" w:space="0" w:color="auto"/>
            </w:tcBorders>
            <w:shd w:val="clear" w:color="auto" w:fill="17365D"/>
            <w:noWrap/>
            <w:vAlign w:val="center"/>
            <w:hideMark/>
          </w:tcPr>
          <w:p w14:paraId="01ED9844"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Fecha</w:t>
            </w:r>
          </w:p>
        </w:tc>
      </w:tr>
      <w:tr w:rsidR="009A02CD" w:rsidRPr="000E4CAF" w14:paraId="509DFB8D" w14:textId="77777777" w:rsidTr="00BC1C03">
        <w:trPr>
          <w:trHeight w:val="843"/>
        </w:trPr>
        <w:tc>
          <w:tcPr>
            <w:tcW w:w="665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D7C7CD3"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ACTIVIDADES DE APOYO A LA GESTIÓN Y SEGUIMIENTO DEL PROYECTO "DESARROLLO DE INFRAESTRUCTURA DE TRANSPORTE, DISTRIBUCIÓN Y CONEXIÓN DEL SERVICIO PÚBLICO DE GAS NATURAL A NIVEL NACIONAL"</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BCD834C"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18 </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14:paraId="3632A984"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II TRIMESTRE DE 2018</w:t>
            </w:r>
          </w:p>
        </w:tc>
      </w:tr>
      <w:tr w:rsidR="009A02CD" w:rsidRPr="000E4CAF" w14:paraId="6AB55614" w14:textId="77777777" w:rsidTr="00BC1C03">
        <w:trPr>
          <w:trHeight w:val="1006"/>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57C83ED1"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COFINANCIACIÓN PARA LA CONSTRUCCIÓN DEL SISTEMA DE DISTRIBUCIÓN DE GAS NATURAL, CONTEMPLADO EN EL PROYECTO: "IMPLEMENTACIÓN DEL SERVICIO DE GAS NATURAL EN EL SECTOR RURAL DE SAN JOSÉ DEL PARE DPTO DE BOYACÁ"</w:t>
            </w:r>
          </w:p>
        </w:tc>
        <w:tc>
          <w:tcPr>
            <w:tcW w:w="1134" w:type="dxa"/>
            <w:tcBorders>
              <w:top w:val="nil"/>
              <w:left w:val="nil"/>
              <w:bottom w:val="single" w:sz="4" w:space="0" w:color="auto"/>
              <w:right w:val="single" w:sz="4" w:space="0" w:color="auto"/>
            </w:tcBorders>
            <w:shd w:val="clear" w:color="auto" w:fill="auto"/>
            <w:vAlign w:val="center"/>
            <w:hideMark/>
          </w:tcPr>
          <w:p w14:paraId="381EB5A9"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479 </w:t>
            </w:r>
          </w:p>
        </w:tc>
        <w:tc>
          <w:tcPr>
            <w:tcW w:w="1842" w:type="dxa"/>
            <w:tcBorders>
              <w:top w:val="nil"/>
              <w:left w:val="nil"/>
              <w:bottom w:val="single" w:sz="4" w:space="0" w:color="auto"/>
              <w:right w:val="single" w:sz="8" w:space="0" w:color="auto"/>
            </w:tcBorders>
            <w:shd w:val="clear" w:color="auto" w:fill="auto"/>
            <w:vAlign w:val="center"/>
            <w:hideMark/>
          </w:tcPr>
          <w:p w14:paraId="0D2BF727"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27 DE ABRIL  Y 20 DE JUNIO DE 2018</w:t>
            </w:r>
          </w:p>
        </w:tc>
      </w:tr>
      <w:tr w:rsidR="009A02CD" w:rsidRPr="000E4CAF" w14:paraId="224CAC6C" w14:textId="77777777" w:rsidTr="00BC1C03">
        <w:trPr>
          <w:trHeight w:val="979"/>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49B41EF9"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COFINANCIACIÓN POR PARTE DEL MME PARA LA EJECUCIÓN AL PROY: "DESCRIPCIÓN DEL PROYECTO CONSTRUCCIONES DE CONEXIONES DE GAS NATURAL PARA LOS USUARIOS DE MENORES INGRESOS DE MUNICIPIOS DPTO DE CALDAS, QUINDIO Y RISARALDA", CONSTRUCCIÓN E INSTALACIÓN</w:t>
            </w:r>
          </w:p>
        </w:tc>
        <w:tc>
          <w:tcPr>
            <w:tcW w:w="1134" w:type="dxa"/>
            <w:tcBorders>
              <w:top w:val="nil"/>
              <w:left w:val="nil"/>
              <w:bottom w:val="single" w:sz="4" w:space="0" w:color="auto"/>
              <w:right w:val="single" w:sz="4" w:space="0" w:color="auto"/>
            </w:tcBorders>
            <w:shd w:val="clear" w:color="auto" w:fill="auto"/>
            <w:vAlign w:val="center"/>
            <w:hideMark/>
          </w:tcPr>
          <w:p w14:paraId="1E150AE7"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160 </w:t>
            </w:r>
          </w:p>
        </w:tc>
        <w:tc>
          <w:tcPr>
            <w:tcW w:w="1842" w:type="dxa"/>
            <w:tcBorders>
              <w:top w:val="nil"/>
              <w:left w:val="nil"/>
              <w:bottom w:val="single" w:sz="4" w:space="0" w:color="auto"/>
              <w:right w:val="single" w:sz="8" w:space="0" w:color="auto"/>
            </w:tcBorders>
            <w:shd w:val="clear" w:color="auto" w:fill="auto"/>
            <w:vAlign w:val="center"/>
            <w:hideMark/>
          </w:tcPr>
          <w:p w14:paraId="28500E98"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27 DE ABRIL , 4 Y 31 DE MAYO DE 2018</w:t>
            </w:r>
          </w:p>
        </w:tc>
      </w:tr>
      <w:tr w:rsidR="009A02CD" w:rsidRPr="000E4CAF" w14:paraId="22C8346B" w14:textId="77777777" w:rsidTr="00BC1C03">
        <w:trPr>
          <w:trHeight w:val="829"/>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727F5E7C"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CONEXIONES E IMPLEMENTACIÓN DEL SERVICIO PÚBLICO DE GAS NATURAL EN EL SECTOR RURAL DE LOS MUNICIPIOS DE GUACHETÁ Y FÚQUENE DEPARTAMENTO DE CUNDINAMARCA</w:t>
            </w:r>
          </w:p>
        </w:tc>
        <w:tc>
          <w:tcPr>
            <w:tcW w:w="1134" w:type="dxa"/>
            <w:tcBorders>
              <w:top w:val="nil"/>
              <w:left w:val="nil"/>
              <w:bottom w:val="single" w:sz="4" w:space="0" w:color="auto"/>
              <w:right w:val="single" w:sz="4" w:space="0" w:color="auto"/>
            </w:tcBorders>
            <w:shd w:val="clear" w:color="auto" w:fill="auto"/>
            <w:vAlign w:val="center"/>
            <w:hideMark/>
          </w:tcPr>
          <w:p w14:paraId="1B589E2E"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450 </w:t>
            </w:r>
          </w:p>
        </w:tc>
        <w:tc>
          <w:tcPr>
            <w:tcW w:w="1842" w:type="dxa"/>
            <w:tcBorders>
              <w:top w:val="nil"/>
              <w:left w:val="nil"/>
              <w:bottom w:val="single" w:sz="4" w:space="0" w:color="auto"/>
              <w:right w:val="single" w:sz="8" w:space="0" w:color="auto"/>
            </w:tcBorders>
            <w:shd w:val="clear" w:color="auto" w:fill="auto"/>
            <w:vAlign w:val="center"/>
            <w:hideMark/>
          </w:tcPr>
          <w:p w14:paraId="31B90A2D"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27 DE ABRIL  Y 18 DE JUNIO DE 2018</w:t>
            </w:r>
          </w:p>
        </w:tc>
      </w:tr>
      <w:tr w:rsidR="009A02CD" w:rsidRPr="000E4CAF" w14:paraId="74D45878" w14:textId="77777777" w:rsidTr="00BC1C03">
        <w:trPr>
          <w:trHeight w:val="822"/>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758FBF11"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lastRenderedPageBreak/>
              <w:t>CONSTRUCCIÓN CONEXIONES A USUARIOS DE MENORES INGRESOS PARA LA MASIFICACIÓN DE GAS NATURAL EN: MOCOA, VILLAGARZÓN, PTO CAICEDO Y PTO ASIS EN EL DPTO DE PUTUMAYO", SERVICIO DE GAS NATURAL.</w:t>
            </w:r>
          </w:p>
        </w:tc>
        <w:tc>
          <w:tcPr>
            <w:tcW w:w="1134" w:type="dxa"/>
            <w:tcBorders>
              <w:top w:val="nil"/>
              <w:left w:val="nil"/>
              <w:bottom w:val="single" w:sz="4" w:space="0" w:color="auto"/>
              <w:right w:val="single" w:sz="4" w:space="0" w:color="auto"/>
            </w:tcBorders>
            <w:shd w:val="clear" w:color="auto" w:fill="auto"/>
            <w:vAlign w:val="center"/>
            <w:hideMark/>
          </w:tcPr>
          <w:p w14:paraId="26A1D2FB"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9 </w:t>
            </w:r>
          </w:p>
        </w:tc>
        <w:tc>
          <w:tcPr>
            <w:tcW w:w="1842" w:type="dxa"/>
            <w:tcBorders>
              <w:top w:val="nil"/>
              <w:left w:val="nil"/>
              <w:bottom w:val="single" w:sz="4" w:space="0" w:color="auto"/>
              <w:right w:val="single" w:sz="8" w:space="0" w:color="auto"/>
            </w:tcBorders>
            <w:shd w:val="clear" w:color="auto" w:fill="auto"/>
            <w:vAlign w:val="center"/>
            <w:hideMark/>
          </w:tcPr>
          <w:p w14:paraId="2927BEED"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31 DE MAYO DE 2018</w:t>
            </w:r>
          </w:p>
        </w:tc>
      </w:tr>
      <w:tr w:rsidR="009A02CD" w:rsidRPr="000E4CAF" w14:paraId="64152811" w14:textId="77777777" w:rsidTr="00BC1C03">
        <w:trPr>
          <w:trHeight w:val="1007"/>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1152F3A6"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CONSTRUCCIÓN DEL SISTEMA DE DISTRIBUCIÓN DE GAS NATURAL, PROY: "EXTENSIÓN DE REDES DE GAS NATURAL PARA EL ÁREA RURAL DEL MUNICIPIO DE LA PAZ DEPTO DE SANTANDER", EN LOS TERMINOS, CONDICIONES Y ALCANCE ESTABLECIDOS EN EL PROY. PRESENTADO POR UPME.</w:t>
            </w:r>
          </w:p>
        </w:tc>
        <w:tc>
          <w:tcPr>
            <w:tcW w:w="1134" w:type="dxa"/>
            <w:tcBorders>
              <w:top w:val="nil"/>
              <w:left w:val="nil"/>
              <w:bottom w:val="single" w:sz="4" w:space="0" w:color="auto"/>
              <w:right w:val="single" w:sz="4" w:space="0" w:color="auto"/>
            </w:tcBorders>
            <w:shd w:val="clear" w:color="auto" w:fill="auto"/>
            <w:vAlign w:val="center"/>
            <w:hideMark/>
          </w:tcPr>
          <w:p w14:paraId="3659EB1E"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270 </w:t>
            </w:r>
          </w:p>
        </w:tc>
        <w:tc>
          <w:tcPr>
            <w:tcW w:w="1842" w:type="dxa"/>
            <w:tcBorders>
              <w:top w:val="nil"/>
              <w:left w:val="nil"/>
              <w:bottom w:val="single" w:sz="4" w:space="0" w:color="auto"/>
              <w:right w:val="single" w:sz="8" w:space="0" w:color="auto"/>
            </w:tcBorders>
            <w:shd w:val="clear" w:color="auto" w:fill="auto"/>
            <w:vAlign w:val="center"/>
            <w:hideMark/>
          </w:tcPr>
          <w:p w14:paraId="329DA023"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14 DE JUNIO DE 2018</w:t>
            </w:r>
          </w:p>
        </w:tc>
      </w:tr>
      <w:tr w:rsidR="009A02CD" w:rsidRPr="000E4CAF" w14:paraId="55EF8773" w14:textId="77777777" w:rsidTr="00BC1C03">
        <w:trPr>
          <w:trHeight w:val="851"/>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1AAF0DB6" w14:textId="77777777" w:rsidR="009A02CD" w:rsidRPr="00185D32" w:rsidRDefault="009A02CD"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ESTABLECER TERMINOS Y CONDICIONES PARA LA COFINANCIACIÓN POR PARTE DEL MINISTERIO-FECFGN PARA QUE LA EMPRESA EJECUTE LA CONSTRUCCION DEL SISTEMA DE DISTRIBUCIÓN DE GAS NATURAL, PLAZO: 31-JUL-2018</w:t>
            </w:r>
          </w:p>
        </w:tc>
        <w:tc>
          <w:tcPr>
            <w:tcW w:w="1134" w:type="dxa"/>
            <w:tcBorders>
              <w:top w:val="nil"/>
              <w:left w:val="nil"/>
              <w:bottom w:val="single" w:sz="4" w:space="0" w:color="auto"/>
              <w:right w:val="single" w:sz="4" w:space="0" w:color="auto"/>
            </w:tcBorders>
            <w:shd w:val="clear" w:color="auto" w:fill="auto"/>
            <w:vAlign w:val="center"/>
            <w:hideMark/>
          </w:tcPr>
          <w:p w14:paraId="48ADCA6B"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331 </w:t>
            </w:r>
          </w:p>
        </w:tc>
        <w:tc>
          <w:tcPr>
            <w:tcW w:w="1842" w:type="dxa"/>
            <w:tcBorders>
              <w:top w:val="nil"/>
              <w:left w:val="nil"/>
              <w:bottom w:val="single" w:sz="4" w:space="0" w:color="auto"/>
              <w:right w:val="single" w:sz="8" w:space="0" w:color="auto"/>
            </w:tcBorders>
            <w:shd w:val="clear" w:color="auto" w:fill="auto"/>
            <w:vAlign w:val="center"/>
            <w:hideMark/>
          </w:tcPr>
          <w:p w14:paraId="4E3B59C4" w14:textId="77777777" w:rsidR="009A02CD" w:rsidRPr="00185D32" w:rsidRDefault="009A02CD"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22 DE JUNIO DE 2018</w:t>
            </w:r>
          </w:p>
        </w:tc>
      </w:tr>
      <w:tr w:rsidR="009A02CD" w:rsidRPr="000E4CAF" w14:paraId="1FA907F9" w14:textId="77777777" w:rsidTr="00BC1C03">
        <w:trPr>
          <w:trHeight w:val="315"/>
        </w:trPr>
        <w:tc>
          <w:tcPr>
            <w:tcW w:w="7787" w:type="dxa"/>
            <w:gridSpan w:val="2"/>
            <w:tcBorders>
              <w:top w:val="nil"/>
              <w:left w:val="single" w:sz="8" w:space="0" w:color="auto"/>
              <w:bottom w:val="single" w:sz="8" w:space="0" w:color="auto"/>
              <w:right w:val="single" w:sz="4" w:space="0" w:color="000000"/>
            </w:tcBorders>
            <w:shd w:val="clear" w:color="auto" w:fill="17365D"/>
            <w:noWrap/>
            <w:vAlign w:val="bottom"/>
            <w:hideMark/>
          </w:tcPr>
          <w:p w14:paraId="612C190C"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1842" w:type="dxa"/>
            <w:tcBorders>
              <w:top w:val="nil"/>
              <w:left w:val="nil"/>
              <w:bottom w:val="single" w:sz="8" w:space="0" w:color="auto"/>
              <w:right w:val="single" w:sz="8" w:space="0" w:color="auto"/>
            </w:tcBorders>
            <w:shd w:val="clear" w:color="auto" w:fill="17365D"/>
            <w:noWrap/>
            <w:vAlign w:val="center"/>
            <w:hideMark/>
          </w:tcPr>
          <w:p w14:paraId="73C9CC21" w14:textId="77777777" w:rsidR="009A02CD" w:rsidRPr="00185D32" w:rsidRDefault="009A02CD"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w:t>
            </w:r>
            <w:r>
              <w:rPr>
                <w:rFonts w:ascii="Arial" w:eastAsia="Times New Roman" w:hAnsi="Arial" w:cs="Arial"/>
                <w:b/>
                <w:bCs/>
                <w:color w:val="FFFFFF"/>
                <w:sz w:val="20"/>
                <w:szCs w:val="20"/>
                <w:lang w:eastAsia="es-CO"/>
              </w:rPr>
              <w:t xml:space="preserve"> </w:t>
            </w:r>
            <w:r w:rsidRPr="00185D32">
              <w:rPr>
                <w:rFonts w:ascii="Arial" w:eastAsia="Times New Roman" w:hAnsi="Arial" w:cs="Arial"/>
                <w:b/>
                <w:bCs/>
                <w:color w:val="FFFFFF"/>
                <w:sz w:val="20"/>
                <w:szCs w:val="20"/>
                <w:lang w:eastAsia="es-CO"/>
              </w:rPr>
              <w:t xml:space="preserve">               1.717 </w:t>
            </w:r>
          </w:p>
        </w:tc>
      </w:tr>
    </w:tbl>
    <w:p w14:paraId="216C7FCA" w14:textId="77777777" w:rsidR="009A02CD" w:rsidRPr="00F77263" w:rsidRDefault="009A02CD" w:rsidP="009A02CD">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5A6F19E9" w14:textId="77777777" w:rsidR="009A02CD" w:rsidRPr="00F77263" w:rsidRDefault="009A02CD" w:rsidP="009A02CD">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3CAC4B6B" w14:textId="77777777" w:rsidR="009A02CD" w:rsidRDefault="009A02CD" w:rsidP="009A02CD">
      <w:pPr>
        <w:rPr>
          <w:highlight w:val="yellow"/>
          <w:lang w:val="es-ES" w:eastAsia="es-ES"/>
        </w:rPr>
      </w:pPr>
    </w:p>
    <w:p w14:paraId="37142D37" w14:textId="77777777" w:rsidR="00C02282" w:rsidRPr="009A02CD" w:rsidRDefault="00C02282" w:rsidP="00C02282">
      <w:pPr>
        <w:spacing w:after="0" w:line="240" w:lineRule="auto"/>
        <w:rPr>
          <w:rFonts w:ascii="Arial" w:eastAsia="Arial" w:hAnsi="Arial" w:cs="Arial"/>
          <w:b/>
          <w:szCs w:val="16"/>
          <w:u w:val="single"/>
        </w:rPr>
      </w:pPr>
      <w:r w:rsidRPr="009A02CD">
        <w:rPr>
          <w:rFonts w:ascii="Arial" w:eastAsia="Arial" w:hAnsi="Arial" w:cs="Arial"/>
          <w:b/>
          <w:szCs w:val="16"/>
          <w:u w:val="single"/>
        </w:rPr>
        <w:t>Otros proyectos:</w:t>
      </w:r>
    </w:p>
    <w:p w14:paraId="1C176E80" w14:textId="77777777" w:rsidR="00C02282" w:rsidRPr="009A02CD" w:rsidRDefault="00C02282" w:rsidP="00C02282">
      <w:pPr>
        <w:spacing w:after="0" w:line="240" w:lineRule="auto"/>
        <w:rPr>
          <w:rFonts w:ascii="Arial" w:eastAsia="Arial" w:hAnsi="Arial" w:cs="Arial"/>
          <w:b/>
          <w:szCs w:val="16"/>
          <w:u w:val="single"/>
        </w:rPr>
      </w:pPr>
    </w:p>
    <w:p w14:paraId="49F6DDF8" w14:textId="77777777" w:rsidR="00C02282" w:rsidRPr="009A02CD" w:rsidRDefault="00C02282" w:rsidP="008B4625">
      <w:pPr>
        <w:numPr>
          <w:ilvl w:val="0"/>
          <w:numId w:val="29"/>
        </w:numPr>
        <w:spacing w:after="0" w:line="240" w:lineRule="auto"/>
        <w:ind w:left="426"/>
        <w:jc w:val="both"/>
        <w:rPr>
          <w:rFonts w:ascii="Arial" w:eastAsia="Times New Roman" w:hAnsi="Arial" w:cs="Arial"/>
          <w:b/>
          <w:szCs w:val="16"/>
          <w:u w:val="single"/>
          <w:lang w:val="es-ES" w:eastAsia="es-ES"/>
        </w:rPr>
      </w:pPr>
      <w:r w:rsidRPr="009A02CD">
        <w:rPr>
          <w:rFonts w:ascii="Arial" w:eastAsia="Times New Roman" w:hAnsi="Arial" w:cs="Arial"/>
          <w:b/>
          <w:szCs w:val="16"/>
          <w:lang w:val="es-ES" w:eastAsia="es-ES"/>
        </w:rPr>
        <w:t>Control Operativo a la Distribución de Combustibles Líquidos Derivados del Petróleo, al Contrabando y a la Destinación Ilícita de estos Productos en Zonas de Frontera:</w:t>
      </w:r>
    </w:p>
    <w:p w14:paraId="1EAE5926" w14:textId="77777777" w:rsidR="00C02282" w:rsidRPr="006A67B4" w:rsidRDefault="00C02282" w:rsidP="00C02282">
      <w:pPr>
        <w:spacing w:after="0" w:line="240" w:lineRule="auto"/>
        <w:ind w:left="426"/>
        <w:jc w:val="both"/>
        <w:rPr>
          <w:rFonts w:ascii="Arial" w:eastAsia="Times New Roman" w:hAnsi="Arial" w:cs="Arial"/>
          <w:b/>
          <w:szCs w:val="16"/>
          <w:highlight w:val="yellow"/>
          <w:u w:val="single"/>
          <w:lang w:val="es-ES" w:eastAsia="es-ES"/>
        </w:rPr>
      </w:pPr>
    </w:p>
    <w:p w14:paraId="0E19EE01" w14:textId="77777777" w:rsidR="009A02CD" w:rsidRDefault="009A02CD" w:rsidP="009A02CD">
      <w:pPr>
        <w:spacing w:after="0" w:line="240" w:lineRule="auto"/>
        <w:jc w:val="both"/>
        <w:rPr>
          <w:rFonts w:ascii="Arial" w:eastAsia="Arial" w:hAnsi="Arial" w:cs="Arial"/>
          <w:szCs w:val="16"/>
        </w:rPr>
      </w:pPr>
      <w:r w:rsidRPr="005A0B1F">
        <w:rPr>
          <w:rFonts w:ascii="Arial" w:eastAsia="Arial" w:hAnsi="Arial" w:cs="Arial"/>
          <w:szCs w:val="16"/>
        </w:rPr>
        <w:t>Este proyecto cuenta con una apropiación vigente al cierre del segundo trimestre de $7.800 millones de pesos, presentando un acumulado en sus compromisos de $1.121 millones equivalentes a un 14,37%.de los cuales se comprometieron en el segundo trimestre $5 millones de pesos para las actividades de apoyo a la gestión y seguimiento de este proyecto.</w:t>
      </w:r>
    </w:p>
    <w:p w14:paraId="1FAFA1D3" w14:textId="77777777" w:rsidR="009A02CD" w:rsidRPr="005A0B1F" w:rsidRDefault="009A02CD" w:rsidP="009A02CD">
      <w:pPr>
        <w:spacing w:after="0" w:line="240" w:lineRule="auto"/>
        <w:jc w:val="both"/>
        <w:rPr>
          <w:rFonts w:ascii="Arial" w:eastAsia="Arial" w:hAnsi="Arial" w:cs="Arial"/>
          <w:szCs w:val="16"/>
        </w:rPr>
      </w:pPr>
    </w:p>
    <w:p w14:paraId="13CC4CEB" w14:textId="77777777" w:rsidR="009A02CD" w:rsidRPr="005A0B1F" w:rsidRDefault="009A02CD" w:rsidP="009A02CD">
      <w:pPr>
        <w:spacing w:after="0" w:line="240" w:lineRule="auto"/>
        <w:jc w:val="both"/>
        <w:rPr>
          <w:rFonts w:ascii="Arial" w:eastAsia="Arial" w:hAnsi="Arial" w:cs="Arial"/>
          <w:szCs w:val="20"/>
        </w:rPr>
      </w:pPr>
      <w:r w:rsidRPr="005A0B1F">
        <w:rPr>
          <w:rFonts w:ascii="Arial" w:eastAsia="Arial" w:hAnsi="Arial" w:cs="Arial"/>
          <w:szCs w:val="16"/>
        </w:rPr>
        <w:t xml:space="preserve">En cuanto a las obligaciones, como se observa en el siguiente cuadro en el segundo trimestre de 2018 se ejecutaron $52 millones de pesos, presentando un acumulado de un $1.03% ejecutado. </w:t>
      </w:r>
    </w:p>
    <w:p w14:paraId="035E67F8" w14:textId="77777777" w:rsidR="00C02282" w:rsidRPr="006A67B4" w:rsidRDefault="00C02282" w:rsidP="00C02282">
      <w:pPr>
        <w:spacing w:after="0" w:line="240" w:lineRule="auto"/>
        <w:jc w:val="both"/>
        <w:rPr>
          <w:rFonts w:ascii="Arial" w:eastAsia="Calibri" w:hAnsi="Arial" w:cs="Arial"/>
          <w:highlight w:val="yellow"/>
        </w:rPr>
      </w:pPr>
    </w:p>
    <w:p w14:paraId="1C6D10F2" w14:textId="77777777" w:rsidR="00C02282" w:rsidRPr="006A67B4" w:rsidRDefault="00C02282" w:rsidP="00C02282">
      <w:pPr>
        <w:spacing w:after="0" w:line="240" w:lineRule="auto"/>
        <w:ind w:left="7080" w:firstLine="708"/>
        <w:jc w:val="center"/>
        <w:rPr>
          <w:rFonts w:ascii="Arial" w:eastAsia="Arial" w:hAnsi="Arial" w:cs="Arial"/>
          <w:b/>
          <w:sz w:val="20"/>
          <w:szCs w:val="16"/>
          <w:highlight w:val="yellow"/>
        </w:rPr>
      </w:pPr>
    </w:p>
    <w:p w14:paraId="1F2FC598" w14:textId="5D5B383E" w:rsidR="00C02282" w:rsidRPr="00C20FD6" w:rsidRDefault="00C02282" w:rsidP="00C02282">
      <w:pPr>
        <w:pStyle w:val="Descripcin"/>
        <w:keepNext/>
        <w:jc w:val="center"/>
      </w:pPr>
      <w:bookmarkStart w:id="41" w:name="_Toc525652462"/>
      <w:r w:rsidRPr="00C20FD6">
        <w:t xml:space="preserve">Tabla </w:t>
      </w:r>
      <w:r w:rsidRPr="00C20FD6">
        <w:fldChar w:fldCharType="begin"/>
      </w:r>
      <w:r w:rsidRPr="00C20FD6">
        <w:instrText xml:space="preserve"> SEQ Tabla \* ARABIC </w:instrText>
      </w:r>
      <w:r w:rsidRPr="00C20FD6">
        <w:fldChar w:fldCharType="separate"/>
      </w:r>
      <w:r w:rsidR="008B4625">
        <w:rPr>
          <w:noProof/>
        </w:rPr>
        <w:t>16</w:t>
      </w:r>
      <w:r w:rsidRPr="00C20FD6">
        <w:fldChar w:fldCharType="end"/>
      </w:r>
      <w:r w:rsidR="00C20FD6" w:rsidRPr="00C20FD6">
        <w:t xml:space="preserve"> Segundo </w:t>
      </w:r>
      <w:r w:rsidRPr="00C20FD6">
        <w:t>Trimestre Zonas de Frontera / Obligaciones MME</w:t>
      </w:r>
      <w:bookmarkEnd w:id="41"/>
    </w:p>
    <w:tbl>
      <w:tblPr>
        <w:tblW w:w="9629" w:type="dxa"/>
        <w:tblCellMar>
          <w:left w:w="70" w:type="dxa"/>
          <w:right w:w="70" w:type="dxa"/>
        </w:tblCellMar>
        <w:tblLook w:val="04A0" w:firstRow="1" w:lastRow="0" w:firstColumn="1" w:lastColumn="0" w:noHBand="0" w:noVBand="1"/>
      </w:tblPr>
      <w:tblGrid>
        <w:gridCol w:w="6653"/>
        <w:gridCol w:w="1134"/>
        <w:gridCol w:w="1842"/>
      </w:tblGrid>
      <w:tr w:rsidR="00C20FD6" w:rsidRPr="000E4CAF" w14:paraId="66357262" w14:textId="77777777" w:rsidTr="00BC1C03">
        <w:trPr>
          <w:trHeight w:val="315"/>
        </w:trPr>
        <w:tc>
          <w:tcPr>
            <w:tcW w:w="9629"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48685944"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ZONAS DE FRONTERA - OBLIGACIONES</w:t>
            </w:r>
          </w:p>
        </w:tc>
      </w:tr>
      <w:tr w:rsidR="00C20FD6" w:rsidRPr="000E4CAF" w14:paraId="0EE1F996" w14:textId="77777777" w:rsidTr="00BC1C03">
        <w:trPr>
          <w:trHeight w:val="315"/>
        </w:trPr>
        <w:tc>
          <w:tcPr>
            <w:tcW w:w="6653" w:type="dxa"/>
            <w:tcBorders>
              <w:top w:val="nil"/>
              <w:left w:val="single" w:sz="8" w:space="0" w:color="auto"/>
              <w:bottom w:val="nil"/>
              <w:right w:val="single" w:sz="4" w:space="0" w:color="auto"/>
            </w:tcBorders>
            <w:shd w:val="clear" w:color="auto" w:fill="17365D"/>
            <w:noWrap/>
            <w:vAlign w:val="center"/>
            <w:hideMark/>
          </w:tcPr>
          <w:p w14:paraId="2B7218AE" w14:textId="77777777" w:rsidR="00C20FD6" w:rsidRPr="005A0B1F" w:rsidRDefault="00C20FD6" w:rsidP="00BC1C03">
            <w:pPr>
              <w:spacing w:after="0" w:line="240" w:lineRule="auto"/>
              <w:jc w:val="center"/>
              <w:rPr>
                <w:rFonts w:eastAsia="Times New Roman"/>
                <w:b/>
                <w:bCs/>
                <w:color w:val="FFFFFF"/>
                <w:lang w:eastAsia="es-CO"/>
              </w:rPr>
            </w:pPr>
            <w:r w:rsidRPr="005A0B1F">
              <w:rPr>
                <w:rFonts w:eastAsia="Times New Roman"/>
                <w:b/>
                <w:bCs/>
                <w:color w:val="FFFFFF"/>
                <w:lang w:eastAsia="es-CO"/>
              </w:rPr>
              <w:t>Objeto</w:t>
            </w:r>
          </w:p>
        </w:tc>
        <w:tc>
          <w:tcPr>
            <w:tcW w:w="1134" w:type="dxa"/>
            <w:tcBorders>
              <w:top w:val="nil"/>
              <w:left w:val="nil"/>
              <w:bottom w:val="nil"/>
              <w:right w:val="single" w:sz="4" w:space="0" w:color="auto"/>
            </w:tcBorders>
            <w:shd w:val="clear" w:color="auto" w:fill="17365D"/>
            <w:noWrap/>
            <w:vAlign w:val="center"/>
            <w:hideMark/>
          </w:tcPr>
          <w:p w14:paraId="5329A772"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Valor</w:t>
            </w:r>
          </w:p>
        </w:tc>
        <w:tc>
          <w:tcPr>
            <w:tcW w:w="1842" w:type="dxa"/>
            <w:tcBorders>
              <w:top w:val="nil"/>
              <w:left w:val="nil"/>
              <w:bottom w:val="nil"/>
              <w:right w:val="single" w:sz="8" w:space="0" w:color="auto"/>
            </w:tcBorders>
            <w:shd w:val="clear" w:color="auto" w:fill="17365D"/>
            <w:noWrap/>
            <w:vAlign w:val="bottom"/>
            <w:hideMark/>
          </w:tcPr>
          <w:p w14:paraId="0009B143"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Fecha</w:t>
            </w:r>
          </w:p>
        </w:tc>
      </w:tr>
      <w:tr w:rsidR="00C20FD6" w:rsidRPr="000E4CAF" w14:paraId="20F89E2A" w14:textId="77777777" w:rsidTr="00BC1C03">
        <w:trPr>
          <w:trHeight w:val="1136"/>
        </w:trPr>
        <w:tc>
          <w:tcPr>
            <w:tcW w:w="665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E30A359"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ACTIVIDADES DE APOYO A LA GESTIÓN Y SEGUIMIENTO DEL PROYECTO "CONTROL OPERATIVO A LA DISTRIBUCIÓN DE COMBUSTIBLE LÍQUIDOS DERIVADOS DEL PETRÓLEO, AL CONTRABANDO Y A LA DESTINACIÓN ILÍCITA DE ESTOS PRODUCTOS EN ZONAS DE FRONTERA"</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AF742C5" w14:textId="77777777" w:rsidR="00C20FD6" w:rsidRPr="00185D32" w:rsidRDefault="00C20FD6" w:rsidP="00BC1C03">
            <w:pPr>
              <w:spacing w:after="0" w:line="240" w:lineRule="auto"/>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52 </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14:paraId="7AC98B79"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II TRIMESTRE DE 2018 </w:t>
            </w:r>
          </w:p>
        </w:tc>
      </w:tr>
      <w:tr w:rsidR="00C20FD6" w:rsidRPr="000E4CAF" w14:paraId="64154B54" w14:textId="77777777" w:rsidTr="00BC1C03">
        <w:trPr>
          <w:trHeight w:val="315"/>
        </w:trPr>
        <w:tc>
          <w:tcPr>
            <w:tcW w:w="7787" w:type="dxa"/>
            <w:gridSpan w:val="2"/>
            <w:tcBorders>
              <w:top w:val="nil"/>
              <w:left w:val="single" w:sz="8" w:space="0" w:color="auto"/>
              <w:bottom w:val="single" w:sz="8" w:space="0" w:color="auto"/>
              <w:right w:val="single" w:sz="4" w:space="0" w:color="000000"/>
            </w:tcBorders>
            <w:shd w:val="clear" w:color="auto" w:fill="17365D"/>
            <w:noWrap/>
            <w:vAlign w:val="bottom"/>
            <w:hideMark/>
          </w:tcPr>
          <w:p w14:paraId="7CD878D0"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1842" w:type="dxa"/>
            <w:tcBorders>
              <w:top w:val="nil"/>
              <w:left w:val="nil"/>
              <w:bottom w:val="single" w:sz="8" w:space="0" w:color="auto"/>
              <w:right w:val="single" w:sz="8" w:space="0" w:color="auto"/>
            </w:tcBorders>
            <w:shd w:val="clear" w:color="auto" w:fill="17365D"/>
            <w:noWrap/>
            <w:vAlign w:val="bottom"/>
            <w:hideMark/>
          </w:tcPr>
          <w:p w14:paraId="179FAF50" w14:textId="77777777" w:rsidR="00C20FD6" w:rsidRPr="00185D32" w:rsidRDefault="00C20FD6" w:rsidP="00BC1C03">
            <w:pPr>
              <w:spacing w:after="0" w:line="240" w:lineRule="auto"/>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52 </w:t>
            </w:r>
          </w:p>
        </w:tc>
      </w:tr>
    </w:tbl>
    <w:p w14:paraId="5AEF642D" w14:textId="77777777" w:rsidR="00C20FD6" w:rsidRPr="00F77263" w:rsidRDefault="00C20FD6" w:rsidP="00C20FD6">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2CE3054A" w14:textId="6244AC25" w:rsidR="00C20FD6" w:rsidRDefault="00C20FD6" w:rsidP="00C20FD6">
      <w:pPr>
        <w:spacing w:after="0" w:line="240" w:lineRule="auto"/>
        <w:jc w:val="center"/>
        <w:rPr>
          <w:rFonts w:ascii="Arial" w:eastAsia="Calibri" w:hAnsi="Arial" w:cs="Arial"/>
          <w:sz w:val="16"/>
          <w:szCs w:val="16"/>
        </w:rPr>
      </w:pPr>
      <w:r w:rsidRPr="00F77263">
        <w:rPr>
          <w:rFonts w:ascii="Arial" w:eastAsia="Calibri" w:hAnsi="Arial" w:cs="Arial"/>
          <w:sz w:val="16"/>
          <w:szCs w:val="16"/>
        </w:rPr>
        <w:t>Fuente: SIIF Nación</w:t>
      </w:r>
    </w:p>
    <w:p w14:paraId="7F8CE985" w14:textId="77777777" w:rsidR="00D93790" w:rsidRPr="00F77263" w:rsidRDefault="00D93790" w:rsidP="00C20FD6">
      <w:pPr>
        <w:spacing w:after="0" w:line="240" w:lineRule="auto"/>
        <w:jc w:val="center"/>
        <w:rPr>
          <w:rFonts w:ascii="Arial" w:eastAsia="Calibri" w:hAnsi="Arial" w:cs="Arial"/>
        </w:rPr>
      </w:pPr>
    </w:p>
    <w:p w14:paraId="02E7A8E8" w14:textId="77777777" w:rsidR="00C20FD6" w:rsidRPr="00202001" w:rsidRDefault="00C20FD6" w:rsidP="008B4625">
      <w:pPr>
        <w:numPr>
          <w:ilvl w:val="0"/>
          <w:numId w:val="29"/>
        </w:numPr>
        <w:spacing w:after="0" w:line="240" w:lineRule="auto"/>
        <w:ind w:left="426"/>
        <w:jc w:val="both"/>
        <w:rPr>
          <w:rFonts w:ascii="Arial" w:eastAsia="Times New Roman" w:hAnsi="Arial" w:cs="Arial"/>
          <w:szCs w:val="16"/>
          <w:lang w:val="es-ES" w:eastAsia="es-ES"/>
        </w:rPr>
      </w:pPr>
      <w:r w:rsidRPr="00202001">
        <w:rPr>
          <w:rFonts w:ascii="Arial" w:eastAsia="Times New Roman" w:hAnsi="Arial" w:cs="Arial"/>
          <w:b/>
          <w:szCs w:val="16"/>
          <w:lang w:val="es-ES" w:eastAsia="es-ES"/>
        </w:rPr>
        <w:lastRenderedPageBreak/>
        <w:t>Asesoría para el Análisis y Formulación del Desarrollo del Subsector Hidrocarburos Nacional:</w:t>
      </w:r>
    </w:p>
    <w:p w14:paraId="0C478A8D" w14:textId="77777777" w:rsidR="00C20FD6" w:rsidRPr="00A201DA" w:rsidRDefault="00C20FD6" w:rsidP="00C20FD6">
      <w:pPr>
        <w:spacing w:after="0" w:line="240" w:lineRule="auto"/>
        <w:ind w:left="1080"/>
        <w:jc w:val="both"/>
        <w:rPr>
          <w:rFonts w:ascii="Arial" w:eastAsia="Times New Roman" w:hAnsi="Arial" w:cs="Arial"/>
          <w:b/>
          <w:szCs w:val="16"/>
          <w:highlight w:val="yellow"/>
          <w:lang w:val="es-ES" w:eastAsia="es-ES"/>
        </w:rPr>
      </w:pPr>
    </w:p>
    <w:p w14:paraId="2F9AF487" w14:textId="77777777" w:rsidR="00C20FD6" w:rsidRPr="00D40F00" w:rsidRDefault="00C20FD6" w:rsidP="00C20FD6">
      <w:pPr>
        <w:spacing w:after="0" w:line="240" w:lineRule="auto"/>
        <w:jc w:val="both"/>
        <w:rPr>
          <w:rFonts w:ascii="Arial" w:eastAsia="Times New Roman" w:hAnsi="Arial" w:cs="Arial"/>
          <w:szCs w:val="16"/>
          <w:lang w:val="es-ES" w:eastAsia="es-ES"/>
        </w:rPr>
      </w:pPr>
      <w:r w:rsidRPr="00202001">
        <w:rPr>
          <w:rFonts w:ascii="Arial" w:eastAsia="Times New Roman" w:hAnsi="Arial" w:cs="Arial"/>
          <w:szCs w:val="16"/>
          <w:lang w:val="es-ES" w:eastAsia="es-ES"/>
        </w:rPr>
        <w:t>Este proyecto cuenta con una apropiación vigente al cierre del segundo trimestre de $2.350 millones de pesos, de los cuales se comprometieron $1</w:t>
      </w:r>
      <w:r>
        <w:rPr>
          <w:rFonts w:ascii="Arial" w:eastAsia="Times New Roman" w:hAnsi="Arial" w:cs="Arial"/>
          <w:szCs w:val="16"/>
          <w:lang w:val="es-ES" w:eastAsia="es-ES"/>
        </w:rPr>
        <w:t>56</w:t>
      </w:r>
      <w:r w:rsidRPr="00202001">
        <w:rPr>
          <w:rFonts w:ascii="Arial" w:eastAsia="Times New Roman" w:hAnsi="Arial" w:cs="Arial"/>
          <w:szCs w:val="16"/>
          <w:lang w:val="es-ES" w:eastAsia="es-ES"/>
        </w:rPr>
        <w:t xml:space="preserve"> millones de pesos, los cuales fueron destinados a actividades de seguimiento y apoyo a la gestión del proyecto de inv</w:t>
      </w:r>
      <w:r>
        <w:rPr>
          <w:rFonts w:ascii="Arial" w:eastAsia="Times New Roman" w:hAnsi="Arial" w:cs="Arial"/>
          <w:szCs w:val="16"/>
          <w:lang w:val="es-ES" w:eastAsia="es-ES"/>
        </w:rPr>
        <w:t xml:space="preserve">ersión, para una </w:t>
      </w:r>
      <w:r w:rsidRPr="00D40F00">
        <w:rPr>
          <w:rFonts w:ascii="Arial" w:eastAsia="Times New Roman" w:hAnsi="Arial" w:cs="Arial"/>
          <w:szCs w:val="16"/>
          <w:lang w:val="es-ES" w:eastAsia="es-ES"/>
        </w:rPr>
        <w:t>ejecución del 6,63% en compromisos.</w:t>
      </w:r>
    </w:p>
    <w:p w14:paraId="66A3BD71" w14:textId="77777777" w:rsidR="00C20FD6" w:rsidRPr="00D40F00" w:rsidRDefault="00C20FD6" w:rsidP="00C20FD6">
      <w:pPr>
        <w:spacing w:after="0" w:line="240" w:lineRule="auto"/>
        <w:jc w:val="both"/>
        <w:rPr>
          <w:rFonts w:ascii="Arial" w:eastAsia="Times New Roman" w:hAnsi="Arial" w:cs="Arial"/>
          <w:szCs w:val="16"/>
          <w:lang w:val="es-ES" w:eastAsia="es-ES"/>
        </w:rPr>
      </w:pPr>
    </w:p>
    <w:p w14:paraId="32A783E9" w14:textId="77777777" w:rsidR="00C20FD6" w:rsidRPr="00D40F00" w:rsidRDefault="00C20FD6" w:rsidP="00C20FD6">
      <w:pPr>
        <w:spacing w:after="0" w:line="240" w:lineRule="auto"/>
        <w:jc w:val="both"/>
        <w:rPr>
          <w:rFonts w:ascii="Arial" w:eastAsia="Times New Roman" w:hAnsi="Arial" w:cs="Arial"/>
          <w:szCs w:val="16"/>
          <w:lang w:val="es-ES" w:eastAsia="es-ES"/>
        </w:rPr>
      </w:pPr>
      <w:r w:rsidRPr="00D40F00">
        <w:rPr>
          <w:rFonts w:ascii="Arial" w:eastAsia="Times New Roman" w:hAnsi="Arial" w:cs="Arial"/>
          <w:szCs w:val="16"/>
          <w:lang w:val="es-ES" w:eastAsia="es-ES"/>
        </w:rPr>
        <w:t xml:space="preserve">En cuanto a las obligaciones, se ejecutaron $77 millones de pesos, equivalentes al 3,27% de ejecución. Durante el trimestre </w:t>
      </w:r>
      <w:r>
        <w:rPr>
          <w:rFonts w:ascii="Arial" w:eastAsia="Times New Roman" w:hAnsi="Arial" w:cs="Arial"/>
          <w:szCs w:val="16"/>
          <w:lang w:val="es-ES" w:eastAsia="es-ES"/>
        </w:rPr>
        <w:t xml:space="preserve">se </w:t>
      </w:r>
      <w:r w:rsidRPr="00D40F00">
        <w:rPr>
          <w:rFonts w:ascii="Arial" w:eastAsia="Times New Roman" w:hAnsi="Arial" w:cs="Arial"/>
          <w:szCs w:val="16"/>
          <w:lang w:val="es-ES" w:eastAsia="es-ES"/>
        </w:rPr>
        <w:t xml:space="preserve">reflejaron $52 millones de pesos destinados al pago de actividades de apoyo a la gestión y seguimiento del proyecto.  </w:t>
      </w:r>
    </w:p>
    <w:p w14:paraId="5F7C5A5C" w14:textId="77777777" w:rsidR="00C20FD6" w:rsidRPr="00D40F00" w:rsidRDefault="00C20FD6" w:rsidP="00C20FD6">
      <w:pPr>
        <w:spacing w:after="0" w:line="240" w:lineRule="auto"/>
        <w:jc w:val="both"/>
        <w:rPr>
          <w:rFonts w:ascii="Arial" w:eastAsia="Times New Roman" w:hAnsi="Arial" w:cs="Arial"/>
          <w:color w:val="FF0000"/>
          <w:szCs w:val="16"/>
          <w:lang w:val="es-ES" w:eastAsia="es-ES"/>
        </w:rPr>
      </w:pPr>
    </w:p>
    <w:p w14:paraId="40A357A9" w14:textId="77777777" w:rsidR="00C20FD6" w:rsidRPr="00D40F00" w:rsidRDefault="00C20FD6" w:rsidP="008B4625">
      <w:pPr>
        <w:numPr>
          <w:ilvl w:val="0"/>
          <w:numId w:val="29"/>
        </w:numPr>
        <w:spacing w:after="0" w:line="240" w:lineRule="auto"/>
        <w:ind w:left="426"/>
        <w:jc w:val="both"/>
        <w:rPr>
          <w:rFonts w:ascii="Arial" w:eastAsia="Times New Roman" w:hAnsi="Arial" w:cs="Arial"/>
          <w:szCs w:val="16"/>
          <w:lang w:val="es-ES" w:eastAsia="es-ES"/>
        </w:rPr>
      </w:pPr>
      <w:r w:rsidRPr="00D40F00">
        <w:rPr>
          <w:rFonts w:ascii="Arial" w:eastAsia="Times New Roman" w:hAnsi="Arial" w:cs="Arial"/>
          <w:b/>
          <w:szCs w:val="16"/>
          <w:lang w:val="es-ES" w:eastAsia="es-ES"/>
        </w:rPr>
        <w:t xml:space="preserve">Asesoría, Diseño, Adquisición, Mantenimiento y Construcción del Sistema de Información de la Cadena de Distribución de Combustibles Líquidos Derivados del Petróleo – SICOM- Región Nacional: </w:t>
      </w:r>
    </w:p>
    <w:p w14:paraId="5566B8DF" w14:textId="77777777" w:rsidR="00C20FD6" w:rsidRPr="00A201DA" w:rsidRDefault="00C20FD6" w:rsidP="00C20FD6">
      <w:pPr>
        <w:spacing w:after="0" w:line="240" w:lineRule="auto"/>
        <w:jc w:val="both"/>
        <w:rPr>
          <w:rFonts w:ascii="Arial" w:eastAsia="Times New Roman" w:hAnsi="Arial" w:cs="Arial"/>
          <w:b/>
          <w:szCs w:val="16"/>
          <w:highlight w:val="yellow"/>
          <w:lang w:val="es-ES" w:eastAsia="es-ES"/>
        </w:rPr>
      </w:pPr>
    </w:p>
    <w:p w14:paraId="60CF31FB" w14:textId="6DF1F2B9" w:rsidR="00C20FD6" w:rsidRPr="00EC741A" w:rsidRDefault="00C20FD6" w:rsidP="00C20FD6">
      <w:pPr>
        <w:spacing w:after="0" w:line="240" w:lineRule="auto"/>
        <w:jc w:val="both"/>
        <w:rPr>
          <w:rFonts w:ascii="Arial" w:eastAsia="Times New Roman" w:hAnsi="Arial" w:cs="Arial"/>
          <w:szCs w:val="16"/>
          <w:lang w:val="es-ES" w:eastAsia="es-ES"/>
        </w:rPr>
      </w:pPr>
      <w:r w:rsidRPr="00D40F00">
        <w:rPr>
          <w:rFonts w:ascii="Arial" w:eastAsia="Times New Roman" w:hAnsi="Arial" w:cs="Arial"/>
          <w:szCs w:val="16"/>
          <w:lang w:val="es-ES" w:eastAsia="es-ES"/>
        </w:rPr>
        <w:t xml:space="preserve">Este proyecto </w:t>
      </w:r>
      <w:r w:rsidRPr="00EC741A">
        <w:rPr>
          <w:rFonts w:ascii="Arial" w:eastAsia="Times New Roman" w:hAnsi="Arial" w:cs="Arial"/>
          <w:szCs w:val="16"/>
          <w:lang w:val="es-ES" w:eastAsia="es-ES"/>
        </w:rPr>
        <w:t xml:space="preserve">cuenta con una apropiación para la vigencia 2018 de $9.120 millones de pesos; al cierre del segundo trimestre de 2018 se han comprometido $5.273 millones destinados a servicios integrales de administración, operación, mantenimiento y arrendamiento de solución tecnológica bajo esquema hosting, para el sistema de información de combustibles líquidos SICOM y para actividades de apoyo a la gestión y seguimiento del proyecto. Así </w:t>
      </w:r>
      <w:r w:rsidR="00D71409" w:rsidRPr="00EC741A">
        <w:rPr>
          <w:rFonts w:ascii="Arial" w:eastAsia="Times New Roman" w:hAnsi="Arial" w:cs="Arial"/>
          <w:szCs w:val="16"/>
          <w:lang w:val="es-ES" w:eastAsia="es-ES"/>
        </w:rPr>
        <w:t>pues,</w:t>
      </w:r>
      <w:r w:rsidRPr="00EC741A">
        <w:rPr>
          <w:rFonts w:ascii="Arial" w:eastAsia="Times New Roman" w:hAnsi="Arial" w:cs="Arial"/>
          <w:szCs w:val="16"/>
          <w:lang w:val="es-ES" w:eastAsia="es-ES"/>
        </w:rPr>
        <w:t xml:space="preserve"> al cierre del primer semestre de 2018 se llegó a una ejecución en compromisos del 57,81%.</w:t>
      </w:r>
    </w:p>
    <w:p w14:paraId="07BD4467" w14:textId="77777777" w:rsidR="00C20FD6" w:rsidRPr="00EC741A" w:rsidRDefault="00C20FD6" w:rsidP="00C20FD6">
      <w:pPr>
        <w:spacing w:after="0" w:line="240" w:lineRule="auto"/>
        <w:jc w:val="both"/>
        <w:rPr>
          <w:rFonts w:ascii="Arial" w:eastAsia="Times New Roman" w:hAnsi="Arial" w:cs="Arial"/>
          <w:szCs w:val="16"/>
          <w:lang w:val="es-ES" w:eastAsia="es-ES"/>
        </w:rPr>
      </w:pPr>
    </w:p>
    <w:p w14:paraId="02F5CB35" w14:textId="70C12FE1" w:rsidR="00C20FD6" w:rsidRPr="00A0158E" w:rsidRDefault="00C20FD6" w:rsidP="00C20FD6">
      <w:pPr>
        <w:spacing w:after="0" w:line="240" w:lineRule="auto"/>
        <w:jc w:val="both"/>
        <w:rPr>
          <w:rFonts w:ascii="Arial" w:eastAsia="Times New Roman" w:hAnsi="Arial" w:cs="Arial"/>
          <w:szCs w:val="16"/>
          <w:lang w:val="es-ES" w:eastAsia="es-ES"/>
        </w:rPr>
      </w:pPr>
      <w:r w:rsidRPr="00EC741A">
        <w:rPr>
          <w:rFonts w:ascii="Arial" w:eastAsia="Times New Roman" w:hAnsi="Arial" w:cs="Arial"/>
          <w:szCs w:val="16"/>
          <w:lang w:val="es-ES" w:eastAsia="es-ES"/>
        </w:rPr>
        <w:t>En cuanto a las obligaciones, se ejecutaron en e</w:t>
      </w:r>
      <w:r w:rsidR="00D71409">
        <w:rPr>
          <w:rFonts w:ascii="Arial" w:eastAsia="Times New Roman" w:hAnsi="Arial" w:cs="Arial"/>
          <w:szCs w:val="16"/>
          <w:lang w:val="es-ES" w:eastAsia="es-ES"/>
        </w:rPr>
        <w:t>l</w:t>
      </w:r>
      <w:r w:rsidRPr="00EC741A">
        <w:rPr>
          <w:rFonts w:ascii="Arial" w:eastAsia="Times New Roman" w:hAnsi="Arial" w:cs="Arial"/>
          <w:szCs w:val="16"/>
          <w:lang w:val="es-ES" w:eastAsia="es-ES"/>
        </w:rPr>
        <w:t xml:space="preserve"> segundo trimestre $2.922 millones de pesos </w:t>
      </w:r>
      <w:r w:rsidRPr="00A0158E">
        <w:rPr>
          <w:rFonts w:ascii="Arial" w:eastAsia="Times New Roman" w:hAnsi="Arial" w:cs="Arial"/>
          <w:szCs w:val="16"/>
          <w:lang w:val="es-ES" w:eastAsia="es-ES"/>
        </w:rPr>
        <w:t xml:space="preserve">presentando un acumulado de $2.938 millones equivalentes a un 32,21% destinados a las actividades de apoyo y seguimiento a la gestión del proyecto. </w:t>
      </w:r>
    </w:p>
    <w:p w14:paraId="2A81750A" w14:textId="77777777" w:rsidR="00C20FD6" w:rsidRPr="00A0158E" w:rsidRDefault="00C20FD6" w:rsidP="00C20FD6">
      <w:pPr>
        <w:spacing w:after="0" w:line="240" w:lineRule="auto"/>
        <w:jc w:val="both"/>
        <w:rPr>
          <w:rFonts w:ascii="Arial" w:eastAsia="Times New Roman" w:hAnsi="Arial" w:cs="Arial"/>
          <w:szCs w:val="16"/>
          <w:lang w:val="es-ES" w:eastAsia="es-ES"/>
        </w:rPr>
      </w:pPr>
    </w:p>
    <w:p w14:paraId="4373D0BC" w14:textId="77777777" w:rsidR="00C20FD6" w:rsidRPr="002D0CED" w:rsidRDefault="00C20FD6" w:rsidP="008B4625">
      <w:pPr>
        <w:numPr>
          <w:ilvl w:val="0"/>
          <w:numId w:val="29"/>
        </w:numPr>
        <w:spacing w:after="0" w:line="240" w:lineRule="auto"/>
        <w:ind w:left="426"/>
        <w:jc w:val="both"/>
        <w:rPr>
          <w:rFonts w:ascii="Arial" w:eastAsia="Times New Roman" w:hAnsi="Arial" w:cs="Arial"/>
          <w:szCs w:val="16"/>
          <w:lang w:val="es-ES" w:eastAsia="es-ES"/>
        </w:rPr>
      </w:pPr>
      <w:r w:rsidRPr="00A0158E">
        <w:rPr>
          <w:rFonts w:ascii="Arial" w:eastAsia="Times New Roman" w:hAnsi="Arial" w:cs="Arial"/>
          <w:b/>
          <w:szCs w:val="16"/>
          <w:lang w:val="es-ES" w:eastAsia="es-ES"/>
        </w:rPr>
        <w:t>Asesoría Técnica para el Seguimiento a los Contratos y Convenios del Subsector Gas Combustible Nacional:</w:t>
      </w:r>
    </w:p>
    <w:p w14:paraId="4D1B8D72" w14:textId="77777777" w:rsidR="00C20FD6" w:rsidRPr="00A0158E" w:rsidRDefault="00C20FD6" w:rsidP="00C20FD6">
      <w:pPr>
        <w:spacing w:after="0" w:line="240" w:lineRule="auto"/>
        <w:ind w:left="426"/>
        <w:jc w:val="both"/>
        <w:rPr>
          <w:rFonts w:ascii="Arial" w:eastAsia="Times New Roman" w:hAnsi="Arial" w:cs="Arial"/>
          <w:szCs w:val="16"/>
          <w:lang w:val="es-ES" w:eastAsia="es-ES"/>
        </w:rPr>
      </w:pPr>
    </w:p>
    <w:p w14:paraId="350E1D64" w14:textId="77777777" w:rsidR="00C20FD6" w:rsidRPr="00632B8B" w:rsidRDefault="00C20FD6" w:rsidP="00C20FD6">
      <w:pPr>
        <w:spacing w:after="0" w:line="240" w:lineRule="auto"/>
        <w:jc w:val="both"/>
        <w:rPr>
          <w:rFonts w:ascii="Arial" w:eastAsia="Times New Roman" w:hAnsi="Arial" w:cs="Arial"/>
          <w:szCs w:val="16"/>
          <w:lang w:val="es-ES" w:eastAsia="es-ES"/>
        </w:rPr>
      </w:pPr>
      <w:r w:rsidRPr="00632B8B">
        <w:rPr>
          <w:rFonts w:ascii="Arial" w:eastAsia="Times New Roman" w:hAnsi="Arial" w:cs="Arial"/>
          <w:szCs w:val="16"/>
          <w:lang w:val="es-ES" w:eastAsia="es-ES"/>
        </w:rPr>
        <w:t>Este proyecto cuenta con una apropiación para la vigencia 2018 de $1.000 millones de pesos; de los cuales se comprometieron durante el segundo trimestre $ 6millones de pesos para las actividades de apoyo a la gestión y seguimiento del proyecto. Así pues, al cierre del segundo trimestre de 2018 se llegó a una ejecución en compromisos del 77,77%.</w:t>
      </w:r>
    </w:p>
    <w:p w14:paraId="798A4A09" w14:textId="77777777" w:rsidR="00C20FD6" w:rsidRPr="00632B8B" w:rsidRDefault="00C20FD6" w:rsidP="00C20FD6">
      <w:pPr>
        <w:spacing w:after="0" w:line="240" w:lineRule="auto"/>
        <w:jc w:val="both"/>
        <w:rPr>
          <w:rFonts w:ascii="Arial" w:eastAsia="Times New Roman" w:hAnsi="Arial" w:cs="Arial"/>
          <w:szCs w:val="16"/>
          <w:lang w:val="es-ES" w:eastAsia="es-ES"/>
        </w:rPr>
      </w:pPr>
    </w:p>
    <w:p w14:paraId="49472AC3" w14:textId="2344973F" w:rsidR="00C20FD6" w:rsidRPr="00632B8B" w:rsidRDefault="00C20FD6" w:rsidP="00C20FD6">
      <w:pPr>
        <w:spacing w:after="0" w:line="240" w:lineRule="auto"/>
        <w:jc w:val="both"/>
        <w:rPr>
          <w:rFonts w:ascii="Arial" w:eastAsia="Times New Roman" w:hAnsi="Arial" w:cs="Arial"/>
          <w:szCs w:val="16"/>
          <w:lang w:val="es-ES" w:eastAsia="es-ES"/>
        </w:rPr>
      </w:pPr>
      <w:r w:rsidRPr="00632B8B">
        <w:rPr>
          <w:rFonts w:ascii="Arial" w:eastAsia="Times New Roman" w:hAnsi="Arial" w:cs="Arial"/>
          <w:szCs w:val="16"/>
          <w:lang w:val="es-ES" w:eastAsia="es-ES"/>
        </w:rPr>
        <w:t xml:space="preserve">Con relación a las obligaciones, se ejecutaron $298 millones de pesos; $290 millones para </w:t>
      </w:r>
      <w:r>
        <w:rPr>
          <w:rFonts w:ascii="Arial" w:eastAsia="Times New Roman" w:hAnsi="Arial" w:cs="Arial"/>
          <w:szCs w:val="16"/>
          <w:lang w:val="es-ES" w:eastAsia="es-ES"/>
        </w:rPr>
        <w:t xml:space="preserve">el servicio de </w:t>
      </w:r>
      <w:r w:rsidRPr="00632B8B">
        <w:rPr>
          <w:rFonts w:ascii="Arial" w:eastAsia="Times New Roman" w:hAnsi="Arial" w:cs="Arial"/>
          <w:szCs w:val="16"/>
          <w:lang w:val="es-ES" w:eastAsia="es-ES"/>
        </w:rPr>
        <w:t xml:space="preserve">interventoría integral </w:t>
      </w:r>
      <w:r>
        <w:rPr>
          <w:rFonts w:ascii="Arial" w:eastAsia="Times New Roman" w:hAnsi="Arial" w:cs="Arial"/>
          <w:szCs w:val="16"/>
          <w:lang w:val="es-ES" w:eastAsia="es-ES"/>
        </w:rPr>
        <w:t>administrativa, técnica, financiera y contable</w:t>
      </w:r>
      <w:r w:rsidRPr="00632B8B">
        <w:rPr>
          <w:rFonts w:ascii="Arial" w:eastAsia="Times New Roman" w:hAnsi="Arial" w:cs="Arial"/>
          <w:szCs w:val="16"/>
          <w:lang w:val="es-ES" w:eastAsia="es-ES"/>
        </w:rPr>
        <w:t xml:space="preserve"> con el Consorcio </w:t>
      </w:r>
      <w:proofErr w:type="spellStart"/>
      <w:r w:rsidRPr="00632B8B">
        <w:rPr>
          <w:rFonts w:ascii="Arial" w:eastAsia="Times New Roman" w:hAnsi="Arial" w:cs="Arial"/>
          <w:szCs w:val="16"/>
          <w:lang w:val="es-ES" w:eastAsia="es-ES"/>
        </w:rPr>
        <w:t>Delva</w:t>
      </w:r>
      <w:r>
        <w:rPr>
          <w:rFonts w:ascii="Arial" w:eastAsia="Times New Roman" w:hAnsi="Arial" w:cs="Arial"/>
          <w:szCs w:val="16"/>
          <w:lang w:val="es-ES" w:eastAsia="es-ES"/>
        </w:rPr>
        <w:t>s</w:t>
      </w:r>
      <w:r w:rsidRPr="00632B8B">
        <w:rPr>
          <w:rFonts w:ascii="Arial" w:eastAsia="Times New Roman" w:hAnsi="Arial" w:cs="Arial"/>
          <w:szCs w:val="16"/>
          <w:lang w:val="es-ES" w:eastAsia="es-ES"/>
        </w:rPr>
        <w:t>to</w:t>
      </w:r>
      <w:proofErr w:type="spellEnd"/>
      <w:r w:rsidRPr="00632B8B">
        <w:rPr>
          <w:rFonts w:ascii="Arial" w:eastAsia="Times New Roman" w:hAnsi="Arial" w:cs="Arial"/>
          <w:szCs w:val="16"/>
          <w:lang w:val="es-ES" w:eastAsia="es-ES"/>
        </w:rPr>
        <w:t xml:space="preserve"> &amp; Echeverría y el valor restante para el pago de actividades de apoyo a la gestión del proyecto. Así </w:t>
      </w:r>
      <w:r w:rsidR="00D75F2D" w:rsidRPr="00632B8B">
        <w:rPr>
          <w:rFonts w:ascii="Arial" w:eastAsia="Times New Roman" w:hAnsi="Arial" w:cs="Arial"/>
          <w:szCs w:val="16"/>
          <w:lang w:val="es-ES" w:eastAsia="es-ES"/>
        </w:rPr>
        <w:t>pues,</w:t>
      </w:r>
      <w:r w:rsidRPr="00632B8B">
        <w:rPr>
          <w:rFonts w:ascii="Arial" w:eastAsia="Times New Roman" w:hAnsi="Arial" w:cs="Arial"/>
          <w:szCs w:val="16"/>
          <w:lang w:val="es-ES" w:eastAsia="es-ES"/>
        </w:rPr>
        <w:t xml:space="preserve"> el proyecto ejecutó al cierre del primer semestre de 2018 ha ejecutado un 30,08% por concepto de obligaciones. </w:t>
      </w:r>
    </w:p>
    <w:p w14:paraId="4A405F78" w14:textId="77777777" w:rsidR="00C20FD6" w:rsidRPr="002A4B47" w:rsidRDefault="00C20FD6" w:rsidP="00C20FD6">
      <w:pPr>
        <w:spacing w:after="0" w:line="240" w:lineRule="auto"/>
        <w:jc w:val="both"/>
        <w:rPr>
          <w:rFonts w:ascii="Arial" w:eastAsia="Arial" w:hAnsi="Arial" w:cs="Arial"/>
          <w:szCs w:val="16"/>
        </w:rPr>
      </w:pPr>
    </w:p>
    <w:p w14:paraId="229B5643" w14:textId="77777777" w:rsidR="00C20FD6" w:rsidRPr="002A4B47" w:rsidRDefault="00C20FD6" w:rsidP="00C20FD6">
      <w:pPr>
        <w:numPr>
          <w:ilvl w:val="0"/>
          <w:numId w:val="25"/>
        </w:numPr>
        <w:spacing w:after="0" w:line="240" w:lineRule="auto"/>
        <w:ind w:left="426"/>
        <w:jc w:val="both"/>
        <w:rPr>
          <w:rFonts w:ascii="Arial" w:eastAsia="Times New Roman" w:hAnsi="Arial" w:cs="Arial"/>
          <w:b/>
          <w:szCs w:val="16"/>
          <w:u w:val="single"/>
          <w:lang w:val="es-ES" w:eastAsia="es-ES"/>
        </w:rPr>
      </w:pPr>
      <w:r w:rsidRPr="002A4B47">
        <w:rPr>
          <w:rFonts w:ascii="Arial" w:eastAsia="Times New Roman" w:hAnsi="Arial" w:cs="Arial"/>
          <w:b/>
          <w:szCs w:val="16"/>
          <w:u w:val="single"/>
          <w:lang w:val="es-ES" w:eastAsia="es-ES"/>
        </w:rPr>
        <w:t>Dirección de Energía Eléctrica</w:t>
      </w:r>
    </w:p>
    <w:p w14:paraId="3C490FBF" w14:textId="77777777" w:rsidR="00C20FD6" w:rsidRPr="002A4B47" w:rsidRDefault="00C20FD6" w:rsidP="00C20FD6">
      <w:pPr>
        <w:spacing w:after="0" w:line="240" w:lineRule="auto"/>
        <w:ind w:left="360"/>
        <w:jc w:val="both"/>
        <w:rPr>
          <w:rFonts w:ascii="Arial" w:eastAsia="Arial" w:hAnsi="Arial" w:cs="Arial"/>
          <w:b/>
          <w:szCs w:val="16"/>
          <w:u w:val="single"/>
        </w:rPr>
      </w:pPr>
    </w:p>
    <w:p w14:paraId="59EDF032" w14:textId="77777777" w:rsidR="00C20FD6" w:rsidRPr="002A4B47" w:rsidRDefault="00C20FD6" w:rsidP="00C20FD6">
      <w:pPr>
        <w:spacing w:after="0" w:line="240" w:lineRule="auto"/>
        <w:jc w:val="both"/>
        <w:rPr>
          <w:rFonts w:ascii="Arial" w:eastAsia="Arial" w:hAnsi="Arial" w:cs="Arial"/>
          <w:szCs w:val="20"/>
        </w:rPr>
      </w:pPr>
      <w:r w:rsidRPr="002A4B47">
        <w:rPr>
          <w:rFonts w:ascii="Arial" w:eastAsia="Arial" w:hAnsi="Arial" w:cs="Arial"/>
          <w:szCs w:val="20"/>
        </w:rPr>
        <w:t>La Dirección de Energía Eléctrica para el año 2018 cuenta siete proyectos, con una apropiación vigente de $2.253.411 millones de pesos. La Dirección cerró el primer semestre con un total de $1.449.472 millones de pesos, equivalentes al 64,32% ejecutados en compromisos.</w:t>
      </w:r>
    </w:p>
    <w:p w14:paraId="4EE3C49E" w14:textId="77777777" w:rsidR="00C20FD6" w:rsidRPr="002A4B47" w:rsidRDefault="00C20FD6" w:rsidP="00C20FD6">
      <w:pPr>
        <w:spacing w:after="0" w:line="240" w:lineRule="auto"/>
        <w:jc w:val="both"/>
        <w:rPr>
          <w:rFonts w:ascii="Arial" w:eastAsia="Arial" w:hAnsi="Arial" w:cs="Arial"/>
          <w:szCs w:val="20"/>
        </w:rPr>
      </w:pPr>
      <w:r w:rsidRPr="002A4B47">
        <w:rPr>
          <w:rFonts w:ascii="Arial" w:eastAsia="Arial" w:hAnsi="Arial" w:cs="Arial"/>
          <w:szCs w:val="20"/>
        </w:rPr>
        <w:lastRenderedPageBreak/>
        <w:t>De igual manera, se ejecutaron obligaciones por $1.26.234 mill</w:t>
      </w:r>
      <w:r>
        <w:rPr>
          <w:rFonts w:ascii="Arial" w:eastAsia="Arial" w:hAnsi="Arial" w:cs="Arial"/>
          <w:szCs w:val="20"/>
        </w:rPr>
        <w:t xml:space="preserve">ones de pesos equivalentes a un </w:t>
      </w:r>
      <w:r w:rsidRPr="002A4B47">
        <w:rPr>
          <w:rFonts w:ascii="Arial" w:eastAsia="Arial" w:hAnsi="Arial" w:cs="Arial"/>
          <w:szCs w:val="20"/>
        </w:rPr>
        <w:t>54,42% en ejecución.</w:t>
      </w:r>
    </w:p>
    <w:p w14:paraId="12FAC37C" w14:textId="77777777" w:rsidR="00C20FD6" w:rsidRPr="00A201DA" w:rsidRDefault="00C20FD6" w:rsidP="00C20FD6">
      <w:pPr>
        <w:spacing w:after="0" w:line="240" w:lineRule="auto"/>
        <w:jc w:val="both"/>
        <w:rPr>
          <w:rFonts w:ascii="Arial" w:eastAsia="Arial" w:hAnsi="Arial" w:cs="Arial"/>
          <w:szCs w:val="20"/>
          <w:highlight w:val="yellow"/>
        </w:rPr>
      </w:pPr>
    </w:p>
    <w:p w14:paraId="392A169B" w14:textId="77777777" w:rsidR="00C20FD6" w:rsidRPr="00A201DA" w:rsidRDefault="00C20FD6" w:rsidP="00C20FD6">
      <w:pPr>
        <w:spacing w:after="0" w:line="240" w:lineRule="auto"/>
        <w:jc w:val="both"/>
        <w:rPr>
          <w:rFonts w:ascii="Arial" w:eastAsia="Arial" w:hAnsi="Arial" w:cs="Arial"/>
          <w:szCs w:val="20"/>
          <w:highlight w:val="yellow"/>
        </w:rPr>
      </w:pPr>
      <w:r w:rsidRPr="002A4B47">
        <w:rPr>
          <w:rFonts w:ascii="Arial" w:eastAsia="Arial" w:hAnsi="Arial" w:cs="Arial"/>
          <w:szCs w:val="20"/>
        </w:rPr>
        <w:t xml:space="preserve">La ejecución de los proyectos se realizó de la siguiente manera: </w:t>
      </w:r>
    </w:p>
    <w:p w14:paraId="1EB218BE" w14:textId="77777777" w:rsidR="00C20FD6" w:rsidRPr="002A4B47" w:rsidRDefault="00C20FD6" w:rsidP="00C20FD6">
      <w:pPr>
        <w:spacing w:after="0" w:line="240" w:lineRule="auto"/>
        <w:jc w:val="both"/>
        <w:rPr>
          <w:rFonts w:ascii="Arial" w:eastAsia="Arial" w:hAnsi="Arial" w:cs="Arial"/>
          <w:color w:val="FF0000"/>
          <w:szCs w:val="20"/>
        </w:rPr>
      </w:pPr>
    </w:p>
    <w:p w14:paraId="316C0219" w14:textId="77777777" w:rsidR="00C20FD6" w:rsidRPr="002A4B47" w:rsidRDefault="00C20FD6" w:rsidP="00C20FD6">
      <w:pPr>
        <w:spacing w:after="0" w:line="240" w:lineRule="auto"/>
        <w:jc w:val="both"/>
        <w:rPr>
          <w:rFonts w:ascii="Arial" w:eastAsia="Arial" w:hAnsi="Arial" w:cs="Arial"/>
          <w:b/>
          <w:szCs w:val="20"/>
          <w:u w:val="single"/>
        </w:rPr>
      </w:pPr>
      <w:r w:rsidRPr="002A4B47">
        <w:rPr>
          <w:rFonts w:ascii="Arial" w:eastAsia="Arial" w:hAnsi="Arial" w:cs="Arial"/>
          <w:b/>
          <w:szCs w:val="20"/>
          <w:u w:val="single"/>
        </w:rPr>
        <w:t>Subsidios:</w:t>
      </w:r>
    </w:p>
    <w:p w14:paraId="17994117" w14:textId="77777777" w:rsidR="00C20FD6" w:rsidRPr="002A4B47" w:rsidRDefault="00C20FD6" w:rsidP="00C20FD6">
      <w:pPr>
        <w:spacing w:after="0" w:line="240" w:lineRule="auto"/>
        <w:jc w:val="both"/>
        <w:rPr>
          <w:rFonts w:ascii="Arial" w:eastAsia="Arial" w:hAnsi="Arial" w:cs="Arial"/>
          <w:b/>
          <w:szCs w:val="20"/>
          <w:u w:val="single"/>
        </w:rPr>
      </w:pPr>
    </w:p>
    <w:p w14:paraId="6D62D82F" w14:textId="77777777" w:rsidR="00C20FD6" w:rsidRPr="002A4B47" w:rsidRDefault="00C20FD6" w:rsidP="008B4625">
      <w:pPr>
        <w:numPr>
          <w:ilvl w:val="0"/>
          <w:numId w:val="29"/>
        </w:numPr>
        <w:spacing w:after="0" w:line="240" w:lineRule="auto"/>
        <w:ind w:left="426"/>
        <w:jc w:val="both"/>
        <w:rPr>
          <w:rFonts w:ascii="Arial" w:eastAsia="Times New Roman" w:hAnsi="Arial" w:cs="Arial"/>
          <w:b/>
          <w:szCs w:val="20"/>
          <w:lang w:val="es-ES" w:eastAsia="es-ES"/>
        </w:rPr>
      </w:pPr>
      <w:r w:rsidRPr="002A4B47">
        <w:rPr>
          <w:rFonts w:ascii="Arial" w:eastAsia="Times New Roman" w:hAnsi="Arial" w:cs="Arial"/>
          <w:b/>
          <w:szCs w:val="20"/>
          <w:lang w:val="es-ES" w:eastAsia="es-ES"/>
        </w:rPr>
        <w:t>Distribución de Recursos para Pagos por Menores Tarifas Sector Eléctrico:</w:t>
      </w:r>
    </w:p>
    <w:p w14:paraId="040C7232" w14:textId="77777777" w:rsidR="00C20FD6" w:rsidRPr="002A4B47" w:rsidRDefault="00C20FD6" w:rsidP="00C20FD6">
      <w:pPr>
        <w:spacing w:after="0" w:line="240" w:lineRule="auto"/>
        <w:jc w:val="both"/>
        <w:rPr>
          <w:rFonts w:ascii="Arial" w:eastAsia="Times New Roman" w:hAnsi="Arial" w:cs="Arial"/>
          <w:b/>
          <w:szCs w:val="20"/>
          <w:lang w:val="es-ES" w:eastAsia="es-ES"/>
        </w:rPr>
      </w:pPr>
    </w:p>
    <w:p w14:paraId="6C85AA06" w14:textId="77777777" w:rsidR="00C20FD6" w:rsidRDefault="00C20FD6" w:rsidP="00C20FD6">
      <w:pPr>
        <w:spacing w:after="0" w:line="240" w:lineRule="auto"/>
        <w:jc w:val="both"/>
        <w:rPr>
          <w:rFonts w:ascii="Arial" w:eastAsia="Times New Roman" w:hAnsi="Arial" w:cs="Arial"/>
          <w:szCs w:val="20"/>
          <w:lang w:val="es-ES" w:eastAsia="es-ES"/>
        </w:rPr>
      </w:pPr>
      <w:r w:rsidRPr="002A4B47">
        <w:rPr>
          <w:rFonts w:ascii="Arial" w:eastAsia="Times New Roman" w:hAnsi="Arial" w:cs="Arial"/>
          <w:szCs w:val="20"/>
          <w:lang w:val="es-ES" w:eastAsia="es-ES"/>
        </w:rPr>
        <w:t>El proyecto con una apropiación de $1.8</w:t>
      </w:r>
      <w:r>
        <w:rPr>
          <w:rFonts w:ascii="Arial" w:eastAsia="Times New Roman" w:hAnsi="Arial" w:cs="Arial"/>
          <w:szCs w:val="20"/>
          <w:lang w:val="es-ES" w:eastAsia="es-ES"/>
        </w:rPr>
        <w:t>29</w:t>
      </w:r>
      <w:r w:rsidRPr="002A4B47">
        <w:rPr>
          <w:rFonts w:ascii="Arial" w:eastAsia="Times New Roman" w:hAnsi="Arial" w:cs="Arial"/>
          <w:szCs w:val="20"/>
          <w:lang w:val="es-ES" w:eastAsia="es-ES"/>
        </w:rPr>
        <w:t>.</w:t>
      </w:r>
      <w:r>
        <w:rPr>
          <w:rFonts w:ascii="Arial" w:eastAsia="Times New Roman" w:hAnsi="Arial" w:cs="Arial"/>
          <w:szCs w:val="20"/>
          <w:lang w:val="es-ES" w:eastAsia="es-ES"/>
        </w:rPr>
        <w:t>966</w:t>
      </w:r>
      <w:r w:rsidRPr="002A4B47">
        <w:rPr>
          <w:rFonts w:ascii="Arial" w:eastAsia="Times New Roman" w:hAnsi="Arial" w:cs="Arial"/>
          <w:szCs w:val="20"/>
          <w:lang w:val="es-ES" w:eastAsia="es-ES"/>
        </w:rPr>
        <w:t xml:space="preserve"> millones de pesos, durante el </w:t>
      </w:r>
      <w:r>
        <w:rPr>
          <w:rFonts w:ascii="Arial" w:eastAsia="Times New Roman" w:hAnsi="Arial" w:cs="Arial"/>
          <w:szCs w:val="20"/>
          <w:lang w:val="es-ES" w:eastAsia="es-ES"/>
        </w:rPr>
        <w:t>segundo</w:t>
      </w:r>
      <w:r w:rsidRPr="002A4B47">
        <w:rPr>
          <w:rFonts w:ascii="Arial" w:eastAsia="Times New Roman" w:hAnsi="Arial" w:cs="Arial"/>
          <w:szCs w:val="20"/>
          <w:lang w:val="es-ES" w:eastAsia="es-ES"/>
        </w:rPr>
        <w:t xml:space="preserve"> trimestre </w:t>
      </w:r>
      <w:r>
        <w:rPr>
          <w:rFonts w:ascii="Arial" w:eastAsia="Times New Roman" w:hAnsi="Arial" w:cs="Arial"/>
          <w:szCs w:val="20"/>
          <w:lang w:val="es-ES" w:eastAsia="es-ES"/>
        </w:rPr>
        <w:t>se comprometió recursos</w:t>
      </w:r>
      <w:r w:rsidRPr="002A4B47">
        <w:rPr>
          <w:rFonts w:ascii="Arial" w:eastAsia="Times New Roman" w:hAnsi="Arial" w:cs="Arial"/>
          <w:szCs w:val="20"/>
          <w:lang w:val="es-ES" w:eastAsia="es-ES"/>
        </w:rPr>
        <w:t xml:space="preserve"> por $</w:t>
      </w:r>
      <w:r>
        <w:rPr>
          <w:rFonts w:ascii="Arial" w:eastAsia="Times New Roman" w:hAnsi="Arial" w:cs="Arial"/>
          <w:szCs w:val="20"/>
          <w:lang w:val="es-ES" w:eastAsia="es-ES"/>
        </w:rPr>
        <w:t>340.918</w:t>
      </w:r>
      <w:r w:rsidRPr="002A4B47">
        <w:rPr>
          <w:rFonts w:ascii="Arial" w:eastAsia="Times New Roman" w:hAnsi="Arial" w:cs="Arial"/>
          <w:szCs w:val="20"/>
          <w:lang w:val="es-ES" w:eastAsia="es-ES"/>
        </w:rPr>
        <w:t xml:space="preserve"> millones de pesos, </w:t>
      </w:r>
      <w:r>
        <w:rPr>
          <w:rFonts w:ascii="Arial" w:eastAsia="Times New Roman" w:hAnsi="Arial" w:cs="Arial"/>
          <w:szCs w:val="20"/>
          <w:lang w:val="es-ES" w:eastAsia="es-ES"/>
        </w:rPr>
        <w:t>presentando un acumulado por $1.174.154 millones de pesos equivalentes a un 64</w:t>
      </w:r>
      <w:r w:rsidRPr="002A4B47">
        <w:rPr>
          <w:rFonts w:ascii="Arial" w:eastAsia="Times New Roman" w:hAnsi="Arial" w:cs="Arial"/>
          <w:szCs w:val="20"/>
          <w:lang w:val="es-ES" w:eastAsia="es-ES"/>
        </w:rPr>
        <w:t>,</w:t>
      </w:r>
      <w:r>
        <w:rPr>
          <w:rFonts w:ascii="Arial" w:eastAsia="Times New Roman" w:hAnsi="Arial" w:cs="Arial"/>
          <w:szCs w:val="20"/>
          <w:lang w:val="es-ES" w:eastAsia="es-ES"/>
        </w:rPr>
        <w:t>16% ejecutado.</w:t>
      </w:r>
    </w:p>
    <w:p w14:paraId="5ED89B6B" w14:textId="77777777" w:rsidR="00C20FD6" w:rsidRPr="002A4B47" w:rsidRDefault="00C20FD6" w:rsidP="00C20FD6">
      <w:pPr>
        <w:spacing w:after="0" w:line="240" w:lineRule="auto"/>
        <w:jc w:val="both"/>
        <w:rPr>
          <w:rFonts w:ascii="Arial" w:eastAsia="Times New Roman" w:hAnsi="Arial" w:cs="Arial"/>
          <w:szCs w:val="20"/>
          <w:lang w:val="es-ES" w:eastAsia="es-ES"/>
        </w:rPr>
      </w:pPr>
    </w:p>
    <w:p w14:paraId="36CF3FCC" w14:textId="77777777" w:rsidR="00C20FD6" w:rsidRDefault="00C20FD6" w:rsidP="00C20FD6">
      <w:pPr>
        <w:spacing w:after="0" w:line="240" w:lineRule="auto"/>
        <w:jc w:val="both"/>
        <w:rPr>
          <w:rFonts w:ascii="Arial" w:eastAsia="Times New Roman" w:hAnsi="Arial" w:cs="Arial"/>
          <w:szCs w:val="20"/>
          <w:lang w:val="es-ES" w:eastAsia="es-ES"/>
        </w:rPr>
      </w:pPr>
      <w:r w:rsidRPr="00561746">
        <w:rPr>
          <w:rFonts w:ascii="Arial" w:eastAsia="Times New Roman" w:hAnsi="Arial" w:cs="Arial"/>
          <w:szCs w:val="20"/>
          <w:lang w:val="es-ES" w:eastAsia="es-ES"/>
        </w:rPr>
        <w:t>En cuanto a las obligaciones, en el trimestre fueron por $588.048 millones de pesos, reflejando un acumulado por $1.162.417 millones de pesos equivalentes al 63,52% de ejecución. Lo anterior se evidencia en los siguientes cuadros:</w:t>
      </w:r>
      <w:r w:rsidRPr="002A4B47">
        <w:rPr>
          <w:rFonts w:ascii="Arial" w:eastAsia="Times New Roman" w:hAnsi="Arial" w:cs="Arial"/>
          <w:szCs w:val="20"/>
          <w:lang w:val="es-ES" w:eastAsia="es-ES"/>
        </w:rPr>
        <w:t xml:space="preserve"> </w:t>
      </w:r>
    </w:p>
    <w:p w14:paraId="47CF4C7A" w14:textId="77777777" w:rsidR="00C20FD6" w:rsidRDefault="00C20FD6" w:rsidP="00C20FD6">
      <w:pPr>
        <w:spacing w:after="0" w:line="240" w:lineRule="auto"/>
        <w:jc w:val="both"/>
        <w:rPr>
          <w:rFonts w:ascii="Arial" w:eastAsia="Times New Roman" w:hAnsi="Arial" w:cs="Arial"/>
          <w:szCs w:val="20"/>
          <w:lang w:val="es-ES" w:eastAsia="es-ES"/>
        </w:rPr>
      </w:pPr>
    </w:p>
    <w:p w14:paraId="35F45675" w14:textId="77777777" w:rsidR="00C02282" w:rsidRPr="006A67B4" w:rsidRDefault="00C02282" w:rsidP="00C02282">
      <w:pPr>
        <w:spacing w:after="0" w:line="240" w:lineRule="auto"/>
        <w:jc w:val="center"/>
        <w:rPr>
          <w:rFonts w:ascii="Arial" w:eastAsia="Arial" w:hAnsi="Arial" w:cs="Arial"/>
          <w:b/>
          <w:sz w:val="20"/>
          <w:szCs w:val="16"/>
          <w:highlight w:val="yellow"/>
        </w:rPr>
      </w:pPr>
    </w:p>
    <w:p w14:paraId="79A58EE2" w14:textId="77777777" w:rsidR="00C02282" w:rsidRPr="006A67B4" w:rsidRDefault="00C02282" w:rsidP="00C02282">
      <w:pPr>
        <w:spacing w:after="0" w:line="240" w:lineRule="auto"/>
        <w:ind w:left="7080" w:firstLine="708"/>
        <w:jc w:val="center"/>
        <w:rPr>
          <w:rFonts w:ascii="Arial" w:eastAsia="Arial" w:hAnsi="Arial" w:cs="Arial"/>
          <w:b/>
          <w:sz w:val="20"/>
          <w:szCs w:val="16"/>
          <w:highlight w:val="yellow"/>
        </w:rPr>
      </w:pPr>
    </w:p>
    <w:p w14:paraId="5F675FC6" w14:textId="693E9CA9" w:rsidR="00C02282" w:rsidRPr="00C20FD6" w:rsidRDefault="00C02282" w:rsidP="00C02282">
      <w:pPr>
        <w:pStyle w:val="Descripcin"/>
        <w:keepNext/>
        <w:jc w:val="center"/>
      </w:pPr>
      <w:bookmarkStart w:id="42" w:name="_Toc525652463"/>
      <w:r w:rsidRPr="00C20FD6">
        <w:t xml:space="preserve">Tabla </w:t>
      </w:r>
      <w:r w:rsidRPr="00C20FD6">
        <w:fldChar w:fldCharType="begin"/>
      </w:r>
      <w:r w:rsidRPr="00C20FD6">
        <w:instrText xml:space="preserve"> SEQ Tabla \* ARABIC </w:instrText>
      </w:r>
      <w:r w:rsidRPr="00C20FD6">
        <w:fldChar w:fldCharType="separate"/>
      </w:r>
      <w:r w:rsidR="008B4625">
        <w:rPr>
          <w:noProof/>
        </w:rPr>
        <w:t>17</w:t>
      </w:r>
      <w:r w:rsidRPr="00C20FD6">
        <w:fldChar w:fldCharType="end"/>
      </w:r>
      <w:r w:rsidRPr="00C20FD6">
        <w:t xml:space="preserve"> </w:t>
      </w:r>
      <w:r w:rsidR="00C20FD6" w:rsidRPr="00C20FD6">
        <w:t xml:space="preserve">Segundo </w:t>
      </w:r>
      <w:r w:rsidRPr="00C20FD6">
        <w:t xml:space="preserve">Trimestre Subsidios Eléctricos </w:t>
      </w:r>
      <w:r w:rsidR="00C20FD6">
        <w:t>SIN</w:t>
      </w:r>
      <w:r w:rsidRPr="00C20FD6">
        <w:t xml:space="preserve"> / Compromisos MMW</w:t>
      </w:r>
      <w:bookmarkEnd w:id="42"/>
    </w:p>
    <w:tbl>
      <w:tblPr>
        <w:tblW w:w="9488" w:type="dxa"/>
        <w:tblCellMar>
          <w:left w:w="70" w:type="dxa"/>
          <w:right w:w="70" w:type="dxa"/>
        </w:tblCellMar>
        <w:tblLook w:val="04A0" w:firstRow="1" w:lastRow="0" w:firstColumn="1" w:lastColumn="0" w:noHBand="0" w:noVBand="1"/>
      </w:tblPr>
      <w:tblGrid>
        <w:gridCol w:w="7645"/>
        <w:gridCol w:w="1843"/>
      </w:tblGrid>
      <w:tr w:rsidR="00C20FD6" w:rsidRPr="000E4CAF" w14:paraId="4BF26479" w14:textId="77777777" w:rsidTr="00BC1C03">
        <w:trPr>
          <w:trHeight w:val="315"/>
        </w:trPr>
        <w:tc>
          <w:tcPr>
            <w:tcW w:w="9488" w:type="dxa"/>
            <w:gridSpan w:val="2"/>
            <w:tcBorders>
              <w:top w:val="single" w:sz="8" w:space="0" w:color="auto"/>
              <w:left w:val="single" w:sz="8" w:space="0" w:color="auto"/>
              <w:bottom w:val="single" w:sz="4" w:space="0" w:color="auto"/>
              <w:right w:val="single" w:sz="8" w:space="0" w:color="000000"/>
            </w:tcBorders>
            <w:shd w:val="clear" w:color="auto" w:fill="17365D"/>
            <w:noWrap/>
            <w:vAlign w:val="bottom"/>
            <w:hideMark/>
          </w:tcPr>
          <w:p w14:paraId="564FBC29"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SIN - COMPROMISOS</w:t>
            </w:r>
          </w:p>
        </w:tc>
      </w:tr>
      <w:tr w:rsidR="00C20FD6" w:rsidRPr="000E4CAF" w14:paraId="694863DE" w14:textId="77777777" w:rsidTr="00BC1C03">
        <w:trPr>
          <w:trHeight w:val="315"/>
        </w:trPr>
        <w:tc>
          <w:tcPr>
            <w:tcW w:w="7645" w:type="dxa"/>
            <w:tcBorders>
              <w:top w:val="single" w:sz="4" w:space="0" w:color="auto"/>
              <w:left w:val="single" w:sz="8" w:space="0" w:color="auto"/>
              <w:bottom w:val="single" w:sz="8" w:space="0" w:color="auto"/>
              <w:right w:val="single" w:sz="4" w:space="0" w:color="000000"/>
            </w:tcBorders>
            <w:shd w:val="clear" w:color="auto" w:fill="17365D"/>
            <w:noWrap/>
            <w:vAlign w:val="bottom"/>
            <w:hideMark/>
          </w:tcPr>
          <w:p w14:paraId="2D054396"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Objeto</w:t>
            </w:r>
          </w:p>
        </w:tc>
        <w:tc>
          <w:tcPr>
            <w:tcW w:w="1843" w:type="dxa"/>
            <w:tcBorders>
              <w:top w:val="nil"/>
              <w:left w:val="nil"/>
              <w:bottom w:val="nil"/>
              <w:right w:val="single" w:sz="8" w:space="0" w:color="auto"/>
            </w:tcBorders>
            <w:shd w:val="clear" w:color="auto" w:fill="17365D"/>
            <w:noWrap/>
            <w:vAlign w:val="bottom"/>
            <w:hideMark/>
          </w:tcPr>
          <w:p w14:paraId="3DFE8BDD"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Valor</w:t>
            </w:r>
          </w:p>
        </w:tc>
      </w:tr>
      <w:tr w:rsidR="00C20FD6" w:rsidRPr="000E4CAF" w14:paraId="616C0B1D" w14:textId="77777777" w:rsidTr="00BC1C03">
        <w:trPr>
          <w:trHeight w:val="666"/>
        </w:trPr>
        <w:tc>
          <w:tcPr>
            <w:tcW w:w="76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92C1989"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CUBRIR EL DÉFICIT DE LOS SUBSIDIOS PAGO PARCIAL PRIMER TRIMESTRE 2018, DISTRIBUCIÓN DE RECURSOS PARA PAGOS POR MENORES TARIFAS DEL SECTOR ELÉCTRICO - CALCULO FSSRI-SIN</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4BDC6719"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124.688 </w:t>
            </w:r>
          </w:p>
        </w:tc>
      </w:tr>
      <w:tr w:rsidR="00C20FD6" w:rsidRPr="000E4CAF" w14:paraId="287BC2AD" w14:textId="77777777" w:rsidTr="00BC1C03">
        <w:trPr>
          <w:trHeight w:val="850"/>
        </w:trPr>
        <w:tc>
          <w:tcPr>
            <w:tcW w:w="76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8F339FF"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CUBRIR EL DEFICIT DE LOS SUBSIDIOS PRIMER TRIMESTRE Y PARCIAL DEL SEGUNDO TRIMESTRE DEL 2018. PAGOS MENORES TARIFAS DEL SECTOR ELÉCTRICO, CALCULO CIERRE 1ER TRIMESTRE Y PROYECCCIÓN 2DO.TRIMESTRES DE 2018- FSSRI-SIN</w:t>
            </w:r>
          </w:p>
        </w:tc>
        <w:tc>
          <w:tcPr>
            <w:tcW w:w="1843" w:type="dxa"/>
            <w:tcBorders>
              <w:top w:val="nil"/>
              <w:left w:val="nil"/>
              <w:bottom w:val="single" w:sz="4" w:space="0" w:color="auto"/>
              <w:right w:val="single" w:sz="8" w:space="0" w:color="auto"/>
            </w:tcBorders>
            <w:shd w:val="clear" w:color="auto" w:fill="auto"/>
            <w:noWrap/>
            <w:vAlign w:val="center"/>
            <w:hideMark/>
          </w:tcPr>
          <w:p w14:paraId="760492AC"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150.101 </w:t>
            </w:r>
          </w:p>
        </w:tc>
      </w:tr>
      <w:tr w:rsidR="00C20FD6" w:rsidRPr="000E4CAF" w14:paraId="33F3391F" w14:textId="77777777" w:rsidTr="00BC1C03">
        <w:trPr>
          <w:trHeight w:val="956"/>
        </w:trPr>
        <w:tc>
          <w:tcPr>
            <w:tcW w:w="76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E839CB"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DISTRIBUIR RECURSOS PARA CUBRIR LOS DEFICITS DE SUBSIDIOS DEL SERVICIO PUBLICO DOMICILIARIO DE ENERGIA ELECTRICA EN EL ÁREA DE SERVICIOS EXCLUSIVO DEL AMAZONAS CORRESPONDIENTE AL CIERRE DEL PRIMER TRIMESTRE DE 2018 Y ANTICIPO DEL SEGUNDO TRIMESTRE 18</w:t>
            </w:r>
          </w:p>
        </w:tc>
        <w:tc>
          <w:tcPr>
            <w:tcW w:w="1843" w:type="dxa"/>
            <w:tcBorders>
              <w:top w:val="nil"/>
              <w:left w:val="nil"/>
              <w:bottom w:val="single" w:sz="4" w:space="0" w:color="auto"/>
              <w:right w:val="single" w:sz="8" w:space="0" w:color="auto"/>
            </w:tcBorders>
            <w:shd w:val="clear" w:color="auto" w:fill="auto"/>
            <w:noWrap/>
            <w:vAlign w:val="center"/>
            <w:hideMark/>
          </w:tcPr>
          <w:p w14:paraId="1DFDFD82"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7.531 </w:t>
            </w:r>
          </w:p>
        </w:tc>
      </w:tr>
      <w:tr w:rsidR="00C20FD6" w:rsidRPr="000E4CAF" w14:paraId="7CC10C8C" w14:textId="77777777" w:rsidTr="00BC1C03">
        <w:trPr>
          <w:trHeight w:val="336"/>
        </w:trPr>
        <w:tc>
          <w:tcPr>
            <w:tcW w:w="7645" w:type="dxa"/>
            <w:tcBorders>
              <w:top w:val="single" w:sz="8" w:space="0" w:color="auto"/>
              <w:left w:val="single" w:sz="8" w:space="0" w:color="auto"/>
              <w:bottom w:val="single" w:sz="8" w:space="0" w:color="auto"/>
              <w:right w:val="single" w:sz="4" w:space="0" w:color="000000"/>
            </w:tcBorders>
            <w:shd w:val="clear" w:color="auto" w:fill="17365D"/>
            <w:noWrap/>
            <w:vAlign w:val="center"/>
            <w:hideMark/>
          </w:tcPr>
          <w:p w14:paraId="14E32C63"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1843" w:type="dxa"/>
            <w:tcBorders>
              <w:top w:val="single" w:sz="8" w:space="0" w:color="auto"/>
              <w:left w:val="nil"/>
              <w:bottom w:val="single" w:sz="8" w:space="0" w:color="auto"/>
              <w:right w:val="single" w:sz="8" w:space="0" w:color="auto"/>
            </w:tcBorders>
            <w:shd w:val="clear" w:color="auto" w:fill="17365D"/>
            <w:noWrap/>
            <w:vAlign w:val="center"/>
            <w:hideMark/>
          </w:tcPr>
          <w:p w14:paraId="6A2A886F" w14:textId="77777777" w:rsidR="00C20FD6" w:rsidRPr="00185D32" w:rsidRDefault="00C20FD6" w:rsidP="00BC1C03">
            <w:pPr>
              <w:spacing w:after="0" w:line="240" w:lineRule="auto"/>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282.320 </w:t>
            </w:r>
          </w:p>
        </w:tc>
      </w:tr>
    </w:tbl>
    <w:p w14:paraId="70803D94" w14:textId="77777777" w:rsidR="00C20FD6" w:rsidRPr="00F77263" w:rsidRDefault="00C20FD6" w:rsidP="00C20FD6">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02C758C5" w14:textId="77777777" w:rsidR="00C20FD6" w:rsidRPr="00F77263" w:rsidRDefault="00C20FD6" w:rsidP="00C20FD6">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169024D1" w14:textId="77777777" w:rsidR="00C02282" w:rsidRDefault="00C02282" w:rsidP="00C02282">
      <w:pPr>
        <w:spacing w:after="0" w:line="240" w:lineRule="auto"/>
        <w:ind w:left="7080" w:firstLine="708"/>
        <w:jc w:val="center"/>
        <w:rPr>
          <w:rFonts w:ascii="Arial" w:eastAsia="Arial" w:hAnsi="Arial" w:cs="Arial"/>
          <w:b/>
          <w:sz w:val="20"/>
          <w:szCs w:val="16"/>
          <w:highlight w:val="yellow"/>
        </w:rPr>
      </w:pPr>
    </w:p>
    <w:p w14:paraId="34A536BD" w14:textId="77777777" w:rsidR="00C20FD6" w:rsidRDefault="00C20FD6" w:rsidP="00C02282">
      <w:pPr>
        <w:spacing w:after="0" w:line="240" w:lineRule="auto"/>
        <w:ind w:left="7080" w:firstLine="708"/>
        <w:jc w:val="center"/>
        <w:rPr>
          <w:rFonts w:ascii="Arial" w:eastAsia="Arial" w:hAnsi="Arial" w:cs="Arial"/>
          <w:b/>
          <w:sz w:val="20"/>
          <w:szCs w:val="16"/>
          <w:highlight w:val="yellow"/>
        </w:rPr>
      </w:pPr>
    </w:p>
    <w:p w14:paraId="4131BAD7" w14:textId="77777777" w:rsidR="00C20FD6" w:rsidRDefault="00C20FD6" w:rsidP="00C02282">
      <w:pPr>
        <w:spacing w:after="0" w:line="240" w:lineRule="auto"/>
        <w:ind w:left="7080" w:firstLine="708"/>
        <w:jc w:val="center"/>
        <w:rPr>
          <w:rFonts w:ascii="Arial" w:eastAsia="Arial" w:hAnsi="Arial" w:cs="Arial"/>
          <w:b/>
          <w:sz w:val="20"/>
          <w:szCs w:val="16"/>
          <w:highlight w:val="yellow"/>
        </w:rPr>
      </w:pPr>
    </w:p>
    <w:p w14:paraId="3FD8678F" w14:textId="77777777" w:rsidR="00D85753" w:rsidRDefault="00D85753" w:rsidP="00C02282">
      <w:pPr>
        <w:spacing w:after="0" w:line="240" w:lineRule="auto"/>
        <w:ind w:left="7080" w:firstLine="708"/>
        <w:jc w:val="center"/>
        <w:rPr>
          <w:rFonts w:ascii="Arial" w:eastAsia="Arial" w:hAnsi="Arial" w:cs="Arial"/>
          <w:b/>
          <w:sz w:val="20"/>
          <w:szCs w:val="16"/>
          <w:highlight w:val="yellow"/>
        </w:rPr>
      </w:pPr>
    </w:p>
    <w:p w14:paraId="56992471" w14:textId="77777777" w:rsidR="00D85753" w:rsidRDefault="00D85753" w:rsidP="00C02282">
      <w:pPr>
        <w:spacing w:after="0" w:line="240" w:lineRule="auto"/>
        <w:ind w:left="7080" w:firstLine="708"/>
        <w:jc w:val="center"/>
        <w:rPr>
          <w:rFonts w:ascii="Arial" w:eastAsia="Arial" w:hAnsi="Arial" w:cs="Arial"/>
          <w:b/>
          <w:sz w:val="20"/>
          <w:szCs w:val="16"/>
          <w:highlight w:val="yellow"/>
        </w:rPr>
      </w:pPr>
    </w:p>
    <w:p w14:paraId="4C17D8EB" w14:textId="77777777" w:rsidR="00D85753" w:rsidRDefault="00D85753" w:rsidP="00C02282">
      <w:pPr>
        <w:spacing w:after="0" w:line="240" w:lineRule="auto"/>
        <w:ind w:left="7080" w:firstLine="708"/>
        <w:jc w:val="center"/>
        <w:rPr>
          <w:rFonts w:ascii="Arial" w:eastAsia="Arial" w:hAnsi="Arial" w:cs="Arial"/>
          <w:b/>
          <w:sz w:val="20"/>
          <w:szCs w:val="16"/>
          <w:highlight w:val="yellow"/>
        </w:rPr>
      </w:pPr>
    </w:p>
    <w:p w14:paraId="49E98F5B" w14:textId="77777777" w:rsidR="00D85753" w:rsidRDefault="00D85753" w:rsidP="00C02282">
      <w:pPr>
        <w:spacing w:after="0" w:line="240" w:lineRule="auto"/>
        <w:ind w:left="7080" w:firstLine="708"/>
        <w:jc w:val="center"/>
        <w:rPr>
          <w:rFonts w:ascii="Arial" w:eastAsia="Arial" w:hAnsi="Arial" w:cs="Arial"/>
          <w:b/>
          <w:sz w:val="20"/>
          <w:szCs w:val="16"/>
          <w:highlight w:val="yellow"/>
        </w:rPr>
      </w:pPr>
    </w:p>
    <w:p w14:paraId="2BD9B435" w14:textId="77777777" w:rsidR="00C20FD6" w:rsidRDefault="00C20FD6" w:rsidP="00C02282">
      <w:pPr>
        <w:spacing w:after="0" w:line="240" w:lineRule="auto"/>
        <w:ind w:left="7080" w:firstLine="708"/>
        <w:jc w:val="center"/>
        <w:rPr>
          <w:rFonts w:ascii="Arial" w:eastAsia="Arial" w:hAnsi="Arial" w:cs="Arial"/>
          <w:b/>
          <w:sz w:val="20"/>
          <w:szCs w:val="16"/>
          <w:highlight w:val="yellow"/>
        </w:rPr>
      </w:pPr>
    </w:p>
    <w:p w14:paraId="6604C314" w14:textId="77777777" w:rsidR="00C20FD6" w:rsidRDefault="00C20FD6" w:rsidP="00C02282">
      <w:pPr>
        <w:spacing w:after="0" w:line="240" w:lineRule="auto"/>
        <w:ind w:left="7080" w:firstLine="708"/>
        <w:jc w:val="center"/>
        <w:rPr>
          <w:rFonts w:ascii="Arial" w:eastAsia="Arial" w:hAnsi="Arial" w:cs="Arial"/>
          <w:b/>
          <w:sz w:val="20"/>
          <w:szCs w:val="16"/>
          <w:highlight w:val="yellow"/>
        </w:rPr>
      </w:pPr>
    </w:p>
    <w:p w14:paraId="59E31085" w14:textId="77777777" w:rsidR="00C20FD6" w:rsidRDefault="00C20FD6" w:rsidP="00C02282">
      <w:pPr>
        <w:spacing w:after="0" w:line="240" w:lineRule="auto"/>
        <w:ind w:left="7080" w:firstLine="708"/>
        <w:jc w:val="center"/>
        <w:rPr>
          <w:rFonts w:ascii="Arial" w:eastAsia="Arial" w:hAnsi="Arial" w:cs="Arial"/>
          <w:b/>
          <w:sz w:val="20"/>
          <w:szCs w:val="16"/>
          <w:highlight w:val="yellow"/>
        </w:rPr>
      </w:pPr>
    </w:p>
    <w:p w14:paraId="7DA87B53" w14:textId="77777777" w:rsidR="00C20FD6" w:rsidRPr="006A67B4" w:rsidRDefault="00C20FD6" w:rsidP="00C02282">
      <w:pPr>
        <w:spacing w:after="0" w:line="240" w:lineRule="auto"/>
        <w:ind w:left="7080" w:firstLine="708"/>
        <w:jc w:val="center"/>
        <w:rPr>
          <w:rFonts w:ascii="Arial" w:eastAsia="Arial" w:hAnsi="Arial" w:cs="Arial"/>
          <w:b/>
          <w:sz w:val="20"/>
          <w:szCs w:val="16"/>
          <w:highlight w:val="yellow"/>
        </w:rPr>
      </w:pPr>
    </w:p>
    <w:p w14:paraId="32E1156E" w14:textId="4ABA4003" w:rsidR="00C02282" w:rsidRPr="00C20FD6" w:rsidRDefault="00C02282" w:rsidP="00C02282">
      <w:pPr>
        <w:pStyle w:val="Descripcin"/>
        <w:keepNext/>
        <w:jc w:val="center"/>
      </w:pPr>
      <w:bookmarkStart w:id="43" w:name="_Toc525652464"/>
      <w:r w:rsidRPr="00C20FD6">
        <w:lastRenderedPageBreak/>
        <w:t xml:space="preserve">Tabla </w:t>
      </w:r>
      <w:r w:rsidRPr="00C20FD6">
        <w:fldChar w:fldCharType="begin"/>
      </w:r>
      <w:r w:rsidRPr="00C20FD6">
        <w:instrText xml:space="preserve"> SEQ Tabla \* ARABIC </w:instrText>
      </w:r>
      <w:r w:rsidRPr="00C20FD6">
        <w:fldChar w:fldCharType="separate"/>
      </w:r>
      <w:r w:rsidR="008B4625">
        <w:rPr>
          <w:noProof/>
        </w:rPr>
        <w:t>18</w:t>
      </w:r>
      <w:r w:rsidRPr="00C20FD6">
        <w:fldChar w:fldCharType="end"/>
      </w:r>
      <w:r w:rsidRPr="00C20FD6">
        <w:t xml:space="preserve"> </w:t>
      </w:r>
      <w:r w:rsidR="00C20FD6" w:rsidRPr="00C20FD6">
        <w:t xml:space="preserve">Segundo </w:t>
      </w:r>
      <w:r w:rsidRPr="00C20FD6">
        <w:t xml:space="preserve"> Trimestre  Subsidios Eléctricos </w:t>
      </w:r>
      <w:r w:rsidR="00C20FD6" w:rsidRPr="00C20FD6">
        <w:t xml:space="preserve">ZIN / Compromisos </w:t>
      </w:r>
      <w:r w:rsidRPr="00C20FD6">
        <w:t>MME</w:t>
      </w:r>
      <w:bookmarkEnd w:id="43"/>
    </w:p>
    <w:tbl>
      <w:tblPr>
        <w:tblW w:w="9640" w:type="dxa"/>
        <w:jc w:val="center"/>
        <w:tblCellMar>
          <w:left w:w="70" w:type="dxa"/>
          <w:right w:w="70" w:type="dxa"/>
        </w:tblCellMar>
        <w:tblLook w:val="04A0" w:firstRow="1" w:lastRow="0" w:firstColumn="1" w:lastColumn="0" w:noHBand="0" w:noVBand="1"/>
      </w:tblPr>
      <w:tblGrid>
        <w:gridCol w:w="7797"/>
        <w:gridCol w:w="1843"/>
      </w:tblGrid>
      <w:tr w:rsidR="00C20FD6" w:rsidRPr="000E4CAF" w14:paraId="09B0F23E" w14:textId="77777777" w:rsidTr="00D93790">
        <w:trPr>
          <w:trHeight w:val="315"/>
          <w:tblHeader/>
          <w:jc w:val="center"/>
        </w:trPr>
        <w:tc>
          <w:tcPr>
            <w:tcW w:w="9640" w:type="dxa"/>
            <w:gridSpan w:val="2"/>
            <w:tcBorders>
              <w:top w:val="single" w:sz="8" w:space="0" w:color="auto"/>
              <w:left w:val="single" w:sz="8" w:space="0" w:color="auto"/>
              <w:bottom w:val="single" w:sz="8" w:space="0" w:color="auto"/>
              <w:right w:val="single" w:sz="8" w:space="0" w:color="000000"/>
            </w:tcBorders>
            <w:shd w:val="clear" w:color="auto" w:fill="244061" w:themeFill="accent1" w:themeFillShade="80"/>
            <w:noWrap/>
            <w:vAlign w:val="bottom"/>
            <w:hideMark/>
          </w:tcPr>
          <w:p w14:paraId="765A8518" w14:textId="77777777" w:rsidR="00C20FD6" w:rsidRPr="00C20FD6" w:rsidRDefault="00C20FD6" w:rsidP="00BC1C03">
            <w:pPr>
              <w:spacing w:after="0" w:line="240" w:lineRule="auto"/>
              <w:jc w:val="center"/>
              <w:rPr>
                <w:rFonts w:ascii="Arial" w:eastAsia="Times New Roman" w:hAnsi="Arial" w:cs="Arial"/>
                <w:b/>
                <w:bCs/>
                <w:color w:val="FFFFFF"/>
                <w:sz w:val="18"/>
                <w:szCs w:val="18"/>
                <w:highlight w:val="yellow"/>
                <w:lang w:eastAsia="es-CO"/>
              </w:rPr>
            </w:pPr>
            <w:r w:rsidRPr="00C20FD6">
              <w:rPr>
                <w:rFonts w:ascii="Arial" w:eastAsia="Times New Roman" w:hAnsi="Arial" w:cs="Arial"/>
                <w:b/>
                <w:bCs/>
                <w:color w:val="FFFFFF"/>
                <w:sz w:val="18"/>
                <w:szCs w:val="18"/>
                <w:lang w:eastAsia="es-CO"/>
              </w:rPr>
              <w:t xml:space="preserve">ZNI - COMPROMISOS </w:t>
            </w:r>
          </w:p>
        </w:tc>
      </w:tr>
      <w:tr w:rsidR="00C20FD6" w:rsidRPr="000E4CAF" w14:paraId="6589C77F" w14:textId="77777777" w:rsidTr="00D93790">
        <w:tblPrEx>
          <w:jc w:val="left"/>
        </w:tblPrEx>
        <w:trPr>
          <w:trHeight w:val="315"/>
        </w:trPr>
        <w:tc>
          <w:tcPr>
            <w:tcW w:w="7797" w:type="dxa"/>
            <w:tcBorders>
              <w:top w:val="nil"/>
              <w:left w:val="single" w:sz="8" w:space="0" w:color="auto"/>
              <w:bottom w:val="nil"/>
              <w:right w:val="single" w:sz="4" w:space="0" w:color="auto"/>
            </w:tcBorders>
            <w:shd w:val="clear" w:color="auto" w:fill="17365D"/>
            <w:noWrap/>
            <w:vAlign w:val="bottom"/>
            <w:hideMark/>
          </w:tcPr>
          <w:p w14:paraId="6449E633" w14:textId="77777777" w:rsidR="00C20FD6" w:rsidRPr="00C231AD" w:rsidRDefault="00C20FD6" w:rsidP="00BC1C03">
            <w:pPr>
              <w:spacing w:after="0" w:line="240" w:lineRule="auto"/>
              <w:jc w:val="center"/>
              <w:rPr>
                <w:rFonts w:eastAsia="Times New Roman"/>
                <w:b/>
                <w:bCs/>
                <w:color w:val="FFFFFF"/>
                <w:lang w:eastAsia="es-CO"/>
              </w:rPr>
            </w:pPr>
            <w:r w:rsidRPr="00C231AD">
              <w:rPr>
                <w:rFonts w:eastAsia="Times New Roman"/>
                <w:b/>
                <w:bCs/>
                <w:color w:val="FFFFFF"/>
                <w:lang w:eastAsia="es-CO"/>
              </w:rPr>
              <w:t>Objeto</w:t>
            </w:r>
          </w:p>
        </w:tc>
        <w:tc>
          <w:tcPr>
            <w:tcW w:w="1843" w:type="dxa"/>
            <w:tcBorders>
              <w:top w:val="nil"/>
              <w:left w:val="nil"/>
              <w:bottom w:val="nil"/>
              <w:right w:val="single" w:sz="8" w:space="0" w:color="auto"/>
            </w:tcBorders>
            <w:shd w:val="clear" w:color="auto" w:fill="17365D"/>
            <w:noWrap/>
            <w:vAlign w:val="bottom"/>
            <w:hideMark/>
          </w:tcPr>
          <w:p w14:paraId="02111CC8" w14:textId="77777777" w:rsidR="00C20FD6" w:rsidRPr="00C231AD" w:rsidRDefault="00C20FD6" w:rsidP="00BC1C03">
            <w:pPr>
              <w:spacing w:after="0" w:line="240" w:lineRule="auto"/>
              <w:jc w:val="center"/>
              <w:rPr>
                <w:rFonts w:eastAsia="Times New Roman"/>
                <w:b/>
                <w:bCs/>
                <w:color w:val="FFFFFF"/>
                <w:lang w:eastAsia="es-CO"/>
              </w:rPr>
            </w:pPr>
            <w:r w:rsidRPr="00C231AD">
              <w:rPr>
                <w:rFonts w:eastAsia="Times New Roman"/>
                <w:b/>
                <w:bCs/>
                <w:color w:val="FFFFFF"/>
                <w:lang w:eastAsia="es-CO"/>
              </w:rPr>
              <w:t>Valor</w:t>
            </w:r>
          </w:p>
        </w:tc>
      </w:tr>
      <w:tr w:rsidR="00C20FD6" w:rsidRPr="000E4CAF" w14:paraId="6603EFB2" w14:textId="77777777" w:rsidTr="00D93790">
        <w:tblPrEx>
          <w:jc w:val="left"/>
        </w:tblPrEx>
        <w:trPr>
          <w:trHeight w:val="797"/>
        </w:trPr>
        <w:tc>
          <w:tcPr>
            <w:tcW w:w="7797" w:type="dxa"/>
            <w:tcBorders>
              <w:top w:val="single" w:sz="4" w:space="0" w:color="auto"/>
              <w:left w:val="single" w:sz="8" w:space="0" w:color="auto"/>
              <w:bottom w:val="nil"/>
              <w:right w:val="single" w:sz="4" w:space="0" w:color="auto"/>
            </w:tcBorders>
            <w:shd w:val="clear" w:color="auto" w:fill="auto"/>
            <w:vAlign w:val="center"/>
            <w:hideMark/>
          </w:tcPr>
          <w:p w14:paraId="71B73EBC"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DE RECURSOS A FAVOR DE EMPRESAS DEL SECTOR ELÉCTRICO CON DESTINO A USUARIOS DE ZNI Y DE CEDENAR Y GENSA, PARA CUBRIR DÉFICIT DE SUBSIDIOS CORRESPONDIENTES A CIERRES PARCIALES DE 1°, 2°, 3° Y 4° TRIMESTRES DE 2017</w:t>
            </w:r>
          </w:p>
        </w:tc>
        <w:tc>
          <w:tcPr>
            <w:tcW w:w="1843" w:type="dxa"/>
            <w:tcBorders>
              <w:top w:val="single" w:sz="4" w:space="0" w:color="auto"/>
              <w:left w:val="nil"/>
              <w:bottom w:val="nil"/>
              <w:right w:val="single" w:sz="8" w:space="0" w:color="auto"/>
            </w:tcBorders>
            <w:shd w:val="clear" w:color="auto" w:fill="auto"/>
            <w:noWrap/>
            <w:vAlign w:val="center"/>
            <w:hideMark/>
          </w:tcPr>
          <w:p w14:paraId="1DEE9CD9"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26.502 </w:t>
            </w:r>
          </w:p>
        </w:tc>
      </w:tr>
      <w:tr w:rsidR="00C20FD6" w:rsidRPr="000E4CAF" w14:paraId="350B07F7" w14:textId="77777777" w:rsidTr="00D93790">
        <w:tblPrEx>
          <w:jc w:val="left"/>
        </w:tblPrEx>
        <w:trPr>
          <w:trHeight w:val="749"/>
        </w:trPr>
        <w:tc>
          <w:tcPr>
            <w:tcW w:w="77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0F68B7"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DE RECURSOS A PRESTADORES SERVICIO DE ENERGÍA PARA CUBRIR PARCIALMENTE SUBSIDIOS 2° TRIMESTRE 2018 CON DESTINO A USUARIOS DE ZNI. CORRESPONDEN A DESPACHOS EFECTIVOS DE COMBUSTIBLE DEL MES MAYO DE 2018.</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2A310149"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4.112 </w:t>
            </w:r>
          </w:p>
        </w:tc>
      </w:tr>
      <w:tr w:rsidR="00C20FD6" w:rsidRPr="000E4CAF" w14:paraId="71119B70" w14:textId="77777777" w:rsidTr="00D93790">
        <w:tblPrEx>
          <w:jc w:val="left"/>
        </w:tblPrEx>
        <w:trPr>
          <w:trHeight w:val="835"/>
        </w:trPr>
        <w:tc>
          <w:tcPr>
            <w:tcW w:w="7797" w:type="dxa"/>
            <w:tcBorders>
              <w:top w:val="single" w:sz="4" w:space="0" w:color="auto"/>
              <w:left w:val="single" w:sz="8" w:space="0" w:color="auto"/>
              <w:bottom w:val="nil"/>
              <w:right w:val="single" w:sz="4" w:space="0" w:color="auto"/>
            </w:tcBorders>
            <w:shd w:val="clear" w:color="auto" w:fill="auto"/>
            <w:vAlign w:val="center"/>
            <w:hideMark/>
          </w:tcPr>
          <w:p w14:paraId="033D5C49"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DE RECURSOS A PRESTADORES SERVICIO DE ENERGÍA PARA CUBRIR PARCIALMENTE SUBSIDIOS 2° TRIMESTRE 2018 CON DESTINO A USUARIOS DE ZNI. CORRESPONDEN A FACTURAS DE COMPRA DE COMBISTBLE PRESENTADAS POR SOPESA S.A. ESP.</w:t>
            </w:r>
          </w:p>
        </w:tc>
        <w:tc>
          <w:tcPr>
            <w:tcW w:w="1843" w:type="dxa"/>
            <w:tcBorders>
              <w:top w:val="nil"/>
              <w:left w:val="nil"/>
              <w:bottom w:val="nil"/>
              <w:right w:val="single" w:sz="8" w:space="0" w:color="auto"/>
            </w:tcBorders>
            <w:shd w:val="clear" w:color="auto" w:fill="auto"/>
            <w:noWrap/>
            <w:vAlign w:val="center"/>
            <w:hideMark/>
          </w:tcPr>
          <w:p w14:paraId="640A0FEB"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7.456 </w:t>
            </w:r>
          </w:p>
        </w:tc>
      </w:tr>
      <w:tr w:rsidR="00C20FD6" w:rsidRPr="000E4CAF" w14:paraId="782DFBD0" w14:textId="77777777" w:rsidTr="00D93790">
        <w:tblPrEx>
          <w:jc w:val="left"/>
        </w:tblPrEx>
        <w:trPr>
          <w:trHeight w:val="843"/>
        </w:trPr>
        <w:tc>
          <w:tcPr>
            <w:tcW w:w="77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850C33"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GIRO DE RECURSOS PARA PAGO POR MENORES TARIFAS DEL SECTOR ELÉCTRICO CON DESTINO A USUARIOS UBICADOS EN ZNI PARA CUBRIR PARCIALMENTE SUBSIDIOS DEL PRIMER TRIMESTRE DE 2018, CORRESPONDE A DESPACHOS EFECTIVOS DE COMBUSTIBLE DE MARZO</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4A31EBC0"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9.771 </w:t>
            </w:r>
          </w:p>
        </w:tc>
      </w:tr>
      <w:tr w:rsidR="00C20FD6" w:rsidRPr="000E4CAF" w14:paraId="0E6974EC" w14:textId="77777777" w:rsidTr="00D93790">
        <w:tblPrEx>
          <w:jc w:val="left"/>
        </w:tblPrEx>
        <w:trPr>
          <w:trHeight w:val="966"/>
        </w:trPr>
        <w:tc>
          <w:tcPr>
            <w:tcW w:w="779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7225D51" w14:textId="77777777" w:rsidR="00C20FD6" w:rsidRPr="00185D32" w:rsidRDefault="00C20FD6" w:rsidP="00BC1C03">
            <w:pPr>
              <w:spacing w:after="0" w:line="240" w:lineRule="auto"/>
              <w:jc w:val="both"/>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PAGO PARCIAL DE SUBSIDIOS DEL SEGUNDO TRIMESTRE DE 2018 A LOS USUARIOS UBICADOS EN LAS LOCALIDADES DE LAS ZONAS NO INTERCONECTADAS ZNI, CON CARGO A LA DISTRIBUCIÓN DE RECURSOS PARA PAGOS POR MENORES TARIFAS DEL SECTOR ELÉCTRICO, SN FRAS. DE COMPRA…</w:t>
            </w:r>
          </w:p>
        </w:tc>
        <w:tc>
          <w:tcPr>
            <w:tcW w:w="1843" w:type="dxa"/>
            <w:tcBorders>
              <w:top w:val="nil"/>
              <w:left w:val="nil"/>
              <w:bottom w:val="single" w:sz="4" w:space="0" w:color="auto"/>
              <w:right w:val="single" w:sz="8" w:space="0" w:color="auto"/>
            </w:tcBorders>
            <w:shd w:val="clear" w:color="auto" w:fill="auto"/>
            <w:noWrap/>
            <w:vAlign w:val="center"/>
            <w:hideMark/>
          </w:tcPr>
          <w:p w14:paraId="1C629E8E" w14:textId="77777777" w:rsidR="00C20FD6" w:rsidRPr="00185D32" w:rsidRDefault="00C20FD6" w:rsidP="00BC1C03">
            <w:pPr>
              <w:spacing w:after="0" w:line="240" w:lineRule="auto"/>
              <w:jc w:val="center"/>
              <w:rPr>
                <w:rFonts w:ascii="Arial" w:eastAsia="Times New Roman" w:hAnsi="Arial" w:cs="Arial"/>
                <w:color w:val="000000"/>
                <w:sz w:val="18"/>
                <w:szCs w:val="18"/>
                <w:lang w:eastAsia="es-CO"/>
              </w:rPr>
            </w:pPr>
            <w:r w:rsidRPr="00185D32">
              <w:rPr>
                <w:rFonts w:ascii="Arial" w:eastAsia="Times New Roman" w:hAnsi="Arial" w:cs="Arial"/>
                <w:color w:val="000000"/>
                <w:sz w:val="18"/>
                <w:szCs w:val="18"/>
                <w:lang w:eastAsia="es-CO"/>
              </w:rPr>
              <w:t xml:space="preserve"> $                10.757 </w:t>
            </w:r>
          </w:p>
        </w:tc>
      </w:tr>
      <w:tr w:rsidR="00C20FD6" w:rsidRPr="000E4CAF" w14:paraId="1C3FA6CC" w14:textId="77777777" w:rsidTr="00D93790">
        <w:tblPrEx>
          <w:jc w:val="left"/>
        </w:tblPrEx>
        <w:trPr>
          <w:trHeight w:val="301"/>
        </w:trPr>
        <w:tc>
          <w:tcPr>
            <w:tcW w:w="7797" w:type="dxa"/>
            <w:tcBorders>
              <w:top w:val="single" w:sz="8" w:space="0" w:color="auto"/>
              <w:left w:val="single" w:sz="8" w:space="0" w:color="auto"/>
              <w:bottom w:val="single" w:sz="8" w:space="0" w:color="auto"/>
              <w:right w:val="single" w:sz="4" w:space="0" w:color="auto"/>
            </w:tcBorders>
            <w:shd w:val="clear" w:color="auto" w:fill="17365D"/>
            <w:noWrap/>
            <w:vAlign w:val="center"/>
            <w:hideMark/>
          </w:tcPr>
          <w:p w14:paraId="7EB73236"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TOTAL</w:t>
            </w:r>
          </w:p>
        </w:tc>
        <w:tc>
          <w:tcPr>
            <w:tcW w:w="1843" w:type="dxa"/>
            <w:tcBorders>
              <w:top w:val="single" w:sz="8" w:space="0" w:color="auto"/>
              <w:left w:val="nil"/>
              <w:bottom w:val="single" w:sz="8" w:space="0" w:color="auto"/>
              <w:right w:val="single" w:sz="8" w:space="0" w:color="auto"/>
            </w:tcBorders>
            <w:shd w:val="clear" w:color="auto" w:fill="17365D"/>
            <w:noWrap/>
            <w:vAlign w:val="center"/>
            <w:hideMark/>
          </w:tcPr>
          <w:p w14:paraId="550E2F76" w14:textId="77777777" w:rsidR="00C20FD6" w:rsidRPr="00185D32" w:rsidRDefault="00C20FD6" w:rsidP="00BC1C03">
            <w:pPr>
              <w:spacing w:after="0" w:line="240" w:lineRule="auto"/>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58.598 </w:t>
            </w:r>
          </w:p>
        </w:tc>
      </w:tr>
      <w:tr w:rsidR="00C20FD6" w:rsidRPr="000E4CAF" w14:paraId="4F5E0C25" w14:textId="77777777" w:rsidTr="00D93790">
        <w:tblPrEx>
          <w:jc w:val="left"/>
        </w:tblPrEx>
        <w:trPr>
          <w:trHeight w:val="351"/>
        </w:trPr>
        <w:tc>
          <w:tcPr>
            <w:tcW w:w="7797" w:type="dxa"/>
            <w:tcBorders>
              <w:top w:val="single" w:sz="8" w:space="0" w:color="auto"/>
              <w:left w:val="single" w:sz="8" w:space="0" w:color="auto"/>
              <w:bottom w:val="single" w:sz="8" w:space="0" w:color="auto"/>
              <w:right w:val="single" w:sz="4" w:space="0" w:color="auto"/>
            </w:tcBorders>
            <w:shd w:val="clear" w:color="auto" w:fill="17365D"/>
            <w:noWrap/>
            <w:vAlign w:val="center"/>
            <w:hideMark/>
          </w:tcPr>
          <w:p w14:paraId="50EEAD49" w14:textId="77777777" w:rsidR="00C20FD6" w:rsidRPr="00185D32" w:rsidRDefault="00C20FD6" w:rsidP="00BC1C03">
            <w:pPr>
              <w:spacing w:after="0" w:line="240" w:lineRule="auto"/>
              <w:jc w:val="center"/>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GRAN TOTAL</w:t>
            </w:r>
          </w:p>
        </w:tc>
        <w:tc>
          <w:tcPr>
            <w:tcW w:w="1843" w:type="dxa"/>
            <w:tcBorders>
              <w:top w:val="nil"/>
              <w:left w:val="nil"/>
              <w:bottom w:val="single" w:sz="8" w:space="0" w:color="auto"/>
              <w:right w:val="single" w:sz="8" w:space="0" w:color="auto"/>
            </w:tcBorders>
            <w:shd w:val="clear" w:color="auto" w:fill="17365D"/>
            <w:noWrap/>
            <w:vAlign w:val="center"/>
            <w:hideMark/>
          </w:tcPr>
          <w:p w14:paraId="6F7AA6CD" w14:textId="77777777" w:rsidR="00C20FD6" w:rsidRPr="00185D32" w:rsidRDefault="00C20FD6" w:rsidP="00BC1C03">
            <w:pPr>
              <w:spacing w:after="0" w:line="240" w:lineRule="auto"/>
              <w:rPr>
                <w:rFonts w:ascii="Arial" w:eastAsia="Times New Roman" w:hAnsi="Arial" w:cs="Arial"/>
                <w:b/>
                <w:bCs/>
                <w:color w:val="FFFFFF"/>
                <w:sz w:val="20"/>
                <w:szCs w:val="20"/>
                <w:lang w:eastAsia="es-CO"/>
              </w:rPr>
            </w:pPr>
            <w:r w:rsidRPr="00185D32">
              <w:rPr>
                <w:rFonts w:ascii="Arial" w:eastAsia="Times New Roman" w:hAnsi="Arial" w:cs="Arial"/>
                <w:b/>
                <w:bCs/>
                <w:color w:val="FFFFFF"/>
                <w:sz w:val="20"/>
                <w:szCs w:val="20"/>
                <w:lang w:eastAsia="es-CO"/>
              </w:rPr>
              <w:t xml:space="preserve"> $              340.918 </w:t>
            </w:r>
          </w:p>
        </w:tc>
      </w:tr>
    </w:tbl>
    <w:p w14:paraId="76B2F714" w14:textId="77777777" w:rsidR="00C20FD6" w:rsidRPr="00F77263" w:rsidRDefault="00C20FD6" w:rsidP="00C20FD6">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4ABDA137" w14:textId="77777777" w:rsidR="00C20FD6" w:rsidRPr="00F77263" w:rsidRDefault="00C20FD6" w:rsidP="00C20FD6">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5B73AC5A" w14:textId="77777777" w:rsidR="00C02282" w:rsidRPr="006A67B4" w:rsidRDefault="00C02282" w:rsidP="00C02282">
      <w:pPr>
        <w:pStyle w:val="Prrafodelista"/>
        <w:spacing w:after="0" w:line="240" w:lineRule="auto"/>
        <w:ind w:left="360"/>
        <w:jc w:val="center"/>
        <w:rPr>
          <w:rFonts w:eastAsia="Calibri" w:cs="Arial"/>
          <w:sz w:val="16"/>
          <w:szCs w:val="16"/>
          <w:highlight w:val="yellow"/>
        </w:rPr>
      </w:pPr>
    </w:p>
    <w:p w14:paraId="4DA74092" w14:textId="1A8ED613" w:rsidR="00C02282" w:rsidRPr="00C20FD6" w:rsidRDefault="00C02282" w:rsidP="00C02282">
      <w:pPr>
        <w:pStyle w:val="Descripcin"/>
        <w:keepNext/>
        <w:jc w:val="center"/>
      </w:pPr>
      <w:bookmarkStart w:id="44" w:name="_Toc525652465"/>
      <w:r w:rsidRPr="00C20FD6">
        <w:t xml:space="preserve">Tabla </w:t>
      </w:r>
      <w:r w:rsidRPr="00C20FD6">
        <w:fldChar w:fldCharType="begin"/>
      </w:r>
      <w:r w:rsidRPr="00C20FD6">
        <w:instrText xml:space="preserve"> SEQ Tabla \* ARABIC </w:instrText>
      </w:r>
      <w:r w:rsidRPr="00C20FD6">
        <w:fldChar w:fldCharType="separate"/>
      </w:r>
      <w:r w:rsidR="008B4625">
        <w:rPr>
          <w:noProof/>
        </w:rPr>
        <w:t>19</w:t>
      </w:r>
      <w:r w:rsidRPr="00C20FD6">
        <w:fldChar w:fldCharType="end"/>
      </w:r>
      <w:r w:rsidRPr="00C20FD6">
        <w:t xml:space="preserve"> </w:t>
      </w:r>
      <w:r w:rsidR="00C20FD6" w:rsidRPr="00C20FD6">
        <w:t xml:space="preserve">Segundo </w:t>
      </w:r>
      <w:r w:rsidRPr="00C20FD6">
        <w:t xml:space="preserve"> Trimestre Subsidios Eléctricos SIN / </w:t>
      </w:r>
      <w:r w:rsidR="00C20FD6">
        <w:t xml:space="preserve">Obligaciones  </w:t>
      </w:r>
      <w:r w:rsidRPr="00C20FD6">
        <w:t>MME</w:t>
      </w:r>
      <w:bookmarkEnd w:id="44"/>
    </w:p>
    <w:tbl>
      <w:tblPr>
        <w:tblW w:w="9629" w:type="dxa"/>
        <w:tblCellMar>
          <w:left w:w="70" w:type="dxa"/>
          <w:right w:w="70" w:type="dxa"/>
        </w:tblCellMar>
        <w:tblLook w:val="04A0" w:firstRow="1" w:lastRow="0" w:firstColumn="1" w:lastColumn="0" w:noHBand="0" w:noVBand="1"/>
      </w:tblPr>
      <w:tblGrid>
        <w:gridCol w:w="6653"/>
        <w:gridCol w:w="1274"/>
        <w:gridCol w:w="1702"/>
      </w:tblGrid>
      <w:tr w:rsidR="00C20FD6" w:rsidRPr="000E4CAF" w14:paraId="1E143459" w14:textId="77777777" w:rsidTr="00232EB5">
        <w:trPr>
          <w:trHeight w:val="315"/>
        </w:trPr>
        <w:tc>
          <w:tcPr>
            <w:tcW w:w="9629" w:type="dxa"/>
            <w:gridSpan w:val="3"/>
            <w:tcBorders>
              <w:top w:val="single" w:sz="8" w:space="0" w:color="auto"/>
              <w:left w:val="single" w:sz="8" w:space="0" w:color="auto"/>
              <w:bottom w:val="single" w:sz="4" w:space="0" w:color="auto"/>
              <w:right w:val="single" w:sz="8" w:space="0" w:color="000000"/>
            </w:tcBorders>
            <w:shd w:val="clear" w:color="auto" w:fill="244061" w:themeFill="accent1" w:themeFillShade="80"/>
            <w:noWrap/>
            <w:vAlign w:val="bottom"/>
            <w:hideMark/>
          </w:tcPr>
          <w:p w14:paraId="2156E822" w14:textId="77777777" w:rsidR="00C20FD6" w:rsidRPr="00C20FD6" w:rsidRDefault="00C20FD6" w:rsidP="00BC1C03">
            <w:pPr>
              <w:spacing w:after="0" w:line="240" w:lineRule="auto"/>
              <w:jc w:val="center"/>
              <w:rPr>
                <w:rFonts w:ascii="Arial" w:eastAsia="Times New Roman" w:hAnsi="Arial" w:cs="Arial"/>
                <w:b/>
                <w:bCs/>
                <w:color w:val="FFFFFF"/>
                <w:sz w:val="18"/>
                <w:lang w:eastAsia="es-CO"/>
              </w:rPr>
            </w:pPr>
            <w:r w:rsidRPr="00C20FD6">
              <w:rPr>
                <w:rFonts w:ascii="Arial" w:eastAsia="Times New Roman" w:hAnsi="Arial" w:cs="Arial"/>
                <w:b/>
                <w:bCs/>
                <w:color w:val="FFFFFF"/>
                <w:sz w:val="18"/>
                <w:lang w:eastAsia="es-CO"/>
              </w:rPr>
              <w:t xml:space="preserve">SIN - OBLIGACIONES </w:t>
            </w:r>
          </w:p>
        </w:tc>
      </w:tr>
      <w:tr w:rsidR="00C20FD6" w:rsidRPr="000E4CAF" w14:paraId="43DFE8EC" w14:textId="77777777" w:rsidTr="00232EB5">
        <w:trPr>
          <w:trHeight w:val="315"/>
        </w:trPr>
        <w:tc>
          <w:tcPr>
            <w:tcW w:w="6653" w:type="dxa"/>
            <w:tcBorders>
              <w:top w:val="nil"/>
              <w:left w:val="single" w:sz="8" w:space="0" w:color="auto"/>
              <w:bottom w:val="single" w:sz="8" w:space="0" w:color="auto"/>
              <w:right w:val="single" w:sz="4" w:space="0" w:color="auto"/>
            </w:tcBorders>
            <w:shd w:val="clear" w:color="auto" w:fill="17365D"/>
            <w:noWrap/>
            <w:vAlign w:val="center"/>
            <w:hideMark/>
          </w:tcPr>
          <w:p w14:paraId="08290590"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 xml:space="preserve">Resolución </w:t>
            </w:r>
          </w:p>
        </w:tc>
        <w:tc>
          <w:tcPr>
            <w:tcW w:w="1274" w:type="dxa"/>
            <w:tcBorders>
              <w:top w:val="nil"/>
              <w:left w:val="nil"/>
              <w:bottom w:val="single" w:sz="8" w:space="0" w:color="auto"/>
              <w:right w:val="single" w:sz="4" w:space="0" w:color="auto"/>
            </w:tcBorders>
            <w:shd w:val="clear" w:color="auto" w:fill="17365D"/>
            <w:noWrap/>
            <w:vAlign w:val="bottom"/>
            <w:hideMark/>
          </w:tcPr>
          <w:p w14:paraId="28C726E0"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Valor</w:t>
            </w:r>
          </w:p>
        </w:tc>
        <w:tc>
          <w:tcPr>
            <w:tcW w:w="1702" w:type="dxa"/>
            <w:tcBorders>
              <w:top w:val="nil"/>
              <w:left w:val="nil"/>
              <w:bottom w:val="single" w:sz="8" w:space="0" w:color="auto"/>
              <w:right w:val="single" w:sz="8" w:space="0" w:color="auto"/>
            </w:tcBorders>
            <w:shd w:val="clear" w:color="auto" w:fill="17365D"/>
            <w:noWrap/>
            <w:vAlign w:val="bottom"/>
            <w:hideMark/>
          </w:tcPr>
          <w:p w14:paraId="7B2B36BD"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Fechas de Facturación</w:t>
            </w:r>
          </w:p>
        </w:tc>
      </w:tr>
      <w:tr w:rsidR="00C20FD6" w:rsidRPr="000E4CAF" w14:paraId="2AE40137" w14:textId="77777777" w:rsidTr="00232EB5">
        <w:trPr>
          <w:trHeight w:val="752"/>
        </w:trPr>
        <w:tc>
          <w:tcPr>
            <w:tcW w:w="6653" w:type="dxa"/>
            <w:tcBorders>
              <w:top w:val="nil"/>
              <w:left w:val="single" w:sz="8" w:space="0" w:color="auto"/>
              <w:bottom w:val="single" w:sz="4" w:space="0" w:color="000000"/>
              <w:right w:val="single" w:sz="4" w:space="0" w:color="000000"/>
            </w:tcBorders>
            <w:shd w:val="clear" w:color="auto" w:fill="auto"/>
            <w:vAlign w:val="center"/>
            <w:hideMark/>
          </w:tcPr>
          <w:p w14:paraId="7FF76DBD"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CUBRIR EL DÉFICIT DE LOS SUBSIDIOS PAGO PARCIAL PRIMER TRIMESTRE 2018, DISTRIBUCIÓN DE RECURSOS PARA PAGOS POR MENORES TARIFAS DEL SECTOR ELÉCTRICO - CALCULO FSSRI-SIN</w:t>
            </w:r>
          </w:p>
        </w:tc>
        <w:tc>
          <w:tcPr>
            <w:tcW w:w="1274" w:type="dxa"/>
            <w:tcBorders>
              <w:top w:val="nil"/>
              <w:left w:val="nil"/>
              <w:bottom w:val="single" w:sz="4" w:space="0" w:color="auto"/>
              <w:right w:val="single" w:sz="4" w:space="0" w:color="auto"/>
            </w:tcBorders>
            <w:shd w:val="clear" w:color="auto" w:fill="auto"/>
            <w:noWrap/>
            <w:vAlign w:val="center"/>
            <w:hideMark/>
          </w:tcPr>
          <w:p w14:paraId="5239DADA"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124.688 </w:t>
            </w:r>
          </w:p>
        </w:tc>
        <w:tc>
          <w:tcPr>
            <w:tcW w:w="1702" w:type="dxa"/>
            <w:tcBorders>
              <w:top w:val="nil"/>
              <w:left w:val="nil"/>
              <w:bottom w:val="single" w:sz="4" w:space="0" w:color="auto"/>
              <w:right w:val="single" w:sz="8" w:space="0" w:color="auto"/>
            </w:tcBorders>
            <w:shd w:val="clear" w:color="auto" w:fill="auto"/>
            <w:vAlign w:val="center"/>
            <w:hideMark/>
          </w:tcPr>
          <w:p w14:paraId="108DCC51"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15 DE MAYO DE 2018</w:t>
            </w:r>
          </w:p>
        </w:tc>
      </w:tr>
      <w:tr w:rsidR="00C20FD6" w:rsidRPr="000E4CAF" w14:paraId="45893DC4" w14:textId="77777777" w:rsidTr="00232EB5">
        <w:trPr>
          <w:trHeight w:val="988"/>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080F60E4"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CUBRIR EL DEFICIT DE LOS SUBSIDIOS PRIMER TRIMESTRE Y PARCIAL DEL SEGUNDO TRIMESTRE DEL 2018. PAGOS MENORES TARIFAS DEL SECTOR ELÉCTRICO, CALCULO CIERRE 1ER TRIMESTRE Y PROYECCCIÓN 2DO.TRIMESTRES DE 2018- FSSRI-SIN</w:t>
            </w:r>
          </w:p>
        </w:tc>
        <w:tc>
          <w:tcPr>
            <w:tcW w:w="1274" w:type="dxa"/>
            <w:tcBorders>
              <w:top w:val="nil"/>
              <w:left w:val="nil"/>
              <w:bottom w:val="single" w:sz="4" w:space="0" w:color="auto"/>
              <w:right w:val="single" w:sz="4" w:space="0" w:color="auto"/>
            </w:tcBorders>
            <w:shd w:val="clear" w:color="auto" w:fill="auto"/>
            <w:noWrap/>
            <w:vAlign w:val="center"/>
            <w:hideMark/>
          </w:tcPr>
          <w:p w14:paraId="5104D05C"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150.101 </w:t>
            </w:r>
          </w:p>
        </w:tc>
        <w:tc>
          <w:tcPr>
            <w:tcW w:w="1702" w:type="dxa"/>
            <w:tcBorders>
              <w:top w:val="nil"/>
              <w:left w:val="nil"/>
              <w:bottom w:val="single" w:sz="4" w:space="0" w:color="auto"/>
              <w:right w:val="single" w:sz="8" w:space="0" w:color="auto"/>
            </w:tcBorders>
            <w:shd w:val="clear" w:color="auto" w:fill="auto"/>
            <w:vAlign w:val="center"/>
            <w:hideMark/>
          </w:tcPr>
          <w:p w14:paraId="40BA48D7"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12 DE JUNIO DE 2018</w:t>
            </w:r>
          </w:p>
        </w:tc>
      </w:tr>
      <w:tr w:rsidR="00C20FD6" w:rsidRPr="000E4CAF" w14:paraId="54F7E316" w14:textId="77777777" w:rsidTr="00232EB5">
        <w:trPr>
          <w:trHeight w:val="1116"/>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3D1363FE"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DISTRIBUIR RECURSOS PARA CUBRIR LOS DEFICITS DE SUBSIDIOS DEL SERVICIO PUBLICO DOMICILIARIO DE ENERGIA ELECTRICA EN EL ÁREA DE SERVICIOS EXCLUSIVO DEL AMAZONAS CORRESPONDIENTE AL CIERRE DEL PRIMER TRIMESTRE DE 2018 Y ANTICIPO DEL SEGUNDO TRIMESTRE 18</w:t>
            </w:r>
          </w:p>
        </w:tc>
        <w:tc>
          <w:tcPr>
            <w:tcW w:w="1274" w:type="dxa"/>
            <w:tcBorders>
              <w:top w:val="nil"/>
              <w:left w:val="nil"/>
              <w:bottom w:val="single" w:sz="4" w:space="0" w:color="auto"/>
              <w:right w:val="single" w:sz="4" w:space="0" w:color="auto"/>
            </w:tcBorders>
            <w:shd w:val="clear" w:color="auto" w:fill="auto"/>
            <w:noWrap/>
            <w:vAlign w:val="center"/>
            <w:hideMark/>
          </w:tcPr>
          <w:p w14:paraId="2BEFCE4F"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7.531 </w:t>
            </w:r>
          </w:p>
        </w:tc>
        <w:tc>
          <w:tcPr>
            <w:tcW w:w="1702" w:type="dxa"/>
            <w:tcBorders>
              <w:top w:val="nil"/>
              <w:left w:val="nil"/>
              <w:bottom w:val="single" w:sz="4" w:space="0" w:color="auto"/>
              <w:right w:val="single" w:sz="8" w:space="0" w:color="auto"/>
            </w:tcBorders>
            <w:shd w:val="clear" w:color="auto" w:fill="auto"/>
            <w:vAlign w:val="center"/>
            <w:hideMark/>
          </w:tcPr>
          <w:p w14:paraId="29CA67AB"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4 DE MAYO DE 2018</w:t>
            </w:r>
          </w:p>
        </w:tc>
      </w:tr>
      <w:tr w:rsidR="00C20FD6" w:rsidRPr="000E4CAF" w14:paraId="3FE02D62" w14:textId="77777777" w:rsidTr="00232EB5">
        <w:trPr>
          <w:trHeight w:val="449"/>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44CFA646"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PAGO PARA CUBRIR DÉFICIT DE SUBSIDIOS CORRESPONDIENTES AL PAGO PARCIAL DEL PRIMER TRIMESTRE DEL 2018 - SECTOR ELÉCTRICO.</w:t>
            </w:r>
          </w:p>
        </w:tc>
        <w:tc>
          <w:tcPr>
            <w:tcW w:w="1274" w:type="dxa"/>
            <w:tcBorders>
              <w:top w:val="nil"/>
              <w:left w:val="nil"/>
              <w:bottom w:val="single" w:sz="4" w:space="0" w:color="auto"/>
              <w:right w:val="single" w:sz="4" w:space="0" w:color="auto"/>
            </w:tcBorders>
            <w:shd w:val="clear" w:color="auto" w:fill="auto"/>
            <w:noWrap/>
            <w:vAlign w:val="center"/>
            <w:hideMark/>
          </w:tcPr>
          <w:p w14:paraId="6D2A98C1"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258.867 </w:t>
            </w:r>
          </w:p>
        </w:tc>
        <w:tc>
          <w:tcPr>
            <w:tcW w:w="1702" w:type="dxa"/>
            <w:tcBorders>
              <w:top w:val="nil"/>
              <w:left w:val="nil"/>
              <w:bottom w:val="single" w:sz="4" w:space="0" w:color="auto"/>
              <w:right w:val="single" w:sz="8" w:space="0" w:color="auto"/>
            </w:tcBorders>
            <w:shd w:val="clear" w:color="auto" w:fill="auto"/>
            <w:vAlign w:val="center"/>
            <w:hideMark/>
          </w:tcPr>
          <w:p w14:paraId="16330F57"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6 DE ABRIL DE 2018</w:t>
            </w:r>
          </w:p>
        </w:tc>
      </w:tr>
      <w:tr w:rsidR="00C20FD6" w:rsidRPr="000E4CAF" w14:paraId="61B24CB5" w14:textId="77777777" w:rsidTr="00232EB5">
        <w:trPr>
          <w:trHeight w:val="315"/>
        </w:trPr>
        <w:tc>
          <w:tcPr>
            <w:tcW w:w="7927" w:type="dxa"/>
            <w:gridSpan w:val="2"/>
            <w:tcBorders>
              <w:top w:val="single" w:sz="8" w:space="0" w:color="auto"/>
              <w:left w:val="single" w:sz="8" w:space="0" w:color="auto"/>
              <w:bottom w:val="single" w:sz="8" w:space="0" w:color="auto"/>
              <w:right w:val="single" w:sz="4" w:space="0" w:color="000000"/>
            </w:tcBorders>
            <w:shd w:val="clear" w:color="auto" w:fill="17365D"/>
            <w:noWrap/>
            <w:vAlign w:val="center"/>
            <w:hideMark/>
          </w:tcPr>
          <w:p w14:paraId="1639EBF6"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TOTAL</w:t>
            </w:r>
          </w:p>
        </w:tc>
        <w:tc>
          <w:tcPr>
            <w:tcW w:w="1702" w:type="dxa"/>
            <w:tcBorders>
              <w:top w:val="single" w:sz="8" w:space="0" w:color="auto"/>
              <w:left w:val="nil"/>
              <w:bottom w:val="single" w:sz="8" w:space="0" w:color="auto"/>
              <w:right w:val="single" w:sz="8" w:space="0" w:color="auto"/>
            </w:tcBorders>
            <w:shd w:val="clear" w:color="auto" w:fill="17365D"/>
            <w:noWrap/>
            <w:vAlign w:val="center"/>
            <w:hideMark/>
          </w:tcPr>
          <w:p w14:paraId="471DEA4C" w14:textId="77777777" w:rsidR="00C20FD6" w:rsidRPr="00BE080F" w:rsidRDefault="00C20FD6" w:rsidP="00BC1C03">
            <w:pPr>
              <w:spacing w:after="0" w:line="240" w:lineRule="auto"/>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 xml:space="preserve"> $            541.187 </w:t>
            </w:r>
          </w:p>
        </w:tc>
      </w:tr>
    </w:tbl>
    <w:p w14:paraId="5AA21591" w14:textId="77777777" w:rsidR="00C20FD6" w:rsidRPr="00F77263" w:rsidRDefault="00C20FD6" w:rsidP="00C20FD6">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lastRenderedPageBreak/>
        <w:t>Cifras en millones de pesos</w:t>
      </w:r>
    </w:p>
    <w:p w14:paraId="172251EB" w14:textId="77777777" w:rsidR="00C20FD6" w:rsidRPr="00F77263" w:rsidRDefault="00C20FD6" w:rsidP="00C20FD6">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02CF0291" w14:textId="77777777" w:rsidR="00C20FD6" w:rsidRPr="006A67B4" w:rsidRDefault="00C20FD6" w:rsidP="00C02282">
      <w:pPr>
        <w:spacing w:after="0" w:line="240" w:lineRule="auto"/>
        <w:jc w:val="center"/>
        <w:rPr>
          <w:rFonts w:ascii="Arial" w:eastAsia="Times New Roman" w:hAnsi="Arial" w:cs="Arial"/>
          <w:b/>
          <w:sz w:val="20"/>
          <w:szCs w:val="20"/>
          <w:highlight w:val="yellow"/>
          <w:lang w:val="es-ES" w:eastAsia="es-ES"/>
        </w:rPr>
      </w:pPr>
    </w:p>
    <w:p w14:paraId="00FECC54" w14:textId="77777777" w:rsidR="00C02282" w:rsidRPr="00C20FD6" w:rsidRDefault="00C02282" w:rsidP="00C02282">
      <w:pPr>
        <w:spacing w:after="0" w:line="240" w:lineRule="auto"/>
        <w:ind w:left="7080" w:firstLine="708"/>
        <w:jc w:val="center"/>
        <w:rPr>
          <w:rFonts w:ascii="Arial" w:eastAsia="Arial" w:hAnsi="Arial" w:cs="Arial"/>
          <w:b/>
          <w:sz w:val="20"/>
          <w:szCs w:val="16"/>
        </w:rPr>
      </w:pPr>
    </w:p>
    <w:p w14:paraId="49F16072" w14:textId="66508EDA" w:rsidR="00C02282" w:rsidRDefault="00C02282" w:rsidP="00C02282">
      <w:pPr>
        <w:pStyle w:val="Descripcin"/>
        <w:keepNext/>
        <w:jc w:val="center"/>
      </w:pPr>
      <w:bookmarkStart w:id="45" w:name="_Toc525652466"/>
      <w:r w:rsidRPr="00C20FD6">
        <w:t xml:space="preserve">Tabla </w:t>
      </w:r>
      <w:r w:rsidRPr="00C20FD6">
        <w:fldChar w:fldCharType="begin"/>
      </w:r>
      <w:r w:rsidRPr="00C20FD6">
        <w:instrText xml:space="preserve"> SEQ Tabla \* ARABIC </w:instrText>
      </w:r>
      <w:r w:rsidRPr="00C20FD6">
        <w:fldChar w:fldCharType="separate"/>
      </w:r>
      <w:r w:rsidR="008B4625">
        <w:rPr>
          <w:noProof/>
        </w:rPr>
        <w:t>20</w:t>
      </w:r>
      <w:r w:rsidRPr="00C20FD6">
        <w:fldChar w:fldCharType="end"/>
      </w:r>
      <w:r w:rsidRPr="00C20FD6">
        <w:t xml:space="preserve"> </w:t>
      </w:r>
      <w:r w:rsidR="00C20FD6" w:rsidRPr="00C20FD6">
        <w:t xml:space="preserve">Segundo </w:t>
      </w:r>
      <w:r w:rsidR="00C20FD6">
        <w:t xml:space="preserve">Trimestre Subsidios Eléctricos ZIN </w:t>
      </w:r>
      <w:r w:rsidRPr="00C20FD6">
        <w:t xml:space="preserve"> / Obligaciones MME</w:t>
      </w:r>
      <w:bookmarkEnd w:id="45"/>
    </w:p>
    <w:tbl>
      <w:tblPr>
        <w:tblW w:w="9488" w:type="dxa"/>
        <w:tblCellMar>
          <w:left w:w="70" w:type="dxa"/>
          <w:right w:w="70" w:type="dxa"/>
        </w:tblCellMar>
        <w:tblLook w:val="04A0" w:firstRow="1" w:lastRow="0" w:firstColumn="1" w:lastColumn="0" w:noHBand="0" w:noVBand="1"/>
      </w:tblPr>
      <w:tblGrid>
        <w:gridCol w:w="6653"/>
        <w:gridCol w:w="1275"/>
        <w:gridCol w:w="1560"/>
      </w:tblGrid>
      <w:tr w:rsidR="00C20FD6" w:rsidRPr="000E4CAF" w14:paraId="0E97420D" w14:textId="77777777" w:rsidTr="00BC1C03">
        <w:trPr>
          <w:trHeight w:val="315"/>
        </w:trPr>
        <w:tc>
          <w:tcPr>
            <w:tcW w:w="9488"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5A9B3042"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ZNI - OBLIGACIONES</w:t>
            </w:r>
          </w:p>
        </w:tc>
      </w:tr>
      <w:tr w:rsidR="00C20FD6" w:rsidRPr="000E4CAF" w14:paraId="1572F31C" w14:textId="77777777" w:rsidTr="00BC1C03">
        <w:trPr>
          <w:trHeight w:val="315"/>
        </w:trPr>
        <w:tc>
          <w:tcPr>
            <w:tcW w:w="6653" w:type="dxa"/>
            <w:tcBorders>
              <w:top w:val="nil"/>
              <w:left w:val="single" w:sz="8" w:space="0" w:color="auto"/>
              <w:bottom w:val="nil"/>
              <w:right w:val="single" w:sz="4" w:space="0" w:color="auto"/>
            </w:tcBorders>
            <w:shd w:val="clear" w:color="auto" w:fill="17365D"/>
            <w:noWrap/>
            <w:vAlign w:val="center"/>
            <w:hideMark/>
          </w:tcPr>
          <w:p w14:paraId="5BCD99AE"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 xml:space="preserve">Resolución </w:t>
            </w:r>
          </w:p>
        </w:tc>
        <w:tc>
          <w:tcPr>
            <w:tcW w:w="1275" w:type="dxa"/>
            <w:tcBorders>
              <w:top w:val="nil"/>
              <w:left w:val="nil"/>
              <w:bottom w:val="nil"/>
              <w:right w:val="single" w:sz="4" w:space="0" w:color="auto"/>
            </w:tcBorders>
            <w:shd w:val="clear" w:color="auto" w:fill="17365D"/>
            <w:noWrap/>
            <w:vAlign w:val="bottom"/>
            <w:hideMark/>
          </w:tcPr>
          <w:p w14:paraId="798D8173"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Valor</w:t>
            </w:r>
          </w:p>
        </w:tc>
        <w:tc>
          <w:tcPr>
            <w:tcW w:w="1560" w:type="dxa"/>
            <w:tcBorders>
              <w:top w:val="nil"/>
              <w:left w:val="nil"/>
              <w:bottom w:val="nil"/>
              <w:right w:val="single" w:sz="8" w:space="0" w:color="auto"/>
            </w:tcBorders>
            <w:shd w:val="clear" w:color="auto" w:fill="17365D"/>
            <w:noWrap/>
            <w:vAlign w:val="bottom"/>
            <w:hideMark/>
          </w:tcPr>
          <w:p w14:paraId="44ABFF6E" w14:textId="77777777" w:rsidR="00C20FD6" w:rsidRPr="00672050" w:rsidRDefault="00C20FD6" w:rsidP="00BC1C03">
            <w:pPr>
              <w:spacing w:after="0" w:line="240" w:lineRule="auto"/>
              <w:jc w:val="center"/>
              <w:rPr>
                <w:rFonts w:eastAsia="Times New Roman"/>
                <w:b/>
                <w:bCs/>
                <w:color w:val="FFFFFF"/>
                <w:lang w:eastAsia="es-CO"/>
              </w:rPr>
            </w:pPr>
            <w:r w:rsidRPr="00672050">
              <w:rPr>
                <w:rFonts w:eastAsia="Times New Roman"/>
                <w:b/>
                <w:bCs/>
                <w:color w:val="FFFFFF"/>
                <w:lang w:eastAsia="es-CO"/>
              </w:rPr>
              <w:t>Fechas de Facturación</w:t>
            </w:r>
          </w:p>
        </w:tc>
      </w:tr>
      <w:tr w:rsidR="00C20FD6" w:rsidRPr="000E4CAF" w14:paraId="25AED8F7" w14:textId="77777777" w:rsidTr="00BC1C03">
        <w:trPr>
          <w:trHeight w:val="896"/>
        </w:trPr>
        <w:tc>
          <w:tcPr>
            <w:tcW w:w="665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5E52BF8"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GIRO DE RECURSOS A FAVOR DE EMPRESAS DEL SECTOR ELÉCTRICO CON DESTINO A USUARIOS DE ZNI Y DE CEDENAR Y GENSA, PARA CUBRIR DÉFICIT DE SUBSIDIOS CORRESPONDIENTES A CIERRES PARCIALES DE 1°, 2°, 3° Y 4° TRIMESTRES DE 2017</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73D4CF23"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26.333 </w:t>
            </w:r>
          </w:p>
        </w:tc>
        <w:tc>
          <w:tcPr>
            <w:tcW w:w="1560" w:type="dxa"/>
            <w:tcBorders>
              <w:top w:val="single" w:sz="8" w:space="0" w:color="auto"/>
              <w:left w:val="nil"/>
              <w:bottom w:val="nil"/>
              <w:right w:val="single" w:sz="8" w:space="0" w:color="auto"/>
            </w:tcBorders>
            <w:shd w:val="clear" w:color="auto" w:fill="auto"/>
            <w:vAlign w:val="center"/>
            <w:hideMark/>
          </w:tcPr>
          <w:p w14:paraId="461B7045"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8 DE JUNIO DE 2018</w:t>
            </w:r>
          </w:p>
        </w:tc>
      </w:tr>
      <w:tr w:rsidR="00C20FD6" w:rsidRPr="000E4CAF" w14:paraId="52FE16FD" w14:textId="77777777" w:rsidTr="00BC1C03">
        <w:trPr>
          <w:trHeight w:val="892"/>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3FC643A9"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GIRO DE RECURSOS PARA PAGO POR MENORES TARIFAS DEL SECTOR ELÉCTRICO CON DESTINO A USUARIOS UBICADOS EN ZNI PARA CUBRIR PARCIALMENTE SUBSIDIOS DEL PRIMER TRIMESTRE DE 2018, CORRESPONDE A DESPACHOS EFECTIVOS DE COMBUSTIBLE DE MARZO</w:t>
            </w:r>
          </w:p>
        </w:tc>
        <w:tc>
          <w:tcPr>
            <w:tcW w:w="1275" w:type="dxa"/>
            <w:tcBorders>
              <w:top w:val="nil"/>
              <w:left w:val="nil"/>
              <w:bottom w:val="single" w:sz="4" w:space="0" w:color="auto"/>
              <w:right w:val="single" w:sz="4" w:space="0" w:color="auto"/>
            </w:tcBorders>
            <w:shd w:val="clear" w:color="auto" w:fill="auto"/>
            <w:noWrap/>
            <w:vAlign w:val="center"/>
            <w:hideMark/>
          </w:tcPr>
          <w:p w14:paraId="341E929F"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9.771 </w:t>
            </w:r>
          </w:p>
        </w:tc>
        <w:tc>
          <w:tcPr>
            <w:tcW w:w="1560" w:type="dxa"/>
            <w:tcBorders>
              <w:top w:val="single" w:sz="4" w:space="0" w:color="auto"/>
              <w:left w:val="nil"/>
              <w:bottom w:val="single" w:sz="4" w:space="0" w:color="auto"/>
              <w:right w:val="single" w:sz="8" w:space="0" w:color="auto"/>
            </w:tcBorders>
            <w:shd w:val="clear" w:color="auto" w:fill="auto"/>
            <w:vAlign w:val="center"/>
            <w:hideMark/>
          </w:tcPr>
          <w:p w14:paraId="13EBAAA4"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27 DE ABRIL DE 2018</w:t>
            </w:r>
          </w:p>
        </w:tc>
      </w:tr>
      <w:tr w:rsidR="00C20FD6" w:rsidRPr="000E4CAF" w14:paraId="60FDAFA1" w14:textId="77777777" w:rsidTr="00BC1C03">
        <w:trPr>
          <w:trHeight w:val="1149"/>
        </w:trPr>
        <w:tc>
          <w:tcPr>
            <w:tcW w:w="6653" w:type="dxa"/>
            <w:tcBorders>
              <w:top w:val="nil"/>
              <w:left w:val="single" w:sz="8" w:space="0" w:color="auto"/>
              <w:bottom w:val="single" w:sz="4" w:space="0" w:color="auto"/>
              <w:right w:val="single" w:sz="4" w:space="0" w:color="auto"/>
            </w:tcBorders>
            <w:shd w:val="clear" w:color="auto" w:fill="auto"/>
            <w:vAlign w:val="center"/>
            <w:hideMark/>
          </w:tcPr>
          <w:p w14:paraId="78C4D7B3"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PAGO PARCIAL DE SUBSIDIOS DEL SEGUNDO TRIMESTRE DE 2018 A LOS USUARIOS UBICADOS EN LAS LOCALIDADES DE LAS ZONAS NO INTERCONECTADAS ZNI, CON CARGO A LA DISTRIBUCIÓN DE RECURSOS PARA PAGOS POR MENORES TARIFAS DEL SECTOR ELÉCTRICO, SN FRAS. DE COMPRA...</w:t>
            </w:r>
          </w:p>
        </w:tc>
        <w:tc>
          <w:tcPr>
            <w:tcW w:w="1275" w:type="dxa"/>
            <w:tcBorders>
              <w:top w:val="nil"/>
              <w:left w:val="nil"/>
              <w:bottom w:val="single" w:sz="4" w:space="0" w:color="auto"/>
              <w:right w:val="single" w:sz="4" w:space="0" w:color="auto"/>
            </w:tcBorders>
            <w:shd w:val="clear" w:color="auto" w:fill="auto"/>
            <w:noWrap/>
            <w:vAlign w:val="center"/>
            <w:hideMark/>
          </w:tcPr>
          <w:p w14:paraId="3293EE88"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10.757 </w:t>
            </w:r>
          </w:p>
        </w:tc>
        <w:tc>
          <w:tcPr>
            <w:tcW w:w="1560" w:type="dxa"/>
            <w:tcBorders>
              <w:top w:val="nil"/>
              <w:left w:val="nil"/>
              <w:bottom w:val="single" w:sz="4" w:space="0" w:color="auto"/>
              <w:right w:val="single" w:sz="8" w:space="0" w:color="auto"/>
            </w:tcBorders>
            <w:shd w:val="clear" w:color="auto" w:fill="auto"/>
            <w:vAlign w:val="center"/>
            <w:hideMark/>
          </w:tcPr>
          <w:p w14:paraId="70329EA9" w14:textId="77777777" w:rsidR="00C20FD6" w:rsidRPr="00BE080F" w:rsidRDefault="00C20FD6" w:rsidP="00BC1C03">
            <w:pPr>
              <w:spacing w:after="0" w:line="240" w:lineRule="auto"/>
              <w:jc w:val="center"/>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8 DE JUNIO DE 2018</w:t>
            </w:r>
          </w:p>
        </w:tc>
      </w:tr>
      <w:tr w:rsidR="00C20FD6" w:rsidRPr="000E4CAF" w14:paraId="3F238C8D" w14:textId="77777777" w:rsidTr="00BC1C03">
        <w:trPr>
          <w:trHeight w:val="315"/>
        </w:trPr>
        <w:tc>
          <w:tcPr>
            <w:tcW w:w="7928" w:type="dxa"/>
            <w:gridSpan w:val="2"/>
            <w:tcBorders>
              <w:top w:val="single" w:sz="8" w:space="0" w:color="auto"/>
              <w:left w:val="single" w:sz="8" w:space="0" w:color="auto"/>
              <w:bottom w:val="single" w:sz="8" w:space="0" w:color="auto"/>
              <w:right w:val="single" w:sz="4" w:space="0" w:color="auto"/>
            </w:tcBorders>
            <w:shd w:val="clear" w:color="auto" w:fill="17365D"/>
            <w:noWrap/>
            <w:vAlign w:val="center"/>
            <w:hideMark/>
          </w:tcPr>
          <w:p w14:paraId="7F47A59A"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TOTAL</w:t>
            </w:r>
          </w:p>
        </w:tc>
        <w:tc>
          <w:tcPr>
            <w:tcW w:w="1560" w:type="dxa"/>
            <w:tcBorders>
              <w:top w:val="nil"/>
              <w:left w:val="nil"/>
              <w:bottom w:val="single" w:sz="8" w:space="0" w:color="auto"/>
              <w:right w:val="single" w:sz="8" w:space="0" w:color="auto"/>
            </w:tcBorders>
            <w:shd w:val="clear" w:color="auto" w:fill="17365D"/>
            <w:noWrap/>
            <w:vAlign w:val="center"/>
            <w:hideMark/>
          </w:tcPr>
          <w:p w14:paraId="7AA8F748" w14:textId="77777777" w:rsidR="00C20FD6" w:rsidRPr="00BE080F" w:rsidRDefault="00C20FD6" w:rsidP="00BC1C03">
            <w:pPr>
              <w:spacing w:after="0" w:line="240" w:lineRule="auto"/>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 xml:space="preserve"> $           46.861 </w:t>
            </w:r>
          </w:p>
        </w:tc>
      </w:tr>
      <w:tr w:rsidR="00C20FD6" w:rsidRPr="000E4CAF" w14:paraId="37C733C1" w14:textId="77777777" w:rsidTr="00BC1C03">
        <w:trPr>
          <w:trHeight w:val="288"/>
        </w:trPr>
        <w:tc>
          <w:tcPr>
            <w:tcW w:w="7928" w:type="dxa"/>
            <w:gridSpan w:val="2"/>
            <w:tcBorders>
              <w:top w:val="single" w:sz="8" w:space="0" w:color="auto"/>
              <w:left w:val="single" w:sz="8" w:space="0" w:color="auto"/>
              <w:bottom w:val="single" w:sz="8" w:space="0" w:color="auto"/>
              <w:right w:val="single" w:sz="4" w:space="0" w:color="auto"/>
            </w:tcBorders>
            <w:shd w:val="clear" w:color="auto" w:fill="17365D"/>
            <w:noWrap/>
            <w:vAlign w:val="center"/>
            <w:hideMark/>
          </w:tcPr>
          <w:p w14:paraId="51D3DFC1"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GRAN TOTAL</w:t>
            </w:r>
          </w:p>
        </w:tc>
        <w:tc>
          <w:tcPr>
            <w:tcW w:w="1560" w:type="dxa"/>
            <w:tcBorders>
              <w:top w:val="nil"/>
              <w:left w:val="nil"/>
              <w:bottom w:val="single" w:sz="8" w:space="0" w:color="auto"/>
              <w:right w:val="single" w:sz="8" w:space="0" w:color="auto"/>
            </w:tcBorders>
            <w:shd w:val="clear" w:color="auto" w:fill="17365D"/>
            <w:noWrap/>
            <w:vAlign w:val="center"/>
            <w:hideMark/>
          </w:tcPr>
          <w:p w14:paraId="483BC37B" w14:textId="77777777" w:rsidR="00C20FD6" w:rsidRPr="00BE080F" w:rsidRDefault="00C20FD6" w:rsidP="00BC1C03">
            <w:pPr>
              <w:spacing w:after="0" w:line="240" w:lineRule="auto"/>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 xml:space="preserve"> $         588.048 </w:t>
            </w:r>
          </w:p>
        </w:tc>
      </w:tr>
    </w:tbl>
    <w:p w14:paraId="3BA0200A" w14:textId="77777777" w:rsidR="00C20FD6" w:rsidRPr="00F77263" w:rsidRDefault="00C20FD6" w:rsidP="00C20FD6">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08F9FA99" w14:textId="77777777" w:rsidR="00C20FD6" w:rsidRPr="00F77263" w:rsidRDefault="00C20FD6" w:rsidP="00C20FD6">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3964EB65" w14:textId="77777777" w:rsidR="00C20FD6" w:rsidRDefault="00C20FD6" w:rsidP="00C20FD6">
      <w:pPr>
        <w:rPr>
          <w:lang w:val="es-ES" w:eastAsia="es-ES"/>
        </w:rPr>
      </w:pPr>
    </w:p>
    <w:p w14:paraId="532CF2B4" w14:textId="77777777" w:rsidR="00C02282" w:rsidRPr="00C20FD6" w:rsidRDefault="00C02282" w:rsidP="008B4625">
      <w:pPr>
        <w:numPr>
          <w:ilvl w:val="0"/>
          <w:numId w:val="29"/>
        </w:numPr>
        <w:spacing w:after="0" w:line="240" w:lineRule="auto"/>
        <w:ind w:left="426"/>
        <w:jc w:val="both"/>
        <w:rPr>
          <w:rFonts w:ascii="Arial" w:eastAsia="Times New Roman" w:hAnsi="Arial" w:cs="Arial"/>
          <w:b/>
          <w:szCs w:val="16"/>
          <w:lang w:val="es-ES" w:eastAsia="es-ES"/>
        </w:rPr>
      </w:pPr>
      <w:r w:rsidRPr="00C20FD6">
        <w:rPr>
          <w:rFonts w:ascii="Arial" w:eastAsia="Times New Roman" w:hAnsi="Arial" w:cs="Arial"/>
          <w:b/>
          <w:szCs w:val="16"/>
          <w:lang w:val="es-ES" w:eastAsia="es-ES"/>
        </w:rPr>
        <w:t>Distribución de Subsidios para Usuarios Ubicados en Áreas Especiales del Sistema Interconectado Nacional – Sector Eléctrico:</w:t>
      </w:r>
    </w:p>
    <w:p w14:paraId="7E67B91B" w14:textId="77777777" w:rsidR="00C02282" w:rsidRPr="006A67B4" w:rsidRDefault="00C02282" w:rsidP="00C02282">
      <w:pPr>
        <w:spacing w:after="0" w:line="240" w:lineRule="auto"/>
        <w:ind w:left="1080"/>
        <w:jc w:val="both"/>
        <w:rPr>
          <w:rFonts w:ascii="Arial" w:eastAsia="Times New Roman" w:hAnsi="Arial" w:cs="Arial"/>
          <w:b/>
          <w:szCs w:val="16"/>
          <w:highlight w:val="yellow"/>
          <w:lang w:val="es-ES" w:eastAsia="es-ES"/>
        </w:rPr>
      </w:pPr>
    </w:p>
    <w:p w14:paraId="4D41387D" w14:textId="7F424C54" w:rsidR="00C20FD6" w:rsidRPr="00B47297" w:rsidRDefault="00C20FD6" w:rsidP="00C20FD6">
      <w:pPr>
        <w:spacing w:after="0" w:line="240" w:lineRule="auto"/>
        <w:jc w:val="both"/>
        <w:rPr>
          <w:rFonts w:ascii="Arial" w:eastAsia="Times New Roman" w:hAnsi="Arial" w:cs="Arial"/>
          <w:szCs w:val="16"/>
          <w:lang w:val="es-ES" w:eastAsia="es-ES"/>
        </w:rPr>
      </w:pPr>
      <w:r w:rsidRPr="00B47297">
        <w:rPr>
          <w:rFonts w:ascii="Arial" w:eastAsia="Times New Roman" w:hAnsi="Arial" w:cs="Arial"/>
          <w:szCs w:val="16"/>
          <w:lang w:val="es-ES" w:eastAsia="es-ES"/>
        </w:rPr>
        <w:t xml:space="preserve">Este proyecto cuenta con una apropiación para el año 2018 de $137.219 millones de pesos, durante el </w:t>
      </w:r>
      <w:r>
        <w:rPr>
          <w:rFonts w:ascii="Arial" w:eastAsia="Times New Roman" w:hAnsi="Arial" w:cs="Arial"/>
          <w:szCs w:val="16"/>
          <w:lang w:val="es-ES" w:eastAsia="es-ES"/>
        </w:rPr>
        <w:t xml:space="preserve">segundo </w:t>
      </w:r>
      <w:r w:rsidRPr="00B47297">
        <w:rPr>
          <w:rFonts w:ascii="Arial" w:eastAsia="Times New Roman" w:hAnsi="Arial" w:cs="Arial"/>
          <w:szCs w:val="16"/>
          <w:lang w:val="es-ES" w:eastAsia="es-ES"/>
        </w:rPr>
        <w:t>trimestre se comprometieron y obligaron recursos por $20.</w:t>
      </w:r>
      <w:r>
        <w:rPr>
          <w:rFonts w:ascii="Arial" w:eastAsia="Times New Roman" w:hAnsi="Arial" w:cs="Arial"/>
          <w:szCs w:val="16"/>
          <w:lang w:val="es-ES" w:eastAsia="es-ES"/>
        </w:rPr>
        <w:t>575</w:t>
      </w:r>
      <w:r w:rsidRPr="00B47297">
        <w:rPr>
          <w:rFonts w:ascii="Arial" w:eastAsia="Times New Roman" w:hAnsi="Arial" w:cs="Arial"/>
          <w:szCs w:val="16"/>
          <w:lang w:val="es-ES" w:eastAsia="es-ES"/>
        </w:rPr>
        <w:t xml:space="preserve"> millones de pesos, </w:t>
      </w:r>
      <w:r>
        <w:rPr>
          <w:rFonts w:ascii="Arial" w:eastAsia="Times New Roman" w:hAnsi="Arial" w:cs="Arial"/>
          <w:szCs w:val="16"/>
          <w:lang w:val="es-ES" w:eastAsia="es-ES"/>
        </w:rPr>
        <w:t xml:space="preserve">presentando una ejecución al cierre de junio de 2018 por $41.012 </w:t>
      </w:r>
      <w:r w:rsidR="00232EB5">
        <w:rPr>
          <w:rFonts w:ascii="Arial" w:eastAsia="Times New Roman" w:hAnsi="Arial" w:cs="Arial"/>
          <w:szCs w:val="16"/>
          <w:lang w:val="es-ES" w:eastAsia="es-ES"/>
        </w:rPr>
        <w:t>millones equivalentes</w:t>
      </w:r>
      <w:r>
        <w:rPr>
          <w:rFonts w:ascii="Arial" w:eastAsia="Times New Roman" w:hAnsi="Arial" w:cs="Arial"/>
          <w:szCs w:val="16"/>
          <w:lang w:val="es-ES" w:eastAsia="es-ES"/>
        </w:rPr>
        <w:t xml:space="preserve"> a un 29,89</w:t>
      </w:r>
      <w:r w:rsidRPr="00B47297">
        <w:rPr>
          <w:rFonts w:ascii="Arial" w:eastAsia="Times New Roman" w:hAnsi="Arial" w:cs="Arial"/>
          <w:szCs w:val="16"/>
          <w:lang w:val="es-ES" w:eastAsia="es-ES"/>
        </w:rPr>
        <w:t>%</w:t>
      </w:r>
      <w:r>
        <w:rPr>
          <w:rFonts w:ascii="Arial" w:eastAsia="Times New Roman" w:hAnsi="Arial" w:cs="Arial"/>
          <w:szCs w:val="16"/>
          <w:lang w:val="es-ES" w:eastAsia="es-ES"/>
        </w:rPr>
        <w:t>.</w:t>
      </w:r>
    </w:p>
    <w:p w14:paraId="5A20F7E3" w14:textId="77777777" w:rsidR="00C20FD6" w:rsidRPr="00B47297" w:rsidRDefault="00C20FD6" w:rsidP="00C20FD6">
      <w:pPr>
        <w:spacing w:after="0" w:line="240" w:lineRule="auto"/>
        <w:jc w:val="both"/>
        <w:rPr>
          <w:rFonts w:ascii="Arial" w:eastAsia="Times New Roman" w:hAnsi="Arial" w:cs="Arial"/>
          <w:szCs w:val="16"/>
          <w:lang w:val="es-ES" w:eastAsia="es-ES"/>
        </w:rPr>
      </w:pPr>
    </w:p>
    <w:p w14:paraId="2ED54805" w14:textId="60D0DB2F" w:rsidR="00C20FD6" w:rsidRPr="006A67B4" w:rsidRDefault="00C20FD6" w:rsidP="00C02282">
      <w:pPr>
        <w:spacing w:after="0" w:line="240" w:lineRule="auto"/>
        <w:jc w:val="both"/>
        <w:rPr>
          <w:rFonts w:ascii="Arial" w:eastAsia="Times New Roman" w:hAnsi="Arial" w:cs="Arial"/>
          <w:szCs w:val="16"/>
          <w:highlight w:val="yellow"/>
          <w:lang w:val="es-ES" w:eastAsia="es-ES"/>
        </w:rPr>
      </w:pPr>
      <w:r w:rsidRPr="00B47297">
        <w:rPr>
          <w:rFonts w:ascii="Arial" w:eastAsia="Times New Roman" w:hAnsi="Arial" w:cs="Arial"/>
          <w:szCs w:val="16"/>
          <w:lang w:val="es-ES" w:eastAsia="es-ES"/>
        </w:rPr>
        <w:t>La ejecución de dicho proyecto se realizó como se evidencia en el siguiente cuadro:</w:t>
      </w:r>
    </w:p>
    <w:p w14:paraId="39D35216" w14:textId="0553564F" w:rsidR="00C02282" w:rsidRDefault="00C02282" w:rsidP="00C02282">
      <w:pPr>
        <w:spacing w:after="0" w:line="240" w:lineRule="auto"/>
        <w:ind w:left="7080" w:firstLine="708"/>
        <w:jc w:val="center"/>
        <w:rPr>
          <w:rFonts w:ascii="Arial" w:eastAsia="Arial" w:hAnsi="Arial" w:cs="Arial"/>
          <w:b/>
          <w:szCs w:val="16"/>
          <w:highlight w:val="yellow"/>
        </w:rPr>
      </w:pPr>
    </w:p>
    <w:p w14:paraId="6922CA32" w14:textId="1DA81077" w:rsidR="00232EB5" w:rsidRDefault="00232EB5" w:rsidP="00C02282">
      <w:pPr>
        <w:spacing w:after="0" w:line="240" w:lineRule="auto"/>
        <w:ind w:left="7080" w:firstLine="708"/>
        <w:jc w:val="center"/>
        <w:rPr>
          <w:rFonts w:ascii="Arial" w:eastAsia="Arial" w:hAnsi="Arial" w:cs="Arial"/>
          <w:b/>
          <w:szCs w:val="16"/>
          <w:highlight w:val="yellow"/>
        </w:rPr>
      </w:pPr>
    </w:p>
    <w:p w14:paraId="538C6D3C" w14:textId="01C51458" w:rsidR="00232EB5" w:rsidRDefault="00232EB5" w:rsidP="00C02282">
      <w:pPr>
        <w:spacing w:after="0" w:line="240" w:lineRule="auto"/>
        <w:ind w:left="7080" w:firstLine="708"/>
        <w:jc w:val="center"/>
        <w:rPr>
          <w:rFonts w:ascii="Arial" w:eastAsia="Arial" w:hAnsi="Arial" w:cs="Arial"/>
          <w:b/>
          <w:szCs w:val="16"/>
          <w:highlight w:val="yellow"/>
        </w:rPr>
      </w:pPr>
    </w:p>
    <w:p w14:paraId="00AA3217" w14:textId="4E313303" w:rsidR="00232EB5" w:rsidRDefault="00232EB5" w:rsidP="00C02282">
      <w:pPr>
        <w:spacing w:after="0" w:line="240" w:lineRule="auto"/>
        <w:ind w:left="7080" w:firstLine="708"/>
        <w:jc w:val="center"/>
        <w:rPr>
          <w:rFonts w:ascii="Arial" w:eastAsia="Arial" w:hAnsi="Arial" w:cs="Arial"/>
          <w:b/>
          <w:szCs w:val="16"/>
          <w:highlight w:val="yellow"/>
        </w:rPr>
      </w:pPr>
    </w:p>
    <w:p w14:paraId="507ED248" w14:textId="40ECAE2E" w:rsidR="00232EB5" w:rsidRDefault="00232EB5" w:rsidP="00C02282">
      <w:pPr>
        <w:spacing w:after="0" w:line="240" w:lineRule="auto"/>
        <w:ind w:left="7080" w:firstLine="708"/>
        <w:jc w:val="center"/>
        <w:rPr>
          <w:rFonts w:ascii="Arial" w:eastAsia="Arial" w:hAnsi="Arial" w:cs="Arial"/>
          <w:b/>
          <w:szCs w:val="16"/>
          <w:highlight w:val="yellow"/>
        </w:rPr>
      </w:pPr>
    </w:p>
    <w:p w14:paraId="52E2E94F" w14:textId="18176852" w:rsidR="00232EB5" w:rsidRDefault="00232EB5" w:rsidP="00C02282">
      <w:pPr>
        <w:spacing w:after="0" w:line="240" w:lineRule="auto"/>
        <w:ind w:left="7080" w:firstLine="708"/>
        <w:jc w:val="center"/>
        <w:rPr>
          <w:rFonts w:ascii="Arial" w:eastAsia="Arial" w:hAnsi="Arial" w:cs="Arial"/>
          <w:b/>
          <w:szCs w:val="16"/>
          <w:highlight w:val="yellow"/>
        </w:rPr>
      </w:pPr>
    </w:p>
    <w:p w14:paraId="5509DDD7" w14:textId="6EDC1699" w:rsidR="00232EB5" w:rsidRDefault="00232EB5" w:rsidP="00C02282">
      <w:pPr>
        <w:spacing w:after="0" w:line="240" w:lineRule="auto"/>
        <w:ind w:left="7080" w:firstLine="708"/>
        <w:jc w:val="center"/>
        <w:rPr>
          <w:rFonts w:ascii="Arial" w:eastAsia="Arial" w:hAnsi="Arial" w:cs="Arial"/>
          <w:b/>
          <w:szCs w:val="16"/>
          <w:highlight w:val="yellow"/>
        </w:rPr>
      </w:pPr>
    </w:p>
    <w:p w14:paraId="0C5BD1CA" w14:textId="77777777" w:rsidR="00232EB5" w:rsidRPr="006A67B4" w:rsidRDefault="00232EB5" w:rsidP="00C02282">
      <w:pPr>
        <w:spacing w:after="0" w:line="240" w:lineRule="auto"/>
        <w:ind w:left="7080" w:firstLine="708"/>
        <w:jc w:val="center"/>
        <w:rPr>
          <w:rFonts w:ascii="Arial" w:eastAsia="Arial" w:hAnsi="Arial" w:cs="Arial"/>
          <w:b/>
          <w:szCs w:val="16"/>
          <w:highlight w:val="yellow"/>
        </w:rPr>
      </w:pPr>
    </w:p>
    <w:p w14:paraId="7B00DBBF" w14:textId="1AD488EE" w:rsidR="00C02282" w:rsidRPr="00C20FD6" w:rsidRDefault="00C02282" w:rsidP="00C02282">
      <w:pPr>
        <w:pStyle w:val="Descripcin"/>
        <w:keepNext/>
        <w:jc w:val="center"/>
      </w:pPr>
      <w:bookmarkStart w:id="46" w:name="_Toc525652467"/>
      <w:r w:rsidRPr="00C20FD6">
        <w:lastRenderedPageBreak/>
        <w:t xml:space="preserve">Tabla </w:t>
      </w:r>
      <w:r w:rsidRPr="00C20FD6">
        <w:fldChar w:fldCharType="begin"/>
      </w:r>
      <w:r w:rsidRPr="00C20FD6">
        <w:instrText xml:space="preserve"> SEQ Tabla \* ARABIC </w:instrText>
      </w:r>
      <w:r w:rsidRPr="00C20FD6">
        <w:fldChar w:fldCharType="separate"/>
      </w:r>
      <w:r w:rsidR="008B4625">
        <w:rPr>
          <w:noProof/>
        </w:rPr>
        <w:t>21</w:t>
      </w:r>
      <w:r w:rsidRPr="00C20FD6">
        <w:fldChar w:fldCharType="end"/>
      </w:r>
      <w:r w:rsidR="00C20FD6" w:rsidRPr="00C20FD6">
        <w:t xml:space="preserve"> Segundo </w:t>
      </w:r>
      <w:r w:rsidRPr="00C20FD6">
        <w:t xml:space="preserve"> Trimestre FOES / Compromisos MME</w:t>
      </w:r>
      <w:bookmarkEnd w:id="46"/>
    </w:p>
    <w:tbl>
      <w:tblPr>
        <w:tblW w:w="9488" w:type="dxa"/>
        <w:tblCellMar>
          <w:left w:w="70" w:type="dxa"/>
          <w:right w:w="70" w:type="dxa"/>
        </w:tblCellMar>
        <w:tblLook w:val="04A0" w:firstRow="1" w:lastRow="0" w:firstColumn="1" w:lastColumn="0" w:noHBand="0" w:noVBand="1"/>
      </w:tblPr>
      <w:tblGrid>
        <w:gridCol w:w="7787"/>
        <w:gridCol w:w="1701"/>
      </w:tblGrid>
      <w:tr w:rsidR="00C20FD6" w:rsidRPr="000E4CAF" w14:paraId="65C05260" w14:textId="77777777" w:rsidTr="00BC1C03">
        <w:trPr>
          <w:trHeight w:val="315"/>
        </w:trPr>
        <w:tc>
          <w:tcPr>
            <w:tcW w:w="9488" w:type="dxa"/>
            <w:gridSpan w:val="2"/>
            <w:tcBorders>
              <w:top w:val="single" w:sz="8" w:space="0" w:color="auto"/>
              <w:left w:val="single" w:sz="8" w:space="0" w:color="auto"/>
              <w:bottom w:val="single" w:sz="8" w:space="0" w:color="auto"/>
              <w:right w:val="nil"/>
            </w:tcBorders>
            <w:shd w:val="clear" w:color="auto" w:fill="17365D"/>
            <w:noWrap/>
            <w:vAlign w:val="bottom"/>
            <w:hideMark/>
          </w:tcPr>
          <w:p w14:paraId="387E70F6"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FOES - COMPROMISOS</w:t>
            </w:r>
          </w:p>
        </w:tc>
      </w:tr>
      <w:tr w:rsidR="00C20FD6" w:rsidRPr="000E4CAF" w14:paraId="1B608F45" w14:textId="77777777" w:rsidTr="00BC1C03">
        <w:trPr>
          <w:trHeight w:val="315"/>
        </w:trPr>
        <w:tc>
          <w:tcPr>
            <w:tcW w:w="7787" w:type="dxa"/>
            <w:tcBorders>
              <w:top w:val="single" w:sz="8" w:space="0" w:color="auto"/>
              <w:left w:val="single" w:sz="8" w:space="0" w:color="auto"/>
              <w:bottom w:val="nil"/>
              <w:right w:val="single" w:sz="4" w:space="0" w:color="auto"/>
            </w:tcBorders>
            <w:shd w:val="clear" w:color="auto" w:fill="17365D"/>
            <w:noWrap/>
            <w:vAlign w:val="bottom"/>
            <w:hideMark/>
          </w:tcPr>
          <w:p w14:paraId="1E2511E1"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Objeto</w:t>
            </w:r>
          </w:p>
        </w:tc>
        <w:tc>
          <w:tcPr>
            <w:tcW w:w="1701" w:type="dxa"/>
            <w:tcBorders>
              <w:top w:val="nil"/>
              <w:left w:val="nil"/>
              <w:bottom w:val="nil"/>
              <w:right w:val="single" w:sz="4" w:space="0" w:color="auto"/>
            </w:tcBorders>
            <w:shd w:val="clear" w:color="auto" w:fill="17365D"/>
            <w:noWrap/>
            <w:vAlign w:val="bottom"/>
            <w:hideMark/>
          </w:tcPr>
          <w:p w14:paraId="0F2BB8E3"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Valor</w:t>
            </w:r>
          </w:p>
        </w:tc>
      </w:tr>
      <w:tr w:rsidR="00C20FD6" w:rsidRPr="000E4CAF" w14:paraId="2178817C" w14:textId="77777777" w:rsidTr="00BC1C03">
        <w:trPr>
          <w:trHeight w:val="717"/>
        </w:trPr>
        <w:tc>
          <w:tcPr>
            <w:tcW w:w="778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650363"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GIRO A COMERCIALIZADORES DE ENERGÍA ELÉCTRICA CON EL FIN DE DESTINARLOS A LOS USUARIOS UBICADOS EN LAS ÁREAS ESPECIALES, A PARTIR DE LA FACTURACIÓN DEL CONSUMO DEL MES SIGUIENTE A LA COMUNICIÓN DE LA PRESENTE RESOLUCIÓN.</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583FC514"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10.249 </w:t>
            </w:r>
          </w:p>
        </w:tc>
      </w:tr>
      <w:tr w:rsidR="00C20FD6" w:rsidRPr="000E4CAF" w14:paraId="4DAF2564" w14:textId="77777777" w:rsidTr="00BC1C03">
        <w:trPr>
          <w:trHeight w:val="852"/>
        </w:trPr>
        <w:tc>
          <w:tcPr>
            <w:tcW w:w="778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0C3722" w14:textId="77777777" w:rsidR="00C20FD6" w:rsidRPr="00BE080F" w:rsidRDefault="00C20FD6" w:rsidP="00BC1C03">
            <w:pPr>
              <w:spacing w:after="0" w:line="240" w:lineRule="auto"/>
              <w:jc w:val="both"/>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GIRO A COMERCIALIZADORES DE ENERGÍA ELECTRICA DE LOS CONSUMOS EN KWH FACTURADO EN EL MES DE ENERO 2018, BASE PARA LA ASIGNACIÓN DE RECURSOS DE CONFORMIDAD CON LA DISTRIBUCIÓN REALIZADA DE LA D.E, PARA LOS USUARIOS UBICADOS EN LAS ÁREAS ESPECIALES</w:t>
            </w:r>
          </w:p>
        </w:tc>
        <w:tc>
          <w:tcPr>
            <w:tcW w:w="1701" w:type="dxa"/>
            <w:tcBorders>
              <w:top w:val="nil"/>
              <w:left w:val="nil"/>
              <w:bottom w:val="single" w:sz="4" w:space="0" w:color="auto"/>
              <w:right w:val="single" w:sz="8" w:space="0" w:color="auto"/>
            </w:tcBorders>
            <w:shd w:val="clear" w:color="auto" w:fill="auto"/>
            <w:vAlign w:val="center"/>
            <w:hideMark/>
          </w:tcPr>
          <w:p w14:paraId="1AABD8F6" w14:textId="77777777" w:rsidR="00C20FD6" w:rsidRPr="00BE080F" w:rsidRDefault="00C20FD6" w:rsidP="00BC1C03">
            <w:pPr>
              <w:spacing w:after="0" w:line="240" w:lineRule="auto"/>
              <w:rPr>
                <w:rFonts w:ascii="Arial" w:eastAsia="Times New Roman" w:hAnsi="Arial" w:cs="Arial"/>
                <w:color w:val="000000"/>
                <w:sz w:val="18"/>
                <w:szCs w:val="18"/>
                <w:lang w:eastAsia="es-CO"/>
              </w:rPr>
            </w:pPr>
            <w:r w:rsidRPr="00BE080F">
              <w:rPr>
                <w:rFonts w:ascii="Arial" w:eastAsia="Times New Roman" w:hAnsi="Arial" w:cs="Arial"/>
                <w:color w:val="000000"/>
                <w:sz w:val="18"/>
                <w:szCs w:val="18"/>
                <w:lang w:eastAsia="es-CO"/>
              </w:rPr>
              <w:t xml:space="preserve"> $               10.326 </w:t>
            </w:r>
          </w:p>
        </w:tc>
      </w:tr>
      <w:tr w:rsidR="00C20FD6" w:rsidRPr="000E4CAF" w14:paraId="6C1C8512" w14:textId="77777777" w:rsidTr="00BC1C03">
        <w:trPr>
          <w:trHeight w:val="315"/>
        </w:trPr>
        <w:tc>
          <w:tcPr>
            <w:tcW w:w="7787" w:type="dxa"/>
            <w:tcBorders>
              <w:top w:val="single" w:sz="8" w:space="0" w:color="auto"/>
              <w:left w:val="single" w:sz="8" w:space="0" w:color="auto"/>
              <w:bottom w:val="single" w:sz="8" w:space="0" w:color="auto"/>
              <w:right w:val="nil"/>
            </w:tcBorders>
            <w:shd w:val="clear" w:color="auto" w:fill="17365D"/>
            <w:noWrap/>
            <w:vAlign w:val="center"/>
            <w:hideMark/>
          </w:tcPr>
          <w:p w14:paraId="533A46DE"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TOTAL</w:t>
            </w:r>
          </w:p>
        </w:tc>
        <w:tc>
          <w:tcPr>
            <w:tcW w:w="1701" w:type="dxa"/>
            <w:tcBorders>
              <w:top w:val="single" w:sz="8" w:space="0" w:color="auto"/>
              <w:left w:val="single" w:sz="8" w:space="0" w:color="auto"/>
              <w:bottom w:val="single" w:sz="8" w:space="0" w:color="auto"/>
              <w:right w:val="single" w:sz="8" w:space="0" w:color="auto"/>
            </w:tcBorders>
            <w:shd w:val="clear" w:color="auto" w:fill="17365D"/>
            <w:noWrap/>
            <w:vAlign w:val="center"/>
            <w:hideMark/>
          </w:tcPr>
          <w:p w14:paraId="7DBD8ECF" w14:textId="77777777" w:rsidR="00C20FD6" w:rsidRPr="00BE080F" w:rsidRDefault="00C20FD6" w:rsidP="00BC1C03">
            <w:pPr>
              <w:spacing w:after="0" w:line="240" w:lineRule="auto"/>
              <w:jc w:val="center"/>
              <w:rPr>
                <w:rFonts w:ascii="Arial" w:eastAsia="Times New Roman" w:hAnsi="Arial" w:cs="Arial"/>
                <w:b/>
                <w:bCs/>
                <w:color w:val="FFFFFF"/>
                <w:sz w:val="20"/>
                <w:szCs w:val="20"/>
                <w:lang w:eastAsia="es-CO"/>
              </w:rPr>
            </w:pPr>
            <w:r w:rsidRPr="00BE080F">
              <w:rPr>
                <w:rFonts w:ascii="Arial" w:eastAsia="Times New Roman" w:hAnsi="Arial" w:cs="Arial"/>
                <w:b/>
                <w:bCs/>
                <w:color w:val="FFFFFF"/>
                <w:sz w:val="20"/>
                <w:szCs w:val="20"/>
                <w:lang w:eastAsia="es-CO"/>
              </w:rPr>
              <w:t xml:space="preserve"> $              20.575 </w:t>
            </w:r>
          </w:p>
        </w:tc>
      </w:tr>
    </w:tbl>
    <w:p w14:paraId="4D7DA9F3" w14:textId="77777777" w:rsidR="00C20FD6" w:rsidRPr="00F77263" w:rsidRDefault="00C20FD6" w:rsidP="00C20FD6">
      <w:pPr>
        <w:spacing w:after="0" w:line="240" w:lineRule="auto"/>
        <w:jc w:val="center"/>
        <w:rPr>
          <w:rFonts w:ascii="Arial" w:eastAsia="Times New Roman" w:hAnsi="Arial" w:cs="Arial"/>
          <w:noProof/>
          <w:color w:val="002060"/>
          <w:sz w:val="18"/>
          <w:szCs w:val="18"/>
          <w:lang w:eastAsia="es-CO"/>
        </w:rPr>
      </w:pPr>
      <w:r w:rsidRPr="00F77263">
        <w:rPr>
          <w:rFonts w:ascii="Arial" w:eastAsia="Times New Roman" w:hAnsi="Arial" w:cs="Arial"/>
          <w:noProof/>
          <w:sz w:val="18"/>
          <w:szCs w:val="18"/>
          <w:lang w:eastAsia="es-CO"/>
        </w:rPr>
        <w:t>Cifras en millones de pesos</w:t>
      </w:r>
    </w:p>
    <w:p w14:paraId="68EDA4EB" w14:textId="77777777" w:rsidR="00C20FD6" w:rsidRPr="00F77263" w:rsidRDefault="00C20FD6" w:rsidP="00C20FD6">
      <w:pPr>
        <w:spacing w:after="0" w:line="240" w:lineRule="auto"/>
        <w:jc w:val="center"/>
        <w:rPr>
          <w:rFonts w:ascii="Arial" w:eastAsia="Calibri" w:hAnsi="Arial" w:cs="Arial"/>
        </w:rPr>
      </w:pPr>
      <w:r w:rsidRPr="00F77263">
        <w:rPr>
          <w:rFonts w:ascii="Arial" w:eastAsia="Calibri" w:hAnsi="Arial" w:cs="Arial"/>
          <w:sz w:val="16"/>
          <w:szCs w:val="16"/>
        </w:rPr>
        <w:t>Fuente: SIIF Nación</w:t>
      </w:r>
    </w:p>
    <w:p w14:paraId="5E8D170E" w14:textId="77777777" w:rsidR="00C20FD6" w:rsidRDefault="00C20FD6" w:rsidP="00C02282">
      <w:pPr>
        <w:pStyle w:val="Prrafodelista"/>
        <w:spacing w:after="0" w:line="240" w:lineRule="auto"/>
        <w:ind w:left="360"/>
        <w:jc w:val="center"/>
        <w:rPr>
          <w:rFonts w:cs="Arial"/>
          <w:sz w:val="16"/>
          <w:szCs w:val="16"/>
          <w:highlight w:val="yellow"/>
          <w:lang w:eastAsia="es-ES"/>
        </w:rPr>
      </w:pPr>
    </w:p>
    <w:p w14:paraId="65BA55E7" w14:textId="77777777" w:rsidR="00C20FD6" w:rsidRDefault="00C20FD6" w:rsidP="00C02282">
      <w:pPr>
        <w:pStyle w:val="Prrafodelista"/>
        <w:spacing w:after="0" w:line="240" w:lineRule="auto"/>
        <w:ind w:left="360"/>
        <w:jc w:val="center"/>
        <w:rPr>
          <w:rFonts w:cs="Arial"/>
          <w:sz w:val="16"/>
          <w:szCs w:val="16"/>
          <w:highlight w:val="yellow"/>
          <w:lang w:eastAsia="es-ES"/>
        </w:rPr>
      </w:pPr>
    </w:p>
    <w:p w14:paraId="4B8FCEB2" w14:textId="21F96DE9" w:rsidR="00C02282" w:rsidRPr="00C20FD6" w:rsidRDefault="00C02282" w:rsidP="00C02282">
      <w:pPr>
        <w:pStyle w:val="Descripcin"/>
        <w:keepNext/>
        <w:jc w:val="center"/>
      </w:pPr>
      <w:bookmarkStart w:id="47" w:name="_Toc525652468"/>
      <w:r w:rsidRPr="00C20FD6">
        <w:t xml:space="preserve">Tabla </w:t>
      </w:r>
      <w:r w:rsidRPr="00C20FD6">
        <w:fldChar w:fldCharType="begin"/>
      </w:r>
      <w:r w:rsidRPr="00C20FD6">
        <w:instrText xml:space="preserve"> SEQ Tabla \* ARABIC </w:instrText>
      </w:r>
      <w:r w:rsidRPr="00C20FD6">
        <w:fldChar w:fldCharType="separate"/>
      </w:r>
      <w:r w:rsidR="008B4625">
        <w:rPr>
          <w:noProof/>
        </w:rPr>
        <w:t>22</w:t>
      </w:r>
      <w:r w:rsidRPr="00C20FD6">
        <w:fldChar w:fldCharType="end"/>
      </w:r>
      <w:r w:rsidRPr="00C20FD6">
        <w:t xml:space="preserve"> </w:t>
      </w:r>
      <w:r w:rsidR="00C20FD6" w:rsidRPr="00C20FD6">
        <w:t xml:space="preserve">Segundo </w:t>
      </w:r>
      <w:r w:rsidRPr="00C20FD6">
        <w:t xml:space="preserve"> Trimestre FOES / Obligaciones MME</w:t>
      </w:r>
      <w:bookmarkEnd w:id="47"/>
    </w:p>
    <w:tbl>
      <w:tblPr>
        <w:tblW w:w="9488" w:type="dxa"/>
        <w:tblCellMar>
          <w:left w:w="70" w:type="dxa"/>
          <w:right w:w="70" w:type="dxa"/>
        </w:tblCellMar>
        <w:tblLook w:val="04A0" w:firstRow="1" w:lastRow="0" w:firstColumn="1" w:lastColumn="0" w:noHBand="0" w:noVBand="1"/>
      </w:tblPr>
      <w:tblGrid>
        <w:gridCol w:w="6640"/>
        <w:gridCol w:w="1288"/>
        <w:gridCol w:w="1560"/>
      </w:tblGrid>
      <w:tr w:rsidR="00C20FD6" w:rsidRPr="00C20FD6" w14:paraId="617432C0" w14:textId="77777777" w:rsidTr="00BC1C03">
        <w:trPr>
          <w:trHeight w:val="315"/>
        </w:trPr>
        <w:tc>
          <w:tcPr>
            <w:tcW w:w="9488"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37736847" w14:textId="77777777" w:rsidR="00C20FD6" w:rsidRPr="00C20FD6" w:rsidRDefault="00C20FD6" w:rsidP="00BC1C03">
            <w:pPr>
              <w:spacing w:after="0" w:line="240" w:lineRule="auto"/>
              <w:jc w:val="center"/>
              <w:rPr>
                <w:rFonts w:ascii="Arial" w:eastAsia="Times New Roman" w:hAnsi="Arial" w:cs="Arial"/>
                <w:b/>
                <w:bCs/>
                <w:color w:val="FFFFFF"/>
                <w:sz w:val="18"/>
                <w:szCs w:val="18"/>
                <w:lang w:eastAsia="es-CO"/>
              </w:rPr>
            </w:pPr>
            <w:r w:rsidRPr="00C20FD6">
              <w:rPr>
                <w:rFonts w:ascii="Arial" w:eastAsia="Times New Roman" w:hAnsi="Arial" w:cs="Arial"/>
                <w:b/>
                <w:bCs/>
                <w:color w:val="FFFFFF"/>
                <w:sz w:val="18"/>
                <w:szCs w:val="18"/>
                <w:lang w:eastAsia="es-CO"/>
              </w:rPr>
              <w:t>FOES - OBLIGACIONES</w:t>
            </w:r>
          </w:p>
        </w:tc>
      </w:tr>
      <w:tr w:rsidR="00C20FD6" w:rsidRPr="00C20FD6" w14:paraId="273154F8" w14:textId="77777777" w:rsidTr="00BC1C03">
        <w:trPr>
          <w:trHeight w:val="315"/>
        </w:trPr>
        <w:tc>
          <w:tcPr>
            <w:tcW w:w="6640" w:type="dxa"/>
            <w:tcBorders>
              <w:top w:val="single" w:sz="8" w:space="0" w:color="auto"/>
              <w:left w:val="single" w:sz="8" w:space="0" w:color="auto"/>
              <w:bottom w:val="single" w:sz="8" w:space="0" w:color="auto"/>
              <w:right w:val="single" w:sz="4" w:space="0" w:color="auto"/>
            </w:tcBorders>
            <w:shd w:val="clear" w:color="auto" w:fill="17365D"/>
            <w:noWrap/>
            <w:vAlign w:val="bottom"/>
            <w:hideMark/>
          </w:tcPr>
          <w:p w14:paraId="41CBCA1D" w14:textId="77777777" w:rsidR="00C20FD6" w:rsidRPr="00C20FD6" w:rsidRDefault="00C20FD6" w:rsidP="00BC1C03">
            <w:pPr>
              <w:spacing w:after="0" w:line="240" w:lineRule="auto"/>
              <w:jc w:val="center"/>
              <w:rPr>
                <w:rFonts w:eastAsia="Times New Roman" w:cs="Arial"/>
                <w:b/>
                <w:bCs/>
                <w:color w:val="FFFFFF"/>
                <w:lang w:eastAsia="es-CO"/>
              </w:rPr>
            </w:pPr>
            <w:r w:rsidRPr="00C20FD6">
              <w:rPr>
                <w:rFonts w:eastAsia="Times New Roman" w:cs="Arial"/>
                <w:b/>
                <w:bCs/>
                <w:color w:val="FFFFFF"/>
                <w:lang w:eastAsia="es-CO"/>
              </w:rPr>
              <w:t>Objeto</w:t>
            </w:r>
          </w:p>
        </w:tc>
        <w:tc>
          <w:tcPr>
            <w:tcW w:w="1288" w:type="dxa"/>
            <w:tcBorders>
              <w:top w:val="nil"/>
              <w:left w:val="nil"/>
              <w:bottom w:val="single" w:sz="8" w:space="0" w:color="auto"/>
              <w:right w:val="single" w:sz="4" w:space="0" w:color="auto"/>
            </w:tcBorders>
            <w:shd w:val="clear" w:color="auto" w:fill="17365D"/>
            <w:noWrap/>
            <w:vAlign w:val="bottom"/>
            <w:hideMark/>
          </w:tcPr>
          <w:p w14:paraId="4215969F" w14:textId="77777777" w:rsidR="00C20FD6" w:rsidRPr="00C20FD6" w:rsidRDefault="00C20FD6" w:rsidP="00BC1C03">
            <w:pPr>
              <w:spacing w:after="0" w:line="240" w:lineRule="auto"/>
              <w:jc w:val="center"/>
              <w:rPr>
                <w:rFonts w:eastAsia="Times New Roman" w:cs="Arial"/>
                <w:b/>
                <w:bCs/>
                <w:color w:val="FFFFFF"/>
                <w:lang w:eastAsia="es-CO"/>
              </w:rPr>
            </w:pPr>
            <w:r w:rsidRPr="00C20FD6">
              <w:rPr>
                <w:rFonts w:eastAsia="Times New Roman" w:cs="Arial"/>
                <w:b/>
                <w:bCs/>
                <w:color w:val="FFFFFF"/>
                <w:lang w:eastAsia="es-CO"/>
              </w:rPr>
              <w:t>Valor</w:t>
            </w:r>
          </w:p>
        </w:tc>
        <w:tc>
          <w:tcPr>
            <w:tcW w:w="1560" w:type="dxa"/>
            <w:tcBorders>
              <w:top w:val="nil"/>
              <w:left w:val="nil"/>
              <w:bottom w:val="single" w:sz="8" w:space="0" w:color="auto"/>
              <w:right w:val="single" w:sz="8" w:space="0" w:color="auto"/>
            </w:tcBorders>
            <w:shd w:val="clear" w:color="auto" w:fill="17365D"/>
            <w:noWrap/>
            <w:vAlign w:val="bottom"/>
            <w:hideMark/>
          </w:tcPr>
          <w:p w14:paraId="514034AB" w14:textId="77777777" w:rsidR="00C20FD6" w:rsidRPr="00C20FD6" w:rsidRDefault="00C20FD6" w:rsidP="00BC1C03">
            <w:pPr>
              <w:spacing w:after="0" w:line="240" w:lineRule="auto"/>
              <w:jc w:val="center"/>
              <w:rPr>
                <w:rFonts w:eastAsia="Times New Roman" w:cs="Arial"/>
                <w:b/>
                <w:bCs/>
                <w:color w:val="FFFFFF"/>
                <w:lang w:eastAsia="es-CO"/>
              </w:rPr>
            </w:pPr>
            <w:r w:rsidRPr="00C20FD6">
              <w:rPr>
                <w:rFonts w:eastAsia="Times New Roman" w:cs="Arial"/>
                <w:b/>
                <w:bCs/>
                <w:color w:val="FFFFFF"/>
                <w:lang w:eastAsia="es-CO"/>
              </w:rPr>
              <w:t>Fecha</w:t>
            </w:r>
          </w:p>
        </w:tc>
      </w:tr>
      <w:tr w:rsidR="00C20FD6" w:rsidRPr="00C20FD6" w14:paraId="2ACB0A42" w14:textId="77777777" w:rsidTr="00BC1C03">
        <w:trPr>
          <w:trHeight w:val="1040"/>
        </w:trPr>
        <w:tc>
          <w:tcPr>
            <w:tcW w:w="664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2A95878F" w14:textId="77777777" w:rsidR="00C20FD6" w:rsidRPr="00C20FD6" w:rsidRDefault="00C20FD6" w:rsidP="00BC1C03">
            <w:pPr>
              <w:spacing w:after="0" w:line="240" w:lineRule="auto"/>
              <w:jc w:val="both"/>
              <w:rPr>
                <w:rFonts w:ascii="Arial" w:eastAsia="Times New Roman" w:hAnsi="Arial" w:cs="Arial"/>
                <w:color w:val="000000"/>
                <w:sz w:val="18"/>
                <w:szCs w:val="18"/>
                <w:lang w:eastAsia="es-CO"/>
              </w:rPr>
            </w:pPr>
            <w:r w:rsidRPr="00C20FD6">
              <w:rPr>
                <w:rFonts w:ascii="Arial" w:eastAsia="Times New Roman" w:hAnsi="Arial" w:cs="Arial"/>
                <w:color w:val="000000"/>
                <w:sz w:val="18"/>
                <w:szCs w:val="18"/>
                <w:lang w:eastAsia="es-CO"/>
              </w:rPr>
              <w:t>GIRO A COMERCIALIZADORES DE ENERGÍA ELÉCTRICA CON EL FIN DE DESTINARLOS A LOS USUARIOS UBICADOS EN LAS ÁREAS ESPECIALES, A PARTIR DE LA FACTURACIÓN DEL CONSUMO DEL MES SIGUIENTE A LA COMUNICIÓN DE LA PRESENTE RESOLUCIÓN.</w:t>
            </w:r>
          </w:p>
        </w:tc>
        <w:tc>
          <w:tcPr>
            <w:tcW w:w="1288" w:type="dxa"/>
            <w:tcBorders>
              <w:top w:val="nil"/>
              <w:left w:val="nil"/>
              <w:bottom w:val="single" w:sz="4" w:space="0" w:color="auto"/>
              <w:right w:val="single" w:sz="4" w:space="0" w:color="auto"/>
            </w:tcBorders>
            <w:shd w:val="clear" w:color="auto" w:fill="auto"/>
            <w:vAlign w:val="center"/>
            <w:hideMark/>
          </w:tcPr>
          <w:p w14:paraId="457E4E25" w14:textId="77777777" w:rsidR="00C20FD6" w:rsidRPr="00C20FD6" w:rsidRDefault="00C20FD6" w:rsidP="00BC1C03">
            <w:pPr>
              <w:spacing w:after="0" w:line="240" w:lineRule="auto"/>
              <w:rPr>
                <w:rFonts w:ascii="Arial" w:eastAsia="Times New Roman" w:hAnsi="Arial" w:cs="Arial"/>
                <w:color w:val="000000"/>
                <w:sz w:val="18"/>
                <w:szCs w:val="18"/>
                <w:lang w:eastAsia="es-CO"/>
              </w:rPr>
            </w:pPr>
            <w:r w:rsidRPr="00C20FD6">
              <w:rPr>
                <w:rFonts w:ascii="Arial" w:eastAsia="Times New Roman" w:hAnsi="Arial" w:cs="Arial"/>
                <w:color w:val="000000"/>
                <w:sz w:val="18"/>
                <w:szCs w:val="18"/>
                <w:lang w:eastAsia="es-CO"/>
              </w:rPr>
              <w:t xml:space="preserve"> $      10.249 </w:t>
            </w:r>
          </w:p>
        </w:tc>
        <w:tc>
          <w:tcPr>
            <w:tcW w:w="1560" w:type="dxa"/>
            <w:tcBorders>
              <w:top w:val="nil"/>
              <w:left w:val="nil"/>
              <w:bottom w:val="single" w:sz="4" w:space="0" w:color="auto"/>
              <w:right w:val="single" w:sz="8" w:space="0" w:color="auto"/>
            </w:tcBorders>
            <w:shd w:val="clear" w:color="auto" w:fill="auto"/>
            <w:vAlign w:val="center"/>
            <w:hideMark/>
          </w:tcPr>
          <w:p w14:paraId="1988A913" w14:textId="77777777" w:rsidR="00C20FD6" w:rsidRPr="00C20FD6" w:rsidRDefault="00C20FD6" w:rsidP="00BC1C03">
            <w:pPr>
              <w:spacing w:after="0" w:line="240" w:lineRule="auto"/>
              <w:jc w:val="center"/>
              <w:rPr>
                <w:rFonts w:ascii="Arial" w:eastAsia="Times New Roman" w:hAnsi="Arial" w:cs="Arial"/>
                <w:color w:val="000000"/>
                <w:sz w:val="18"/>
                <w:szCs w:val="18"/>
                <w:lang w:eastAsia="es-CO"/>
              </w:rPr>
            </w:pPr>
            <w:r w:rsidRPr="00C20FD6">
              <w:rPr>
                <w:rFonts w:ascii="Arial" w:eastAsia="Times New Roman" w:hAnsi="Arial" w:cs="Arial"/>
                <w:color w:val="000000"/>
                <w:sz w:val="18"/>
                <w:szCs w:val="18"/>
                <w:lang w:eastAsia="es-CO"/>
              </w:rPr>
              <w:t xml:space="preserve"> 8 DE JUNIO DE 2018 </w:t>
            </w:r>
          </w:p>
        </w:tc>
      </w:tr>
      <w:tr w:rsidR="00C20FD6" w:rsidRPr="00C20FD6" w14:paraId="4458B465" w14:textId="77777777" w:rsidTr="00BC1C03">
        <w:trPr>
          <w:trHeight w:val="1007"/>
        </w:trPr>
        <w:tc>
          <w:tcPr>
            <w:tcW w:w="664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4A553CF9" w14:textId="77777777" w:rsidR="00C20FD6" w:rsidRPr="00C20FD6" w:rsidRDefault="00C20FD6" w:rsidP="00BC1C03">
            <w:pPr>
              <w:spacing w:after="0" w:line="240" w:lineRule="auto"/>
              <w:jc w:val="both"/>
              <w:rPr>
                <w:rFonts w:ascii="Arial" w:eastAsia="Times New Roman" w:hAnsi="Arial" w:cs="Arial"/>
                <w:color w:val="000000"/>
                <w:sz w:val="18"/>
                <w:szCs w:val="18"/>
                <w:lang w:eastAsia="es-CO"/>
              </w:rPr>
            </w:pPr>
            <w:r w:rsidRPr="00C20FD6">
              <w:rPr>
                <w:rFonts w:ascii="Arial" w:eastAsia="Times New Roman" w:hAnsi="Arial" w:cs="Arial"/>
                <w:color w:val="000000"/>
                <w:sz w:val="18"/>
                <w:szCs w:val="18"/>
                <w:lang w:eastAsia="es-CO"/>
              </w:rPr>
              <w:t>GIRO A COMERCIALIZADORES DE ENERGÍA ELECTRICA DE LOS CONSUMOS EN KWH FACTURADO EN EL MES DE ENERO 2018, BASE PARA LA ASIGNACIÓN DE RECURSOS DE CONFORMIDAD CON LA DISTRIBUCIÓN REALIZADA DE LA D.E, PARA LOS USUARIOS UBICADOS EN LAS ÁREAS ESPECIALES.</w:t>
            </w:r>
          </w:p>
        </w:tc>
        <w:tc>
          <w:tcPr>
            <w:tcW w:w="1288" w:type="dxa"/>
            <w:tcBorders>
              <w:top w:val="nil"/>
              <w:left w:val="nil"/>
              <w:bottom w:val="single" w:sz="4" w:space="0" w:color="auto"/>
              <w:right w:val="single" w:sz="4" w:space="0" w:color="auto"/>
            </w:tcBorders>
            <w:shd w:val="clear" w:color="auto" w:fill="auto"/>
            <w:vAlign w:val="center"/>
            <w:hideMark/>
          </w:tcPr>
          <w:p w14:paraId="431102BC" w14:textId="77777777" w:rsidR="00C20FD6" w:rsidRPr="00C20FD6" w:rsidRDefault="00C20FD6" w:rsidP="00BC1C03">
            <w:pPr>
              <w:spacing w:after="0" w:line="240" w:lineRule="auto"/>
              <w:rPr>
                <w:rFonts w:ascii="Arial" w:eastAsia="Times New Roman" w:hAnsi="Arial" w:cs="Arial"/>
                <w:color w:val="000000"/>
                <w:sz w:val="18"/>
                <w:szCs w:val="18"/>
                <w:lang w:eastAsia="es-CO"/>
              </w:rPr>
            </w:pPr>
            <w:r w:rsidRPr="00C20FD6">
              <w:rPr>
                <w:rFonts w:ascii="Arial" w:eastAsia="Times New Roman" w:hAnsi="Arial" w:cs="Arial"/>
                <w:color w:val="000000"/>
                <w:sz w:val="18"/>
                <w:szCs w:val="18"/>
                <w:lang w:eastAsia="es-CO"/>
              </w:rPr>
              <w:t xml:space="preserve"> $        10.326 </w:t>
            </w:r>
          </w:p>
        </w:tc>
        <w:tc>
          <w:tcPr>
            <w:tcW w:w="1560" w:type="dxa"/>
            <w:tcBorders>
              <w:top w:val="nil"/>
              <w:left w:val="nil"/>
              <w:bottom w:val="single" w:sz="4" w:space="0" w:color="auto"/>
              <w:right w:val="single" w:sz="8" w:space="0" w:color="auto"/>
            </w:tcBorders>
            <w:shd w:val="clear" w:color="auto" w:fill="auto"/>
            <w:vAlign w:val="center"/>
            <w:hideMark/>
          </w:tcPr>
          <w:p w14:paraId="7EA2BDCF" w14:textId="77777777" w:rsidR="00C20FD6" w:rsidRPr="00C20FD6" w:rsidRDefault="00C20FD6" w:rsidP="00BC1C03">
            <w:pPr>
              <w:spacing w:after="0" w:line="240" w:lineRule="auto"/>
              <w:jc w:val="center"/>
              <w:rPr>
                <w:rFonts w:ascii="Arial" w:eastAsia="Times New Roman" w:hAnsi="Arial" w:cs="Arial"/>
                <w:color w:val="000000"/>
                <w:sz w:val="18"/>
                <w:szCs w:val="18"/>
                <w:lang w:eastAsia="es-CO"/>
              </w:rPr>
            </w:pPr>
            <w:r w:rsidRPr="00C20FD6">
              <w:rPr>
                <w:rFonts w:ascii="Arial" w:eastAsia="Times New Roman" w:hAnsi="Arial" w:cs="Arial"/>
                <w:color w:val="000000"/>
                <w:sz w:val="18"/>
                <w:szCs w:val="18"/>
                <w:lang w:eastAsia="es-CO"/>
              </w:rPr>
              <w:t xml:space="preserve"> 19 DE ABRIL DE 2018 </w:t>
            </w:r>
          </w:p>
        </w:tc>
      </w:tr>
      <w:tr w:rsidR="00C20FD6" w:rsidRPr="00C20FD6" w14:paraId="7D2D95B8" w14:textId="77777777" w:rsidTr="00BC1C03">
        <w:trPr>
          <w:trHeight w:val="315"/>
        </w:trPr>
        <w:tc>
          <w:tcPr>
            <w:tcW w:w="6640" w:type="dxa"/>
            <w:tcBorders>
              <w:top w:val="nil"/>
              <w:left w:val="single" w:sz="8" w:space="0" w:color="auto"/>
              <w:bottom w:val="single" w:sz="8" w:space="0" w:color="auto"/>
              <w:right w:val="nil"/>
            </w:tcBorders>
            <w:shd w:val="clear" w:color="auto" w:fill="17365D"/>
            <w:noWrap/>
            <w:vAlign w:val="center"/>
            <w:hideMark/>
          </w:tcPr>
          <w:p w14:paraId="1A0D6CD2" w14:textId="77777777" w:rsidR="00C20FD6" w:rsidRPr="00C20FD6" w:rsidRDefault="00C20FD6" w:rsidP="00BC1C03">
            <w:pPr>
              <w:spacing w:after="0" w:line="240" w:lineRule="auto"/>
              <w:jc w:val="center"/>
              <w:rPr>
                <w:rFonts w:ascii="Arial" w:eastAsia="Times New Roman" w:hAnsi="Arial" w:cs="Arial"/>
                <w:b/>
                <w:bCs/>
                <w:color w:val="FFFFFF"/>
                <w:sz w:val="20"/>
                <w:szCs w:val="20"/>
                <w:lang w:eastAsia="es-CO"/>
              </w:rPr>
            </w:pPr>
            <w:r w:rsidRPr="00C20FD6">
              <w:rPr>
                <w:rFonts w:ascii="Arial" w:eastAsia="Times New Roman" w:hAnsi="Arial" w:cs="Arial"/>
                <w:b/>
                <w:bCs/>
                <w:color w:val="FFFFFF"/>
                <w:sz w:val="20"/>
                <w:szCs w:val="20"/>
                <w:lang w:eastAsia="es-CO"/>
              </w:rPr>
              <w:t>TOTAL</w:t>
            </w:r>
          </w:p>
        </w:tc>
        <w:tc>
          <w:tcPr>
            <w:tcW w:w="2848" w:type="dxa"/>
            <w:gridSpan w:val="2"/>
            <w:tcBorders>
              <w:top w:val="nil"/>
              <w:left w:val="single" w:sz="4" w:space="0" w:color="auto"/>
              <w:bottom w:val="single" w:sz="8" w:space="0" w:color="auto"/>
              <w:right w:val="single" w:sz="8" w:space="0" w:color="000000"/>
            </w:tcBorders>
            <w:shd w:val="clear" w:color="auto" w:fill="17365D"/>
            <w:noWrap/>
            <w:vAlign w:val="center"/>
            <w:hideMark/>
          </w:tcPr>
          <w:p w14:paraId="10147DDF" w14:textId="77777777" w:rsidR="00C20FD6" w:rsidRPr="00C20FD6" w:rsidRDefault="00C20FD6" w:rsidP="00BC1C03">
            <w:pPr>
              <w:spacing w:after="0" w:line="240" w:lineRule="auto"/>
              <w:jc w:val="center"/>
              <w:rPr>
                <w:rFonts w:ascii="Arial" w:eastAsia="Times New Roman" w:hAnsi="Arial" w:cs="Arial"/>
                <w:b/>
                <w:bCs/>
                <w:color w:val="FFFFFF"/>
                <w:sz w:val="20"/>
                <w:szCs w:val="20"/>
                <w:lang w:eastAsia="es-CO"/>
              </w:rPr>
            </w:pPr>
            <w:r w:rsidRPr="00C20FD6">
              <w:rPr>
                <w:rFonts w:ascii="Arial" w:eastAsia="Times New Roman" w:hAnsi="Arial" w:cs="Arial"/>
                <w:b/>
                <w:bCs/>
                <w:color w:val="FFFFFF"/>
                <w:sz w:val="20"/>
                <w:szCs w:val="20"/>
                <w:lang w:eastAsia="es-CO"/>
              </w:rPr>
              <w:t xml:space="preserve"> $                                 20.575 </w:t>
            </w:r>
          </w:p>
        </w:tc>
      </w:tr>
    </w:tbl>
    <w:p w14:paraId="54950F91" w14:textId="77777777" w:rsidR="00C20FD6" w:rsidRPr="00C20FD6" w:rsidRDefault="00C20FD6" w:rsidP="00C20FD6">
      <w:pPr>
        <w:spacing w:after="0" w:line="240" w:lineRule="auto"/>
        <w:jc w:val="center"/>
        <w:rPr>
          <w:rFonts w:ascii="Arial" w:eastAsia="Times New Roman" w:hAnsi="Arial" w:cs="Arial"/>
          <w:noProof/>
          <w:color w:val="002060"/>
          <w:sz w:val="18"/>
          <w:szCs w:val="18"/>
          <w:lang w:eastAsia="es-CO"/>
        </w:rPr>
      </w:pPr>
      <w:r w:rsidRPr="00C20FD6">
        <w:rPr>
          <w:rFonts w:ascii="Arial" w:eastAsia="Times New Roman" w:hAnsi="Arial" w:cs="Arial"/>
          <w:noProof/>
          <w:sz w:val="18"/>
          <w:szCs w:val="18"/>
          <w:lang w:eastAsia="es-CO"/>
        </w:rPr>
        <w:t>Cifras en millones de pesos</w:t>
      </w:r>
    </w:p>
    <w:p w14:paraId="75830EDB" w14:textId="77777777" w:rsidR="00C20FD6" w:rsidRPr="00C20FD6" w:rsidRDefault="00C20FD6" w:rsidP="00C20FD6">
      <w:pPr>
        <w:spacing w:after="0" w:line="240" w:lineRule="auto"/>
        <w:jc w:val="center"/>
        <w:rPr>
          <w:rFonts w:ascii="Arial" w:eastAsia="Calibri" w:hAnsi="Arial" w:cs="Arial"/>
        </w:rPr>
      </w:pPr>
      <w:r w:rsidRPr="00C20FD6">
        <w:rPr>
          <w:rFonts w:ascii="Arial" w:eastAsia="Calibri" w:hAnsi="Arial" w:cs="Arial"/>
          <w:sz w:val="16"/>
          <w:szCs w:val="16"/>
        </w:rPr>
        <w:t>Fuente: SIIF Nación</w:t>
      </w:r>
    </w:p>
    <w:p w14:paraId="32160DE2" w14:textId="77777777" w:rsidR="00C20FD6" w:rsidRPr="00C20FD6" w:rsidRDefault="00C20FD6" w:rsidP="00C02282">
      <w:pPr>
        <w:pStyle w:val="Prrafodelista"/>
        <w:spacing w:after="0" w:line="240" w:lineRule="auto"/>
        <w:ind w:left="360"/>
        <w:jc w:val="center"/>
        <w:rPr>
          <w:rFonts w:cs="Arial"/>
          <w:sz w:val="16"/>
          <w:szCs w:val="16"/>
          <w:lang w:eastAsia="es-ES"/>
        </w:rPr>
      </w:pPr>
    </w:p>
    <w:p w14:paraId="50DA0C8D" w14:textId="77777777" w:rsidR="00C02282" w:rsidRPr="00C20FD6" w:rsidRDefault="00C02282" w:rsidP="00C02282">
      <w:pPr>
        <w:spacing w:after="0" w:line="240" w:lineRule="auto"/>
        <w:rPr>
          <w:rFonts w:ascii="Arial" w:eastAsia="Arial" w:hAnsi="Arial" w:cs="Arial"/>
          <w:b/>
          <w:szCs w:val="16"/>
          <w:u w:val="single"/>
        </w:rPr>
      </w:pPr>
      <w:r w:rsidRPr="00C20FD6">
        <w:rPr>
          <w:rFonts w:ascii="Arial" w:eastAsia="Arial" w:hAnsi="Arial" w:cs="Arial"/>
          <w:b/>
          <w:szCs w:val="16"/>
          <w:u w:val="single"/>
        </w:rPr>
        <w:t>Fondos:</w:t>
      </w:r>
    </w:p>
    <w:p w14:paraId="58204C92" w14:textId="77777777" w:rsidR="00C02282" w:rsidRPr="006A67B4" w:rsidRDefault="00C02282" w:rsidP="00C02282">
      <w:pPr>
        <w:spacing w:after="0" w:line="240" w:lineRule="auto"/>
        <w:rPr>
          <w:rFonts w:ascii="Arial" w:eastAsia="Arial" w:hAnsi="Arial" w:cs="Arial"/>
          <w:b/>
          <w:szCs w:val="16"/>
          <w:highlight w:val="yellow"/>
          <w:u w:val="single"/>
        </w:rPr>
      </w:pPr>
    </w:p>
    <w:p w14:paraId="503DD6A0" w14:textId="77777777" w:rsidR="00C20FD6" w:rsidRPr="00D54D32" w:rsidRDefault="00C20FD6" w:rsidP="008B4625">
      <w:pPr>
        <w:numPr>
          <w:ilvl w:val="0"/>
          <w:numId w:val="29"/>
        </w:numPr>
        <w:spacing w:after="0" w:line="240" w:lineRule="auto"/>
        <w:ind w:left="426"/>
        <w:jc w:val="both"/>
        <w:rPr>
          <w:rFonts w:ascii="Arial" w:eastAsia="Times New Roman" w:hAnsi="Arial" w:cs="Arial"/>
          <w:b/>
          <w:szCs w:val="16"/>
          <w:lang w:val="es-ES" w:eastAsia="es-ES"/>
        </w:rPr>
      </w:pPr>
      <w:r w:rsidRPr="00D54D32">
        <w:rPr>
          <w:rFonts w:ascii="Arial" w:eastAsia="Times New Roman" w:hAnsi="Arial" w:cs="Arial"/>
          <w:b/>
          <w:szCs w:val="16"/>
          <w:lang w:val="es-ES" w:eastAsia="es-ES"/>
        </w:rPr>
        <w:t>Apoyo para Construcción de Proyecto de Infraestructura Eléctrica en las Zonas no Interconectadas en el Territorio Nacional:</w:t>
      </w:r>
    </w:p>
    <w:p w14:paraId="6F5FA6B7" w14:textId="77777777" w:rsidR="00C20FD6" w:rsidRPr="00A201DA" w:rsidRDefault="00C20FD6" w:rsidP="00C20FD6">
      <w:pPr>
        <w:spacing w:after="0" w:line="240" w:lineRule="auto"/>
        <w:rPr>
          <w:rFonts w:ascii="Arial" w:eastAsia="Times New Roman" w:hAnsi="Arial" w:cs="Arial"/>
          <w:b/>
          <w:szCs w:val="16"/>
          <w:highlight w:val="yellow"/>
          <w:lang w:val="es-ES" w:eastAsia="es-ES"/>
        </w:rPr>
      </w:pPr>
    </w:p>
    <w:p w14:paraId="438BBE94" w14:textId="77777777" w:rsidR="00C20FD6" w:rsidRPr="00467A44" w:rsidRDefault="00C20FD6" w:rsidP="00C20FD6">
      <w:pPr>
        <w:spacing w:after="0" w:line="240" w:lineRule="auto"/>
        <w:jc w:val="both"/>
        <w:rPr>
          <w:rFonts w:ascii="Arial" w:eastAsia="Times New Roman" w:hAnsi="Arial" w:cs="Arial"/>
          <w:lang w:val="es-ES" w:eastAsia="es-ES"/>
        </w:rPr>
      </w:pPr>
      <w:r w:rsidRPr="00D54D32">
        <w:rPr>
          <w:rFonts w:ascii="Arial" w:eastAsia="Times New Roman" w:hAnsi="Arial" w:cs="Arial"/>
          <w:szCs w:val="16"/>
          <w:lang w:val="es-ES" w:eastAsia="es-ES"/>
        </w:rPr>
        <w:t xml:space="preserve">Este proyecto cuenta con una apropiación para la vigencia 2018 de $105.726 millones de pesos, de los cuales se </w:t>
      </w:r>
      <w:r w:rsidRPr="00467A44">
        <w:rPr>
          <w:rFonts w:ascii="Arial" w:eastAsia="Times New Roman" w:hAnsi="Arial" w:cs="Arial"/>
          <w:lang w:val="es-ES" w:eastAsia="es-ES"/>
        </w:rPr>
        <w:t xml:space="preserve">comprometieron recursos por $89.343 millones de pesos, equivalentes al 84,51% en ejecución. Durante el trimestre, comprometió $17 millones de pesos para las </w:t>
      </w:r>
      <w:r w:rsidRPr="00467A44">
        <w:rPr>
          <w:rFonts w:ascii="Arial" w:eastAsia="Times New Roman" w:hAnsi="Arial" w:cs="Arial"/>
          <w:color w:val="000000"/>
          <w:lang w:eastAsia="es-CO"/>
        </w:rPr>
        <w:t>actividades de apoyo a la gestión y seguimiento del proyecto.</w:t>
      </w:r>
    </w:p>
    <w:p w14:paraId="631B1698" w14:textId="77777777" w:rsidR="00C20FD6" w:rsidRPr="00CE7838" w:rsidRDefault="00C20FD6" w:rsidP="00C20FD6">
      <w:pPr>
        <w:spacing w:after="0" w:line="240" w:lineRule="auto"/>
        <w:jc w:val="both"/>
        <w:rPr>
          <w:rFonts w:ascii="Arial" w:eastAsia="Times New Roman" w:hAnsi="Arial" w:cs="Arial"/>
          <w:szCs w:val="16"/>
          <w:lang w:val="es-ES" w:eastAsia="es-ES"/>
        </w:rPr>
      </w:pPr>
    </w:p>
    <w:p w14:paraId="213EB577" w14:textId="77777777" w:rsidR="00C20FD6" w:rsidRPr="00CE7838" w:rsidRDefault="00C20FD6" w:rsidP="00C20FD6">
      <w:pPr>
        <w:spacing w:after="0" w:line="240" w:lineRule="auto"/>
        <w:jc w:val="both"/>
        <w:rPr>
          <w:rFonts w:ascii="Arial" w:eastAsia="Times New Roman" w:hAnsi="Arial" w:cs="Arial"/>
          <w:szCs w:val="16"/>
          <w:lang w:val="es-ES" w:eastAsia="es-ES"/>
        </w:rPr>
      </w:pPr>
      <w:r w:rsidRPr="00CE7838">
        <w:rPr>
          <w:rFonts w:ascii="Arial" w:eastAsia="Times New Roman" w:hAnsi="Arial" w:cs="Arial"/>
          <w:szCs w:val="16"/>
          <w:lang w:val="es-ES" w:eastAsia="es-ES"/>
        </w:rPr>
        <w:t>En cuanto a las obligaciones, se ejecutaron recursos por $</w:t>
      </w:r>
      <w:r>
        <w:rPr>
          <w:rFonts w:ascii="Arial" w:eastAsia="Times New Roman" w:hAnsi="Arial" w:cs="Arial"/>
          <w:szCs w:val="16"/>
          <w:lang w:val="es-ES" w:eastAsia="es-ES"/>
        </w:rPr>
        <w:t>3.519</w:t>
      </w:r>
      <w:r w:rsidRPr="00CE7838">
        <w:rPr>
          <w:rFonts w:ascii="Arial" w:eastAsia="Times New Roman" w:hAnsi="Arial" w:cs="Arial"/>
          <w:szCs w:val="16"/>
          <w:lang w:val="es-ES" w:eastAsia="es-ES"/>
        </w:rPr>
        <w:t xml:space="preserve"> millones de pesos</w:t>
      </w:r>
      <w:r>
        <w:rPr>
          <w:rFonts w:ascii="Arial" w:eastAsia="Times New Roman" w:hAnsi="Arial" w:cs="Arial"/>
          <w:szCs w:val="16"/>
          <w:lang w:val="es-ES" w:eastAsia="es-ES"/>
        </w:rPr>
        <w:t xml:space="preserve"> para un acumulado de $3.638 millones de pesos equivalentes a un 3,44%. </w:t>
      </w:r>
    </w:p>
    <w:p w14:paraId="7DC44D73" w14:textId="77777777" w:rsidR="00C20FD6" w:rsidRPr="00CE7838" w:rsidRDefault="00C20FD6" w:rsidP="00C20FD6">
      <w:pPr>
        <w:spacing w:after="0" w:line="240" w:lineRule="auto"/>
        <w:jc w:val="both"/>
        <w:rPr>
          <w:rFonts w:ascii="Arial" w:eastAsia="Times New Roman" w:hAnsi="Arial" w:cs="Arial"/>
          <w:szCs w:val="16"/>
          <w:lang w:val="es-ES" w:eastAsia="es-ES"/>
        </w:rPr>
      </w:pPr>
    </w:p>
    <w:p w14:paraId="00231443" w14:textId="5E4379FA" w:rsidR="00C02282" w:rsidRDefault="00C20FD6" w:rsidP="00C20FD6">
      <w:pPr>
        <w:spacing w:after="0" w:line="240" w:lineRule="auto"/>
        <w:jc w:val="both"/>
        <w:rPr>
          <w:rFonts w:ascii="Arial" w:eastAsia="Times New Roman" w:hAnsi="Arial" w:cs="Arial"/>
          <w:szCs w:val="16"/>
          <w:lang w:val="es-ES" w:eastAsia="es-ES"/>
        </w:rPr>
      </w:pPr>
      <w:r w:rsidRPr="00CE7838">
        <w:rPr>
          <w:rFonts w:ascii="Arial" w:eastAsia="Times New Roman" w:hAnsi="Arial" w:cs="Arial"/>
          <w:szCs w:val="16"/>
          <w:lang w:val="es-ES" w:eastAsia="es-ES"/>
        </w:rPr>
        <w:t>Dicha ejecución d</w:t>
      </w:r>
      <w:r>
        <w:rPr>
          <w:rFonts w:ascii="Arial" w:eastAsia="Times New Roman" w:hAnsi="Arial" w:cs="Arial"/>
          <w:szCs w:val="16"/>
          <w:lang w:val="es-ES" w:eastAsia="es-ES"/>
        </w:rPr>
        <w:t>e efectuó como se evidencia en el siguiente cuadro:</w:t>
      </w:r>
    </w:p>
    <w:p w14:paraId="5CCCEEEF" w14:textId="0CD9AE17" w:rsidR="00C02282" w:rsidRPr="00BC1C03" w:rsidRDefault="00C02282" w:rsidP="00C02282">
      <w:pPr>
        <w:pStyle w:val="Descripcin"/>
        <w:keepNext/>
        <w:jc w:val="center"/>
      </w:pPr>
      <w:bookmarkStart w:id="48" w:name="_Toc525652469"/>
      <w:r w:rsidRPr="00BC1C03">
        <w:lastRenderedPageBreak/>
        <w:t xml:space="preserve">Tabla </w:t>
      </w:r>
      <w:r w:rsidRPr="00BC1C03">
        <w:fldChar w:fldCharType="begin"/>
      </w:r>
      <w:r w:rsidRPr="00BC1C03">
        <w:instrText xml:space="preserve"> SEQ Tabla \* ARABIC </w:instrText>
      </w:r>
      <w:r w:rsidRPr="00BC1C03">
        <w:fldChar w:fldCharType="separate"/>
      </w:r>
      <w:r w:rsidR="008B4625">
        <w:rPr>
          <w:noProof/>
        </w:rPr>
        <w:t>23</w:t>
      </w:r>
      <w:r w:rsidRPr="00BC1C03">
        <w:fldChar w:fldCharType="end"/>
      </w:r>
      <w:r w:rsidRPr="00BC1C03">
        <w:t xml:space="preserve"> </w:t>
      </w:r>
      <w:r w:rsidR="00C20FD6" w:rsidRPr="00BC1C03">
        <w:t xml:space="preserve">Segundo </w:t>
      </w:r>
      <w:r w:rsidR="00BC1C03" w:rsidRPr="00BC1C03">
        <w:t xml:space="preserve">Trimestre FAZNI / Obligaciones </w:t>
      </w:r>
      <w:r w:rsidRPr="00BC1C03">
        <w:t xml:space="preserve"> MME</w:t>
      </w:r>
      <w:bookmarkEnd w:id="48"/>
    </w:p>
    <w:tbl>
      <w:tblPr>
        <w:tblW w:w="9488" w:type="dxa"/>
        <w:tblCellMar>
          <w:left w:w="70" w:type="dxa"/>
          <w:right w:w="70" w:type="dxa"/>
        </w:tblCellMar>
        <w:tblLook w:val="04A0" w:firstRow="1" w:lastRow="0" w:firstColumn="1" w:lastColumn="0" w:noHBand="0" w:noVBand="1"/>
      </w:tblPr>
      <w:tblGrid>
        <w:gridCol w:w="6794"/>
        <w:gridCol w:w="1134"/>
        <w:gridCol w:w="1560"/>
      </w:tblGrid>
      <w:tr w:rsidR="00BC1C03" w:rsidRPr="00CA0D36" w14:paraId="6D783BE4" w14:textId="77777777" w:rsidTr="00BC1C03">
        <w:trPr>
          <w:trHeight w:val="311"/>
        </w:trPr>
        <w:tc>
          <w:tcPr>
            <w:tcW w:w="9488" w:type="dxa"/>
            <w:gridSpan w:val="3"/>
            <w:tcBorders>
              <w:top w:val="single" w:sz="8" w:space="0" w:color="auto"/>
              <w:left w:val="single" w:sz="8" w:space="0" w:color="auto"/>
              <w:bottom w:val="single" w:sz="4" w:space="0" w:color="auto"/>
              <w:right w:val="single" w:sz="8" w:space="0" w:color="000000"/>
            </w:tcBorders>
            <w:shd w:val="clear" w:color="auto" w:fill="17365D"/>
            <w:noWrap/>
            <w:vAlign w:val="bottom"/>
            <w:hideMark/>
          </w:tcPr>
          <w:p w14:paraId="7F57FC55" w14:textId="77777777" w:rsidR="00BC1C03" w:rsidRPr="00CA0D36" w:rsidRDefault="00BC1C03" w:rsidP="00BC1C03">
            <w:pPr>
              <w:jc w:val="center"/>
              <w:rPr>
                <w:rFonts w:eastAsia="Times New Roman"/>
                <w:b/>
                <w:bCs/>
                <w:color w:val="FFFFFF"/>
                <w:lang w:eastAsia="es-CO"/>
              </w:rPr>
            </w:pPr>
            <w:r w:rsidRPr="00CA0D36">
              <w:rPr>
                <w:rFonts w:eastAsia="Times New Roman"/>
                <w:b/>
                <w:bCs/>
                <w:color w:val="FFFFFF"/>
                <w:lang w:eastAsia="es-CO"/>
              </w:rPr>
              <w:t>FAZNI - OBLIGACIONES</w:t>
            </w:r>
          </w:p>
        </w:tc>
      </w:tr>
      <w:tr w:rsidR="00BC1C03" w:rsidRPr="00CA0D36" w14:paraId="6D0E14FD" w14:textId="77777777" w:rsidTr="00BC1C03">
        <w:trPr>
          <w:trHeight w:val="215"/>
        </w:trPr>
        <w:tc>
          <w:tcPr>
            <w:tcW w:w="6794" w:type="dxa"/>
            <w:tcBorders>
              <w:top w:val="nil"/>
              <w:left w:val="single" w:sz="8" w:space="0" w:color="auto"/>
              <w:bottom w:val="single" w:sz="4" w:space="0" w:color="auto"/>
              <w:right w:val="single" w:sz="4" w:space="0" w:color="auto"/>
            </w:tcBorders>
            <w:shd w:val="clear" w:color="auto" w:fill="17365D"/>
            <w:noWrap/>
            <w:vAlign w:val="center"/>
            <w:hideMark/>
          </w:tcPr>
          <w:p w14:paraId="389E9323" w14:textId="77777777" w:rsidR="00BC1C03" w:rsidRPr="00CA0D36" w:rsidRDefault="00BC1C03" w:rsidP="00BC1C03">
            <w:pPr>
              <w:spacing w:after="0" w:line="240" w:lineRule="auto"/>
              <w:jc w:val="center"/>
              <w:rPr>
                <w:rFonts w:eastAsia="Times New Roman"/>
                <w:b/>
                <w:bCs/>
                <w:color w:val="FFFFFF"/>
                <w:lang w:eastAsia="es-CO"/>
              </w:rPr>
            </w:pPr>
            <w:r w:rsidRPr="00CA0D36">
              <w:rPr>
                <w:rFonts w:eastAsia="Times New Roman"/>
                <w:b/>
                <w:bCs/>
                <w:color w:val="FFFFFF"/>
                <w:lang w:eastAsia="es-CO"/>
              </w:rPr>
              <w:t>Resolución</w:t>
            </w:r>
          </w:p>
        </w:tc>
        <w:tc>
          <w:tcPr>
            <w:tcW w:w="1134" w:type="dxa"/>
            <w:tcBorders>
              <w:top w:val="nil"/>
              <w:left w:val="nil"/>
              <w:bottom w:val="single" w:sz="4" w:space="0" w:color="auto"/>
              <w:right w:val="single" w:sz="4" w:space="0" w:color="auto"/>
            </w:tcBorders>
            <w:shd w:val="clear" w:color="auto" w:fill="17365D"/>
            <w:noWrap/>
            <w:vAlign w:val="bottom"/>
            <w:hideMark/>
          </w:tcPr>
          <w:p w14:paraId="367F828D" w14:textId="77777777" w:rsidR="00BC1C03" w:rsidRPr="00CA0D36" w:rsidRDefault="00BC1C03" w:rsidP="00BC1C03">
            <w:pPr>
              <w:spacing w:after="0" w:line="240" w:lineRule="auto"/>
              <w:jc w:val="center"/>
              <w:rPr>
                <w:rFonts w:eastAsia="Times New Roman"/>
                <w:b/>
                <w:bCs/>
                <w:color w:val="FFFFFF"/>
                <w:lang w:eastAsia="es-CO"/>
              </w:rPr>
            </w:pPr>
            <w:r w:rsidRPr="00CA0D36">
              <w:rPr>
                <w:rFonts w:eastAsia="Times New Roman"/>
                <w:b/>
                <w:bCs/>
                <w:color w:val="FFFFFF"/>
                <w:lang w:eastAsia="es-CO"/>
              </w:rPr>
              <w:t>Valor</w:t>
            </w:r>
          </w:p>
        </w:tc>
        <w:tc>
          <w:tcPr>
            <w:tcW w:w="1560" w:type="dxa"/>
            <w:tcBorders>
              <w:top w:val="nil"/>
              <w:left w:val="nil"/>
              <w:bottom w:val="single" w:sz="4" w:space="0" w:color="auto"/>
              <w:right w:val="single" w:sz="8" w:space="0" w:color="auto"/>
            </w:tcBorders>
            <w:shd w:val="clear" w:color="auto" w:fill="17365D"/>
            <w:noWrap/>
            <w:vAlign w:val="bottom"/>
            <w:hideMark/>
          </w:tcPr>
          <w:p w14:paraId="54C03715" w14:textId="77777777" w:rsidR="00BC1C03" w:rsidRPr="00CA0D36" w:rsidRDefault="00BC1C03" w:rsidP="00BC1C03">
            <w:pPr>
              <w:spacing w:after="0" w:line="240" w:lineRule="auto"/>
              <w:jc w:val="center"/>
              <w:rPr>
                <w:rFonts w:eastAsia="Times New Roman"/>
                <w:b/>
                <w:bCs/>
                <w:color w:val="FFFFFF"/>
                <w:lang w:eastAsia="es-CO"/>
              </w:rPr>
            </w:pPr>
            <w:r w:rsidRPr="00CA0D36">
              <w:rPr>
                <w:rFonts w:eastAsia="Times New Roman"/>
                <w:b/>
                <w:bCs/>
                <w:color w:val="FFFFFF"/>
                <w:lang w:eastAsia="es-CO"/>
              </w:rPr>
              <w:t>Fecha</w:t>
            </w:r>
          </w:p>
        </w:tc>
      </w:tr>
      <w:tr w:rsidR="00BC1C03" w:rsidRPr="00CA0D36" w14:paraId="3DEDE371" w14:textId="77777777" w:rsidTr="00BC1C03">
        <w:trPr>
          <w:trHeight w:val="1028"/>
        </w:trPr>
        <w:tc>
          <w:tcPr>
            <w:tcW w:w="6794" w:type="dxa"/>
            <w:tcBorders>
              <w:top w:val="nil"/>
              <w:left w:val="single" w:sz="8" w:space="0" w:color="auto"/>
              <w:bottom w:val="single" w:sz="4" w:space="0" w:color="auto"/>
              <w:right w:val="single" w:sz="4" w:space="0" w:color="auto"/>
            </w:tcBorders>
            <w:shd w:val="clear" w:color="auto" w:fill="auto"/>
            <w:vAlign w:val="center"/>
            <w:hideMark/>
          </w:tcPr>
          <w:p w14:paraId="5048317C" w14:textId="77777777" w:rsidR="00BC1C03" w:rsidRPr="00CA0D36" w:rsidRDefault="00BC1C03" w:rsidP="00BC1C03">
            <w:pPr>
              <w:spacing w:after="0" w:line="240" w:lineRule="auto"/>
              <w:jc w:val="both"/>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AMPLIAR COBERTURA Y SATISFACCIÓN DEMANDA ENERGÍA EN ZNI EJECUCIÓN PROYECTO "INSTASLACIÓN SISTEMAS SOLARES FOTOVOLTAICOS PARA ELECTRIFICACIÓN VEREDAS SANTO DOMINGO EL PROGESO Y CHONTAL MUN DE SAN ANDRÉS DE TUMACO DPTO NARIÑO" VIGENTE HASTA 31/07/2018</w:t>
            </w:r>
          </w:p>
        </w:tc>
        <w:tc>
          <w:tcPr>
            <w:tcW w:w="1134" w:type="dxa"/>
            <w:tcBorders>
              <w:top w:val="nil"/>
              <w:left w:val="nil"/>
              <w:bottom w:val="single" w:sz="4" w:space="0" w:color="auto"/>
              <w:right w:val="single" w:sz="4" w:space="0" w:color="auto"/>
            </w:tcBorders>
            <w:shd w:val="clear" w:color="auto" w:fill="auto"/>
            <w:noWrap/>
            <w:vAlign w:val="center"/>
            <w:hideMark/>
          </w:tcPr>
          <w:p w14:paraId="7C9F3A62" w14:textId="77777777" w:rsidR="00BC1C03" w:rsidRPr="00CA0D36" w:rsidRDefault="00BC1C03" w:rsidP="00BC1C03">
            <w:pPr>
              <w:spacing w:after="0" w:line="240" w:lineRule="auto"/>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 xml:space="preserve"> $          401 </w:t>
            </w:r>
          </w:p>
        </w:tc>
        <w:tc>
          <w:tcPr>
            <w:tcW w:w="1560" w:type="dxa"/>
            <w:tcBorders>
              <w:top w:val="nil"/>
              <w:left w:val="nil"/>
              <w:bottom w:val="single" w:sz="4" w:space="0" w:color="auto"/>
              <w:right w:val="single" w:sz="8" w:space="0" w:color="auto"/>
            </w:tcBorders>
            <w:shd w:val="clear" w:color="auto" w:fill="auto"/>
            <w:vAlign w:val="center"/>
            <w:hideMark/>
          </w:tcPr>
          <w:p w14:paraId="038FC7BA" w14:textId="77777777" w:rsidR="00BC1C03" w:rsidRPr="00CA0D36" w:rsidRDefault="00BC1C03" w:rsidP="00BC1C03">
            <w:pPr>
              <w:spacing w:after="0" w:line="240" w:lineRule="auto"/>
              <w:jc w:val="center"/>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25 DE ABRIL DE 2018</w:t>
            </w:r>
          </w:p>
        </w:tc>
      </w:tr>
      <w:tr w:rsidR="00BC1C03" w:rsidRPr="00CA0D36" w14:paraId="2899FD10" w14:textId="77777777" w:rsidTr="00BC1C03">
        <w:trPr>
          <w:trHeight w:val="887"/>
        </w:trPr>
        <w:tc>
          <w:tcPr>
            <w:tcW w:w="6794" w:type="dxa"/>
            <w:tcBorders>
              <w:top w:val="nil"/>
              <w:left w:val="single" w:sz="8" w:space="0" w:color="auto"/>
              <w:bottom w:val="single" w:sz="4" w:space="0" w:color="auto"/>
              <w:right w:val="single" w:sz="4" w:space="0" w:color="auto"/>
            </w:tcBorders>
            <w:shd w:val="clear" w:color="auto" w:fill="auto"/>
            <w:vAlign w:val="center"/>
            <w:hideMark/>
          </w:tcPr>
          <w:p w14:paraId="6A3B3AB8" w14:textId="77777777" w:rsidR="00BC1C03" w:rsidRPr="00CA0D36" w:rsidRDefault="00BC1C03" w:rsidP="00BC1C03">
            <w:pPr>
              <w:spacing w:after="0" w:line="240" w:lineRule="auto"/>
              <w:jc w:val="both"/>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AMPLIAR COBERTURA Y SATISFACCIÓN DEMANDA ENERGÍA EN ZNI MEDIANTE EJECUCIÓN PROYECTO "INSTASLACIÓN SISTEMAS SOLARES FOTOVOLTAICOS INDIVIDUALES AISLADOS PARA EVEREDA TEHERAN MUNICIPIO DE TUMACO DPTO NARIÑO" VIGENTE HASTA 31/07/2018</w:t>
            </w:r>
          </w:p>
        </w:tc>
        <w:tc>
          <w:tcPr>
            <w:tcW w:w="1134" w:type="dxa"/>
            <w:tcBorders>
              <w:top w:val="nil"/>
              <w:left w:val="nil"/>
              <w:bottom w:val="single" w:sz="4" w:space="0" w:color="auto"/>
              <w:right w:val="single" w:sz="4" w:space="0" w:color="auto"/>
            </w:tcBorders>
            <w:shd w:val="clear" w:color="auto" w:fill="auto"/>
            <w:noWrap/>
            <w:vAlign w:val="center"/>
            <w:hideMark/>
          </w:tcPr>
          <w:p w14:paraId="7D48886C" w14:textId="77777777" w:rsidR="00BC1C03" w:rsidRPr="00CA0D36" w:rsidRDefault="00BC1C03" w:rsidP="00BC1C03">
            <w:pPr>
              <w:spacing w:after="0" w:line="240" w:lineRule="auto"/>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 xml:space="preserve"> $          385 </w:t>
            </w:r>
          </w:p>
        </w:tc>
        <w:tc>
          <w:tcPr>
            <w:tcW w:w="1560" w:type="dxa"/>
            <w:tcBorders>
              <w:top w:val="nil"/>
              <w:left w:val="nil"/>
              <w:bottom w:val="single" w:sz="4" w:space="0" w:color="auto"/>
              <w:right w:val="single" w:sz="8" w:space="0" w:color="auto"/>
            </w:tcBorders>
            <w:shd w:val="clear" w:color="auto" w:fill="auto"/>
            <w:vAlign w:val="center"/>
            <w:hideMark/>
          </w:tcPr>
          <w:p w14:paraId="62A6806F" w14:textId="77777777" w:rsidR="00BC1C03" w:rsidRPr="00CA0D36" w:rsidRDefault="00BC1C03" w:rsidP="00BC1C03">
            <w:pPr>
              <w:spacing w:after="0" w:line="240" w:lineRule="auto"/>
              <w:jc w:val="center"/>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25 DE ABRIL DE 2018</w:t>
            </w:r>
          </w:p>
        </w:tc>
      </w:tr>
      <w:tr w:rsidR="00BC1C03" w:rsidRPr="00CA0D36" w14:paraId="144A2B6B" w14:textId="77777777" w:rsidTr="00BC1C03">
        <w:trPr>
          <w:trHeight w:val="1028"/>
        </w:trPr>
        <w:tc>
          <w:tcPr>
            <w:tcW w:w="6794" w:type="dxa"/>
            <w:tcBorders>
              <w:top w:val="nil"/>
              <w:left w:val="single" w:sz="8" w:space="0" w:color="auto"/>
              <w:bottom w:val="single" w:sz="4" w:space="0" w:color="auto"/>
              <w:right w:val="single" w:sz="4" w:space="0" w:color="auto"/>
            </w:tcBorders>
            <w:shd w:val="clear" w:color="auto" w:fill="auto"/>
            <w:vAlign w:val="center"/>
            <w:hideMark/>
          </w:tcPr>
          <w:p w14:paraId="368E2761" w14:textId="77777777" w:rsidR="00BC1C03" w:rsidRPr="00CA0D36" w:rsidRDefault="00BC1C03" w:rsidP="00BC1C03">
            <w:pPr>
              <w:spacing w:after="0" w:line="240" w:lineRule="auto"/>
              <w:jc w:val="both"/>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AMPLIAR COBERTURA Y SATISFACCIÓN DEMANDA ENERGÍA EN ZNI MEDIANTE EJECUCIÓN PROYECTO "SISTEMAS SOLARES FOTOVOLTAICOS INDIVIDUALES PARA VEREDA CANDELILLA DE LA MAR MUNICIPIO TUMACO DPTO NARIÑO" DURACIÓN HASTA 31/07/2018</w:t>
            </w:r>
          </w:p>
        </w:tc>
        <w:tc>
          <w:tcPr>
            <w:tcW w:w="1134" w:type="dxa"/>
            <w:tcBorders>
              <w:top w:val="nil"/>
              <w:left w:val="nil"/>
              <w:bottom w:val="single" w:sz="4" w:space="0" w:color="auto"/>
              <w:right w:val="single" w:sz="4" w:space="0" w:color="auto"/>
            </w:tcBorders>
            <w:shd w:val="clear" w:color="auto" w:fill="auto"/>
            <w:noWrap/>
            <w:vAlign w:val="center"/>
            <w:hideMark/>
          </w:tcPr>
          <w:p w14:paraId="0689828B" w14:textId="77777777" w:rsidR="00BC1C03" w:rsidRPr="00CA0D36" w:rsidRDefault="00BC1C03" w:rsidP="00BC1C03">
            <w:pPr>
              <w:spacing w:after="0" w:line="240" w:lineRule="auto"/>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 xml:space="preserve"> $          842 </w:t>
            </w:r>
          </w:p>
        </w:tc>
        <w:tc>
          <w:tcPr>
            <w:tcW w:w="1560" w:type="dxa"/>
            <w:tcBorders>
              <w:top w:val="nil"/>
              <w:left w:val="nil"/>
              <w:bottom w:val="single" w:sz="4" w:space="0" w:color="auto"/>
              <w:right w:val="single" w:sz="8" w:space="0" w:color="auto"/>
            </w:tcBorders>
            <w:shd w:val="clear" w:color="auto" w:fill="auto"/>
            <w:vAlign w:val="center"/>
            <w:hideMark/>
          </w:tcPr>
          <w:p w14:paraId="6461BADA" w14:textId="77777777" w:rsidR="00BC1C03" w:rsidRPr="00CA0D36" w:rsidRDefault="00BC1C03" w:rsidP="00BC1C03">
            <w:pPr>
              <w:spacing w:after="0" w:line="240" w:lineRule="auto"/>
              <w:jc w:val="center"/>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25 DE ABRIL DE 2018</w:t>
            </w:r>
          </w:p>
        </w:tc>
      </w:tr>
      <w:tr w:rsidR="00BC1C03" w:rsidRPr="00CA0D36" w14:paraId="489D705C" w14:textId="77777777" w:rsidTr="00BC1C03">
        <w:trPr>
          <w:trHeight w:val="1062"/>
        </w:trPr>
        <w:tc>
          <w:tcPr>
            <w:tcW w:w="6794" w:type="dxa"/>
            <w:tcBorders>
              <w:top w:val="nil"/>
              <w:left w:val="single" w:sz="8" w:space="0" w:color="auto"/>
              <w:bottom w:val="single" w:sz="4" w:space="0" w:color="auto"/>
              <w:right w:val="single" w:sz="4" w:space="0" w:color="auto"/>
            </w:tcBorders>
            <w:shd w:val="clear" w:color="auto" w:fill="auto"/>
            <w:vAlign w:val="center"/>
            <w:hideMark/>
          </w:tcPr>
          <w:p w14:paraId="7C7062C3" w14:textId="77777777" w:rsidR="00BC1C03" w:rsidRPr="00CA0D36" w:rsidRDefault="00BC1C03" w:rsidP="00BC1C03">
            <w:pPr>
              <w:spacing w:after="0" w:line="240" w:lineRule="auto"/>
              <w:jc w:val="both"/>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AMPLIAR COBERTURA Y SATISFACCIÓN DEMANDA ENERGÍA EN ZNI MEDIANTE EJECUCIÓN PROYECTO "SISTEMAS SOLARES FOTOVOLTAICOS INDIVIDUALES PARA VEREDA CONSUELO MUNICIPIO DE CONDOTO DPTO DEL CHOCO".DURACIÓN HASTA 31/07/2018</w:t>
            </w:r>
          </w:p>
        </w:tc>
        <w:tc>
          <w:tcPr>
            <w:tcW w:w="1134" w:type="dxa"/>
            <w:tcBorders>
              <w:top w:val="nil"/>
              <w:left w:val="nil"/>
              <w:bottom w:val="single" w:sz="4" w:space="0" w:color="auto"/>
              <w:right w:val="single" w:sz="4" w:space="0" w:color="auto"/>
            </w:tcBorders>
            <w:shd w:val="clear" w:color="auto" w:fill="auto"/>
            <w:noWrap/>
            <w:vAlign w:val="center"/>
            <w:hideMark/>
          </w:tcPr>
          <w:p w14:paraId="7E89CA32" w14:textId="77777777" w:rsidR="00BC1C03" w:rsidRPr="00CA0D36" w:rsidRDefault="00BC1C03" w:rsidP="00BC1C03">
            <w:pPr>
              <w:spacing w:after="0" w:line="240" w:lineRule="auto"/>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 xml:space="preserve"> $          547 </w:t>
            </w:r>
          </w:p>
        </w:tc>
        <w:tc>
          <w:tcPr>
            <w:tcW w:w="1560" w:type="dxa"/>
            <w:tcBorders>
              <w:top w:val="nil"/>
              <w:left w:val="nil"/>
              <w:bottom w:val="single" w:sz="4" w:space="0" w:color="auto"/>
              <w:right w:val="single" w:sz="8" w:space="0" w:color="auto"/>
            </w:tcBorders>
            <w:shd w:val="clear" w:color="auto" w:fill="auto"/>
            <w:vAlign w:val="center"/>
            <w:hideMark/>
          </w:tcPr>
          <w:p w14:paraId="071EEE02" w14:textId="77777777" w:rsidR="00BC1C03" w:rsidRPr="00CA0D36" w:rsidRDefault="00BC1C03" w:rsidP="00BC1C03">
            <w:pPr>
              <w:spacing w:after="0" w:line="240" w:lineRule="auto"/>
              <w:jc w:val="center"/>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25 DE ABRIL DE 2018</w:t>
            </w:r>
          </w:p>
        </w:tc>
      </w:tr>
      <w:tr w:rsidR="00BC1C03" w:rsidRPr="00CA0D36" w14:paraId="7EEF1C5E" w14:textId="77777777" w:rsidTr="00BC1C03">
        <w:trPr>
          <w:trHeight w:val="860"/>
        </w:trPr>
        <w:tc>
          <w:tcPr>
            <w:tcW w:w="6794" w:type="dxa"/>
            <w:tcBorders>
              <w:top w:val="nil"/>
              <w:left w:val="single" w:sz="8" w:space="0" w:color="auto"/>
              <w:bottom w:val="single" w:sz="4" w:space="0" w:color="auto"/>
              <w:right w:val="single" w:sz="4" w:space="0" w:color="auto"/>
            </w:tcBorders>
            <w:shd w:val="clear" w:color="auto" w:fill="auto"/>
            <w:vAlign w:val="center"/>
            <w:hideMark/>
          </w:tcPr>
          <w:p w14:paraId="5AEC44A6" w14:textId="77777777" w:rsidR="00BC1C03" w:rsidRPr="00CA0D36" w:rsidRDefault="00BC1C03" w:rsidP="00BC1C03">
            <w:pPr>
              <w:spacing w:after="0" w:line="240" w:lineRule="auto"/>
              <w:jc w:val="both"/>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AMPLIAR LA COBERTURA Y PROCURAR LA SATISFACCIÓN DE LA DEMANDA DE ENERGÍA EN LAS ZONAS NO INTERCONECTADAS-ZNI, PROYECTO "SISTEMAS SOLARES FOTOVOLTÁICOS INDIVIDUALES PARA LA VEREDA LA PLANTA, CONDOTÓ-CHOCÓ" DURACIÓN HASTA 31/07/2018</w:t>
            </w:r>
          </w:p>
        </w:tc>
        <w:tc>
          <w:tcPr>
            <w:tcW w:w="1134" w:type="dxa"/>
            <w:tcBorders>
              <w:top w:val="nil"/>
              <w:left w:val="nil"/>
              <w:bottom w:val="single" w:sz="4" w:space="0" w:color="auto"/>
              <w:right w:val="single" w:sz="4" w:space="0" w:color="auto"/>
            </w:tcBorders>
            <w:shd w:val="clear" w:color="auto" w:fill="auto"/>
            <w:noWrap/>
            <w:vAlign w:val="center"/>
            <w:hideMark/>
          </w:tcPr>
          <w:p w14:paraId="35127C3B" w14:textId="77777777" w:rsidR="00BC1C03" w:rsidRPr="00CA0D36" w:rsidRDefault="00BC1C03" w:rsidP="00BC1C03">
            <w:pPr>
              <w:spacing w:after="0" w:line="240" w:lineRule="auto"/>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 xml:space="preserve"> $       1.086 </w:t>
            </w:r>
          </w:p>
        </w:tc>
        <w:tc>
          <w:tcPr>
            <w:tcW w:w="1560" w:type="dxa"/>
            <w:tcBorders>
              <w:top w:val="nil"/>
              <w:left w:val="nil"/>
              <w:bottom w:val="single" w:sz="4" w:space="0" w:color="auto"/>
              <w:right w:val="single" w:sz="8" w:space="0" w:color="auto"/>
            </w:tcBorders>
            <w:shd w:val="clear" w:color="auto" w:fill="auto"/>
            <w:vAlign w:val="center"/>
            <w:hideMark/>
          </w:tcPr>
          <w:p w14:paraId="2134BACD" w14:textId="77777777" w:rsidR="00BC1C03" w:rsidRPr="00CA0D36" w:rsidRDefault="00BC1C03" w:rsidP="00BC1C03">
            <w:pPr>
              <w:spacing w:after="0" w:line="240" w:lineRule="auto"/>
              <w:jc w:val="center"/>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4 DE MAYO DE 2018</w:t>
            </w:r>
          </w:p>
        </w:tc>
      </w:tr>
      <w:tr w:rsidR="00BC1C03" w:rsidRPr="00CA0D36" w14:paraId="6C93F6E5" w14:textId="77777777" w:rsidTr="00BC1C03">
        <w:trPr>
          <w:trHeight w:val="843"/>
        </w:trPr>
        <w:tc>
          <w:tcPr>
            <w:tcW w:w="6794" w:type="dxa"/>
            <w:tcBorders>
              <w:top w:val="nil"/>
              <w:left w:val="single" w:sz="8" w:space="0" w:color="auto"/>
              <w:bottom w:val="single" w:sz="4" w:space="0" w:color="auto"/>
              <w:right w:val="single" w:sz="4" w:space="0" w:color="auto"/>
            </w:tcBorders>
            <w:shd w:val="clear" w:color="auto" w:fill="auto"/>
            <w:vAlign w:val="center"/>
            <w:hideMark/>
          </w:tcPr>
          <w:p w14:paraId="36203072" w14:textId="77777777" w:rsidR="00BC1C03" w:rsidRPr="00CA0D36" w:rsidRDefault="00BC1C03" w:rsidP="00BC1C03">
            <w:pPr>
              <w:spacing w:after="0" w:line="240" w:lineRule="auto"/>
              <w:jc w:val="both"/>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ACTIVIDADES DE APOYO A LA GESTIÓN Y SEGUIMIENTO DEL PROYECTO "APOYO PARA CONSTRUCCIÓN DE PROYECTO DE INFRAESTRUCTURA ELÉCTRICA EN LAS ZONAS NO INTERCONECTADAS EN EL TERRITORIO NACIONAL"</w:t>
            </w:r>
          </w:p>
        </w:tc>
        <w:tc>
          <w:tcPr>
            <w:tcW w:w="1134" w:type="dxa"/>
            <w:tcBorders>
              <w:top w:val="nil"/>
              <w:left w:val="nil"/>
              <w:bottom w:val="single" w:sz="4" w:space="0" w:color="auto"/>
              <w:right w:val="single" w:sz="4" w:space="0" w:color="auto"/>
            </w:tcBorders>
            <w:shd w:val="clear" w:color="auto" w:fill="auto"/>
            <w:noWrap/>
            <w:vAlign w:val="center"/>
            <w:hideMark/>
          </w:tcPr>
          <w:p w14:paraId="0BEF4748" w14:textId="77777777" w:rsidR="00BC1C03" w:rsidRPr="00CA0D36" w:rsidRDefault="00BC1C03" w:rsidP="00BC1C03">
            <w:pPr>
              <w:spacing w:after="0" w:line="240" w:lineRule="auto"/>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 xml:space="preserve"> $          258 </w:t>
            </w:r>
          </w:p>
        </w:tc>
        <w:tc>
          <w:tcPr>
            <w:tcW w:w="1560" w:type="dxa"/>
            <w:tcBorders>
              <w:top w:val="nil"/>
              <w:left w:val="nil"/>
              <w:bottom w:val="single" w:sz="4" w:space="0" w:color="auto"/>
              <w:right w:val="single" w:sz="8" w:space="0" w:color="auto"/>
            </w:tcBorders>
            <w:shd w:val="clear" w:color="auto" w:fill="auto"/>
            <w:vAlign w:val="center"/>
            <w:hideMark/>
          </w:tcPr>
          <w:p w14:paraId="758E3BAB" w14:textId="77777777" w:rsidR="00BC1C03" w:rsidRPr="00CA0D36" w:rsidRDefault="00BC1C03" w:rsidP="00BC1C03">
            <w:pPr>
              <w:spacing w:after="0" w:line="240" w:lineRule="auto"/>
              <w:jc w:val="center"/>
              <w:rPr>
                <w:rFonts w:ascii="Arial" w:eastAsia="Times New Roman" w:hAnsi="Arial" w:cs="Arial"/>
                <w:color w:val="000000"/>
                <w:sz w:val="18"/>
                <w:szCs w:val="18"/>
                <w:lang w:eastAsia="es-CO"/>
              </w:rPr>
            </w:pPr>
            <w:r w:rsidRPr="00CA0D36">
              <w:rPr>
                <w:rFonts w:ascii="Arial" w:eastAsia="Times New Roman" w:hAnsi="Arial" w:cs="Arial"/>
                <w:color w:val="000000"/>
                <w:sz w:val="18"/>
                <w:szCs w:val="18"/>
                <w:lang w:eastAsia="es-CO"/>
              </w:rPr>
              <w:t>II TRIMESTRE DE 2018</w:t>
            </w:r>
          </w:p>
        </w:tc>
      </w:tr>
      <w:tr w:rsidR="00BC1C03" w:rsidRPr="00CA0D36" w14:paraId="618E87E1" w14:textId="77777777" w:rsidTr="00BC1C03">
        <w:trPr>
          <w:trHeight w:val="298"/>
        </w:trPr>
        <w:tc>
          <w:tcPr>
            <w:tcW w:w="7928" w:type="dxa"/>
            <w:gridSpan w:val="2"/>
            <w:tcBorders>
              <w:top w:val="single" w:sz="4" w:space="0" w:color="auto"/>
              <w:left w:val="single" w:sz="8" w:space="0" w:color="auto"/>
              <w:bottom w:val="single" w:sz="8" w:space="0" w:color="auto"/>
              <w:right w:val="single" w:sz="4" w:space="0" w:color="auto"/>
            </w:tcBorders>
            <w:shd w:val="clear" w:color="auto" w:fill="17365D"/>
            <w:noWrap/>
            <w:vAlign w:val="center"/>
            <w:hideMark/>
          </w:tcPr>
          <w:p w14:paraId="03739F10" w14:textId="77777777" w:rsidR="00BC1C03" w:rsidRPr="00CA0D36" w:rsidRDefault="00BC1C03" w:rsidP="00BC1C03">
            <w:pPr>
              <w:spacing w:after="0" w:line="240" w:lineRule="auto"/>
              <w:jc w:val="center"/>
              <w:rPr>
                <w:rFonts w:ascii="Arial" w:eastAsia="Times New Roman" w:hAnsi="Arial" w:cs="Arial"/>
                <w:b/>
                <w:bCs/>
                <w:color w:val="FFFFFF"/>
                <w:sz w:val="20"/>
                <w:szCs w:val="20"/>
                <w:lang w:eastAsia="es-CO"/>
              </w:rPr>
            </w:pPr>
            <w:r w:rsidRPr="00CA0D36">
              <w:rPr>
                <w:rFonts w:ascii="Arial" w:eastAsia="Times New Roman" w:hAnsi="Arial" w:cs="Arial"/>
                <w:b/>
                <w:bCs/>
                <w:color w:val="FFFFFF"/>
                <w:sz w:val="20"/>
                <w:szCs w:val="20"/>
                <w:lang w:eastAsia="es-CO"/>
              </w:rPr>
              <w:t>TOTAL</w:t>
            </w:r>
          </w:p>
        </w:tc>
        <w:tc>
          <w:tcPr>
            <w:tcW w:w="1560" w:type="dxa"/>
            <w:tcBorders>
              <w:top w:val="nil"/>
              <w:left w:val="nil"/>
              <w:bottom w:val="single" w:sz="8" w:space="0" w:color="auto"/>
              <w:right w:val="single" w:sz="8" w:space="0" w:color="auto"/>
            </w:tcBorders>
            <w:shd w:val="clear" w:color="auto" w:fill="17365D"/>
            <w:noWrap/>
            <w:vAlign w:val="center"/>
            <w:hideMark/>
          </w:tcPr>
          <w:p w14:paraId="05A9E3A3" w14:textId="15905D31" w:rsidR="00BC1C03" w:rsidRPr="00CA0D36" w:rsidRDefault="00BC1C03" w:rsidP="00BC1C03">
            <w:pPr>
              <w:spacing w:after="0" w:line="240" w:lineRule="auto"/>
              <w:rPr>
                <w:rFonts w:ascii="Arial" w:eastAsia="Times New Roman" w:hAnsi="Arial" w:cs="Arial"/>
                <w:b/>
                <w:bCs/>
                <w:color w:val="FFFFFF"/>
                <w:sz w:val="20"/>
                <w:szCs w:val="20"/>
                <w:lang w:eastAsia="es-CO"/>
              </w:rPr>
            </w:pPr>
            <w:r w:rsidRPr="00CA0D36">
              <w:rPr>
                <w:rFonts w:ascii="Arial" w:eastAsia="Times New Roman" w:hAnsi="Arial" w:cs="Arial"/>
                <w:b/>
                <w:bCs/>
                <w:color w:val="FFFFFF"/>
                <w:sz w:val="20"/>
                <w:szCs w:val="20"/>
                <w:lang w:eastAsia="es-CO"/>
              </w:rPr>
              <w:t xml:space="preserve"> $           3.519 </w:t>
            </w:r>
          </w:p>
        </w:tc>
      </w:tr>
    </w:tbl>
    <w:p w14:paraId="3F755F46" w14:textId="77777777" w:rsidR="00BC1C03" w:rsidRPr="00C20FD6" w:rsidRDefault="00BC1C03" w:rsidP="00BC1C03">
      <w:pPr>
        <w:spacing w:after="0" w:line="240" w:lineRule="auto"/>
        <w:jc w:val="center"/>
        <w:rPr>
          <w:rFonts w:ascii="Arial" w:eastAsia="Times New Roman" w:hAnsi="Arial" w:cs="Arial"/>
          <w:noProof/>
          <w:color w:val="002060"/>
          <w:sz w:val="18"/>
          <w:szCs w:val="18"/>
          <w:lang w:eastAsia="es-CO"/>
        </w:rPr>
      </w:pPr>
      <w:r w:rsidRPr="00C20FD6">
        <w:rPr>
          <w:rFonts w:ascii="Arial" w:eastAsia="Times New Roman" w:hAnsi="Arial" w:cs="Arial"/>
          <w:noProof/>
          <w:sz w:val="18"/>
          <w:szCs w:val="18"/>
          <w:lang w:eastAsia="es-CO"/>
        </w:rPr>
        <w:t>Cifras en millones de pesos</w:t>
      </w:r>
    </w:p>
    <w:p w14:paraId="14D4DA6C" w14:textId="77777777" w:rsidR="00BC1C03" w:rsidRPr="00C20FD6" w:rsidRDefault="00BC1C03" w:rsidP="00BC1C03">
      <w:pPr>
        <w:spacing w:after="0" w:line="240" w:lineRule="auto"/>
        <w:jc w:val="center"/>
        <w:rPr>
          <w:rFonts w:ascii="Arial" w:eastAsia="Calibri" w:hAnsi="Arial" w:cs="Arial"/>
        </w:rPr>
      </w:pPr>
      <w:r w:rsidRPr="00C20FD6">
        <w:rPr>
          <w:rFonts w:ascii="Arial" w:eastAsia="Calibri" w:hAnsi="Arial" w:cs="Arial"/>
          <w:sz w:val="16"/>
          <w:szCs w:val="16"/>
        </w:rPr>
        <w:t>Fuente: SIIF Nación</w:t>
      </w:r>
    </w:p>
    <w:p w14:paraId="55B1DC13" w14:textId="77777777" w:rsidR="00BC1C03" w:rsidRDefault="00BC1C03" w:rsidP="00C02282">
      <w:pPr>
        <w:pStyle w:val="Prrafodelista"/>
        <w:spacing w:after="0" w:line="240" w:lineRule="auto"/>
        <w:ind w:left="360"/>
        <w:jc w:val="center"/>
        <w:rPr>
          <w:rFonts w:cs="Arial"/>
          <w:sz w:val="16"/>
          <w:szCs w:val="16"/>
          <w:highlight w:val="yellow"/>
          <w:lang w:eastAsia="es-ES"/>
        </w:rPr>
      </w:pPr>
    </w:p>
    <w:p w14:paraId="75803DE3" w14:textId="77777777" w:rsidR="00C02282" w:rsidRPr="006A67B4" w:rsidRDefault="00C02282" w:rsidP="00C02282">
      <w:pPr>
        <w:spacing w:after="0" w:line="240" w:lineRule="auto"/>
        <w:ind w:left="7080" w:firstLine="708"/>
        <w:jc w:val="center"/>
        <w:rPr>
          <w:rFonts w:ascii="Arial" w:eastAsia="Arial" w:hAnsi="Arial" w:cs="Arial"/>
          <w:b/>
          <w:sz w:val="20"/>
          <w:szCs w:val="16"/>
          <w:highlight w:val="yellow"/>
        </w:rPr>
      </w:pPr>
    </w:p>
    <w:p w14:paraId="364DF2C5" w14:textId="77777777" w:rsidR="00BC1C03" w:rsidRPr="00920515" w:rsidRDefault="00BC1C03" w:rsidP="008B4625">
      <w:pPr>
        <w:numPr>
          <w:ilvl w:val="0"/>
          <w:numId w:val="29"/>
        </w:numPr>
        <w:spacing w:after="0" w:line="240" w:lineRule="auto"/>
        <w:ind w:left="426"/>
        <w:jc w:val="both"/>
        <w:rPr>
          <w:rFonts w:ascii="Arial" w:eastAsia="Times New Roman" w:hAnsi="Arial" w:cs="Arial"/>
          <w:b/>
          <w:szCs w:val="16"/>
          <w:lang w:val="es-ES" w:eastAsia="es-ES"/>
        </w:rPr>
      </w:pPr>
      <w:r w:rsidRPr="00920515">
        <w:rPr>
          <w:rFonts w:ascii="Arial" w:eastAsia="Times New Roman" w:hAnsi="Arial" w:cs="Arial"/>
          <w:b/>
          <w:szCs w:val="16"/>
          <w:lang w:val="es-ES" w:eastAsia="es-ES"/>
        </w:rPr>
        <w:t xml:space="preserve">Apoyo Electrificación Rural en Zonas Interconectadas en el Territorio Nacional: </w:t>
      </w:r>
    </w:p>
    <w:p w14:paraId="676738B2" w14:textId="77777777" w:rsidR="00BC1C03" w:rsidRPr="00920515" w:rsidRDefault="00BC1C03" w:rsidP="00BC1C03">
      <w:pPr>
        <w:spacing w:after="0" w:line="240" w:lineRule="auto"/>
        <w:jc w:val="both"/>
        <w:rPr>
          <w:rFonts w:ascii="Arial" w:eastAsia="Times New Roman" w:hAnsi="Arial" w:cs="Arial"/>
          <w:b/>
          <w:szCs w:val="16"/>
          <w:lang w:val="es-ES" w:eastAsia="es-ES"/>
        </w:rPr>
      </w:pPr>
    </w:p>
    <w:p w14:paraId="7DF6E94A" w14:textId="77777777" w:rsidR="00BC1C03" w:rsidRPr="00920515" w:rsidRDefault="00BC1C03" w:rsidP="00BC1C03">
      <w:pPr>
        <w:spacing w:after="0" w:line="240" w:lineRule="auto"/>
        <w:jc w:val="both"/>
        <w:rPr>
          <w:rFonts w:ascii="Arial" w:eastAsia="Times New Roman" w:hAnsi="Arial" w:cs="Arial"/>
          <w:szCs w:val="16"/>
          <w:lang w:val="es-ES" w:eastAsia="es-ES"/>
        </w:rPr>
      </w:pPr>
      <w:r w:rsidRPr="00920515">
        <w:rPr>
          <w:rFonts w:ascii="Arial" w:eastAsia="Times New Roman" w:hAnsi="Arial" w:cs="Arial"/>
          <w:szCs w:val="16"/>
          <w:lang w:val="es-ES" w:eastAsia="es-ES"/>
        </w:rPr>
        <w:t xml:space="preserve">Este proyecto cuenta con una apropiación para la vigencia 2018 de $146.250 millones de pesos, de los cuales se </w:t>
      </w:r>
      <w:r>
        <w:rPr>
          <w:rFonts w:ascii="Arial" w:eastAsia="Times New Roman" w:hAnsi="Arial" w:cs="Arial"/>
          <w:szCs w:val="16"/>
          <w:lang w:val="es-ES" w:eastAsia="es-ES"/>
        </w:rPr>
        <w:t xml:space="preserve">han </w:t>
      </w:r>
      <w:r w:rsidRPr="00920515">
        <w:rPr>
          <w:rFonts w:ascii="Arial" w:eastAsia="Times New Roman" w:hAnsi="Arial" w:cs="Arial"/>
          <w:szCs w:val="16"/>
          <w:lang w:val="es-ES" w:eastAsia="es-ES"/>
        </w:rPr>
        <w:t>comprometi</w:t>
      </w:r>
      <w:r>
        <w:rPr>
          <w:rFonts w:ascii="Arial" w:eastAsia="Times New Roman" w:hAnsi="Arial" w:cs="Arial"/>
          <w:szCs w:val="16"/>
          <w:lang w:val="es-ES" w:eastAsia="es-ES"/>
        </w:rPr>
        <w:t>do</w:t>
      </w:r>
      <w:r w:rsidRPr="00920515">
        <w:rPr>
          <w:rFonts w:ascii="Arial" w:eastAsia="Times New Roman" w:hAnsi="Arial" w:cs="Arial"/>
          <w:szCs w:val="16"/>
          <w:lang w:val="es-ES" w:eastAsia="es-ES"/>
        </w:rPr>
        <w:t xml:space="preserve"> $144.7</w:t>
      </w:r>
      <w:r>
        <w:rPr>
          <w:rFonts w:ascii="Arial" w:eastAsia="Times New Roman" w:hAnsi="Arial" w:cs="Arial"/>
          <w:szCs w:val="16"/>
          <w:lang w:val="es-ES" w:eastAsia="es-ES"/>
        </w:rPr>
        <w:t>22</w:t>
      </w:r>
      <w:r w:rsidRPr="00920515">
        <w:rPr>
          <w:rFonts w:ascii="Arial" w:eastAsia="Times New Roman" w:hAnsi="Arial" w:cs="Arial"/>
          <w:szCs w:val="16"/>
          <w:lang w:val="es-ES" w:eastAsia="es-ES"/>
        </w:rPr>
        <w:t xml:space="preserve"> millones de pesos, equivalentes a un 98,95% de ejecución en compromisos. En cuanto a las obligaciones, se ejecutaron </w:t>
      </w:r>
      <w:r>
        <w:rPr>
          <w:rFonts w:ascii="Arial" w:eastAsia="Times New Roman" w:hAnsi="Arial" w:cs="Arial"/>
          <w:szCs w:val="16"/>
          <w:lang w:val="es-ES" w:eastAsia="es-ES"/>
        </w:rPr>
        <w:t xml:space="preserve">el mes </w:t>
      </w:r>
      <w:r w:rsidRPr="00920515">
        <w:rPr>
          <w:rFonts w:ascii="Arial" w:eastAsia="Times New Roman" w:hAnsi="Arial" w:cs="Arial"/>
          <w:szCs w:val="16"/>
          <w:lang w:val="es-ES" w:eastAsia="es-ES"/>
        </w:rPr>
        <w:t>recursos por $</w:t>
      </w:r>
      <w:r>
        <w:rPr>
          <w:rFonts w:ascii="Arial" w:eastAsia="Times New Roman" w:hAnsi="Arial" w:cs="Arial"/>
          <w:szCs w:val="16"/>
          <w:lang w:val="es-ES" w:eastAsia="es-ES"/>
        </w:rPr>
        <w:t>15.914</w:t>
      </w:r>
      <w:r w:rsidRPr="00920515">
        <w:rPr>
          <w:rFonts w:ascii="Arial" w:eastAsia="Times New Roman" w:hAnsi="Arial" w:cs="Arial"/>
          <w:szCs w:val="16"/>
          <w:lang w:val="es-ES" w:eastAsia="es-ES"/>
        </w:rPr>
        <w:t xml:space="preserve"> millones de pesos,</w:t>
      </w:r>
      <w:r>
        <w:rPr>
          <w:rFonts w:ascii="Arial" w:eastAsia="Times New Roman" w:hAnsi="Arial" w:cs="Arial"/>
          <w:szCs w:val="16"/>
          <w:lang w:val="es-ES" w:eastAsia="es-ES"/>
        </w:rPr>
        <w:t xml:space="preserve"> obligando un total de $19.041 millones de pesos </w:t>
      </w:r>
      <w:r w:rsidRPr="00920515">
        <w:rPr>
          <w:rFonts w:ascii="Arial" w:eastAsia="Times New Roman" w:hAnsi="Arial" w:cs="Arial"/>
          <w:szCs w:val="16"/>
          <w:lang w:val="es-ES" w:eastAsia="es-ES"/>
        </w:rPr>
        <w:t xml:space="preserve">equivalente a </w:t>
      </w:r>
      <w:r>
        <w:rPr>
          <w:rFonts w:ascii="Arial" w:eastAsia="Times New Roman" w:hAnsi="Arial" w:cs="Arial"/>
          <w:szCs w:val="16"/>
          <w:lang w:val="es-ES" w:eastAsia="es-ES"/>
        </w:rPr>
        <w:t>un 13,02%</w:t>
      </w:r>
      <w:r w:rsidRPr="00920515">
        <w:rPr>
          <w:rFonts w:ascii="Arial" w:eastAsia="Times New Roman" w:hAnsi="Arial" w:cs="Arial"/>
          <w:szCs w:val="16"/>
          <w:lang w:val="es-ES" w:eastAsia="es-ES"/>
        </w:rPr>
        <w:t>.</w:t>
      </w:r>
    </w:p>
    <w:p w14:paraId="638F18E4" w14:textId="77777777" w:rsidR="00C02282" w:rsidRDefault="00C02282" w:rsidP="00C02282">
      <w:pPr>
        <w:jc w:val="both"/>
        <w:rPr>
          <w:rFonts w:ascii="Arial" w:eastAsia="Calibri" w:hAnsi="Arial" w:cs="Arial"/>
          <w:sz w:val="16"/>
          <w:szCs w:val="16"/>
          <w:highlight w:val="yellow"/>
        </w:rPr>
      </w:pPr>
    </w:p>
    <w:p w14:paraId="5E53D792" w14:textId="77777777" w:rsidR="00BC1C03" w:rsidRDefault="00BC1C03" w:rsidP="00C02282">
      <w:pPr>
        <w:jc w:val="both"/>
        <w:rPr>
          <w:rFonts w:ascii="Arial" w:eastAsia="Calibri" w:hAnsi="Arial" w:cs="Arial"/>
          <w:sz w:val="16"/>
          <w:szCs w:val="16"/>
          <w:highlight w:val="yellow"/>
        </w:rPr>
      </w:pPr>
    </w:p>
    <w:p w14:paraId="0460B9EB" w14:textId="77777777" w:rsidR="00BC1C03" w:rsidRPr="006A67B4" w:rsidRDefault="00BC1C03" w:rsidP="00C02282">
      <w:pPr>
        <w:jc w:val="both"/>
        <w:rPr>
          <w:rFonts w:ascii="Arial" w:eastAsia="Calibri" w:hAnsi="Arial" w:cs="Arial"/>
          <w:sz w:val="16"/>
          <w:szCs w:val="16"/>
          <w:highlight w:val="yellow"/>
        </w:rPr>
      </w:pPr>
    </w:p>
    <w:p w14:paraId="03BAE030" w14:textId="77777777" w:rsidR="00C02282" w:rsidRPr="006A67B4" w:rsidRDefault="00C02282" w:rsidP="00C02282">
      <w:pPr>
        <w:spacing w:after="0" w:line="240" w:lineRule="auto"/>
        <w:ind w:left="7080" w:firstLine="708"/>
        <w:jc w:val="center"/>
        <w:rPr>
          <w:rFonts w:ascii="Arial" w:eastAsia="Calibri" w:hAnsi="Arial" w:cs="Arial"/>
          <w:highlight w:val="yellow"/>
        </w:rPr>
      </w:pPr>
    </w:p>
    <w:p w14:paraId="64BE01A7" w14:textId="6626D094" w:rsidR="008B5E15" w:rsidRPr="008B5E15" w:rsidRDefault="00C02282" w:rsidP="008B5E15">
      <w:pPr>
        <w:pStyle w:val="Descripcin"/>
        <w:keepNext/>
      </w:pPr>
      <w:bookmarkStart w:id="49" w:name="_Toc525652470"/>
      <w:r w:rsidRPr="00BC1C03">
        <w:lastRenderedPageBreak/>
        <w:t xml:space="preserve">Tabla </w:t>
      </w:r>
      <w:r w:rsidRPr="00BC1C03">
        <w:fldChar w:fldCharType="begin"/>
      </w:r>
      <w:r w:rsidRPr="00BC1C03">
        <w:instrText xml:space="preserve"> SEQ Tabla \* ARABIC </w:instrText>
      </w:r>
      <w:r w:rsidRPr="00BC1C03">
        <w:fldChar w:fldCharType="separate"/>
      </w:r>
      <w:r w:rsidR="008B4625">
        <w:rPr>
          <w:noProof/>
        </w:rPr>
        <w:t>24</w:t>
      </w:r>
      <w:r w:rsidRPr="00BC1C03">
        <w:fldChar w:fldCharType="end"/>
      </w:r>
      <w:r w:rsidRPr="00BC1C03">
        <w:t xml:space="preserve"> </w:t>
      </w:r>
      <w:r w:rsidR="00BC1C03" w:rsidRPr="00BC1C03">
        <w:t xml:space="preserve">Segundo </w:t>
      </w:r>
      <w:r w:rsidRPr="00BC1C03">
        <w:t>Trimestre FAER / Compromisos MME</w:t>
      </w:r>
      <w:bookmarkEnd w:id="49"/>
      <w:r w:rsidR="00BC1C03">
        <w:fldChar w:fldCharType="begin"/>
      </w:r>
      <w:r w:rsidR="00BC1C03">
        <w:instrText xml:space="preserve"> LINK </w:instrText>
      </w:r>
      <w:r w:rsidR="008B5E15">
        <w:instrText xml:space="preserve">Excel.Sheet.12 "\\\\serv-mme-files\\C0\\Oficina_Plan_Ges_Internacional\\2 GRUPO DE PLANEACIÓN Y PROGRAMACIÓN\\14.77 Presupuesto\\Informes 2018\\INFORMES DE GESTIÓN 2018\\II trimestre\\Giros 2do trimestre 2018 (Autoguardado).xlsx" FAER!F1C1:F15C4 </w:instrText>
      </w:r>
      <w:r w:rsidR="00BC1C03">
        <w:instrText xml:space="preserve">\a \f 4 \h  \* MERGEFORMAT </w:instrText>
      </w:r>
      <w:r w:rsidR="008B5E15">
        <w:fldChar w:fldCharType="separate"/>
      </w:r>
    </w:p>
    <w:tbl>
      <w:tblPr>
        <w:tblW w:w="9620" w:type="dxa"/>
        <w:tblCellMar>
          <w:left w:w="70" w:type="dxa"/>
          <w:right w:w="70" w:type="dxa"/>
        </w:tblCellMar>
        <w:tblLook w:val="04A0" w:firstRow="1" w:lastRow="0" w:firstColumn="1" w:lastColumn="0" w:noHBand="0" w:noVBand="1"/>
      </w:tblPr>
      <w:tblGrid>
        <w:gridCol w:w="8070"/>
        <w:gridCol w:w="1550"/>
      </w:tblGrid>
      <w:tr w:rsidR="008B5E15" w:rsidRPr="008B5E15" w14:paraId="3F374336" w14:textId="77777777" w:rsidTr="008B5E15">
        <w:trPr>
          <w:divId w:val="753553218"/>
          <w:trHeight w:val="315"/>
        </w:trPr>
        <w:tc>
          <w:tcPr>
            <w:tcW w:w="9620" w:type="dxa"/>
            <w:gridSpan w:val="2"/>
            <w:tcBorders>
              <w:top w:val="single" w:sz="8" w:space="0" w:color="auto"/>
              <w:left w:val="single" w:sz="8" w:space="0" w:color="auto"/>
              <w:bottom w:val="single" w:sz="8" w:space="0" w:color="auto"/>
              <w:right w:val="nil"/>
            </w:tcBorders>
            <w:shd w:val="clear" w:color="auto" w:fill="17365D"/>
            <w:noWrap/>
            <w:vAlign w:val="bottom"/>
            <w:hideMark/>
          </w:tcPr>
          <w:p w14:paraId="27067EB2" w14:textId="6EA901FC" w:rsidR="008B5E15" w:rsidRPr="008B5E15" w:rsidRDefault="008B5E15" w:rsidP="008B5E15">
            <w:pPr>
              <w:spacing w:after="0" w:line="240" w:lineRule="auto"/>
              <w:jc w:val="center"/>
              <w:rPr>
                <w:rFonts w:ascii="Arial" w:eastAsia="Times New Roman" w:hAnsi="Arial" w:cs="Arial"/>
                <w:b/>
                <w:bCs/>
                <w:color w:val="FFFFFF"/>
                <w:sz w:val="20"/>
                <w:szCs w:val="20"/>
                <w:lang w:eastAsia="es-CO"/>
              </w:rPr>
            </w:pPr>
            <w:r w:rsidRPr="008B5E15">
              <w:rPr>
                <w:rFonts w:ascii="Arial" w:eastAsia="Times New Roman" w:hAnsi="Arial" w:cs="Arial"/>
                <w:b/>
                <w:bCs/>
                <w:color w:val="FFFFFF"/>
                <w:sz w:val="20"/>
                <w:szCs w:val="20"/>
                <w:lang w:eastAsia="es-CO"/>
              </w:rPr>
              <w:t>FAER  - COMPROMISOS</w:t>
            </w:r>
          </w:p>
        </w:tc>
      </w:tr>
      <w:tr w:rsidR="008B5E15" w:rsidRPr="008B5E15" w14:paraId="4762A8FA" w14:textId="77777777" w:rsidTr="008B5E15">
        <w:trPr>
          <w:divId w:val="753553218"/>
          <w:trHeight w:val="315"/>
        </w:trPr>
        <w:tc>
          <w:tcPr>
            <w:tcW w:w="8070" w:type="dxa"/>
            <w:tcBorders>
              <w:top w:val="single" w:sz="8" w:space="0" w:color="auto"/>
              <w:left w:val="single" w:sz="8" w:space="0" w:color="auto"/>
              <w:bottom w:val="single" w:sz="8" w:space="0" w:color="auto"/>
              <w:right w:val="single" w:sz="4" w:space="0" w:color="auto"/>
            </w:tcBorders>
            <w:shd w:val="clear" w:color="auto" w:fill="17365D"/>
            <w:noWrap/>
            <w:vAlign w:val="bottom"/>
            <w:hideMark/>
          </w:tcPr>
          <w:p w14:paraId="461A5292" w14:textId="77777777" w:rsidR="008B5E15" w:rsidRPr="008B5E15" w:rsidRDefault="008B5E15" w:rsidP="008B5E15">
            <w:pPr>
              <w:spacing w:after="0" w:line="240" w:lineRule="auto"/>
              <w:jc w:val="center"/>
              <w:rPr>
                <w:rFonts w:eastAsia="Times New Roman"/>
                <w:b/>
                <w:bCs/>
                <w:color w:val="FFFFFF"/>
                <w:lang w:eastAsia="es-CO"/>
              </w:rPr>
            </w:pPr>
            <w:r w:rsidRPr="008B5E15">
              <w:rPr>
                <w:rFonts w:eastAsia="Times New Roman"/>
                <w:b/>
                <w:bCs/>
                <w:color w:val="FFFFFF"/>
                <w:lang w:eastAsia="es-CO"/>
              </w:rPr>
              <w:t>Objeto</w:t>
            </w:r>
          </w:p>
        </w:tc>
        <w:tc>
          <w:tcPr>
            <w:tcW w:w="1550" w:type="dxa"/>
            <w:tcBorders>
              <w:top w:val="nil"/>
              <w:left w:val="nil"/>
              <w:bottom w:val="single" w:sz="8" w:space="0" w:color="auto"/>
              <w:right w:val="single" w:sz="8" w:space="0" w:color="auto"/>
            </w:tcBorders>
            <w:shd w:val="clear" w:color="auto" w:fill="17365D"/>
            <w:noWrap/>
            <w:vAlign w:val="bottom"/>
            <w:hideMark/>
          </w:tcPr>
          <w:p w14:paraId="7ADE90B7" w14:textId="77777777" w:rsidR="008B5E15" w:rsidRPr="008B5E15" w:rsidRDefault="008B5E15" w:rsidP="008B5E15">
            <w:pPr>
              <w:spacing w:after="0" w:line="240" w:lineRule="auto"/>
              <w:jc w:val="center"/>
              <w:rPr>
                <w:rFonts w:ascii="Arial" w:eastAsia="Times New Roman" w:hAnsi="Arial" w:cs="Arial"/>
                <w:b/>
                <w:bCs/>
                <w:color w:val="FFFFFF"/>
                <w:sz w:val="20"/>
                <w:szCs w:val="20"/>
                <w:lang w:eastAsia="es-CO"/>
              </w:rPr>
            </w:pPr>
            <w:r w:rsidRPr="008B5E15">
              <w:rPr>
                <w:rFonts w:ascii="Arial" w:eastAsia="Times New Roman" w:hAnsi="Arial" w:cs="Arial"/>
                <w:b/>
                <w:bCs/>
                <w:color w:val="FFFFFF"/>
                <w:sz w:val="20"/>
                <w:szCs w:val="20"/>
                <w:lang w:eastAsia="es-CO"/>
              </w:rPr>
              <w:t>Valor</w:t>
            </w:r>
          </w:p>
        </w:tc>
      </w:tr>
      <w:tr w:rsidR="008B5E15" w:rsidRPr="008B5E15" w14:paraId="335A3DB1" w14:textId="77777777" w:rsidTr="008B5E15">
        <w:trPr>
          <w:divId w:val="753553218"/>
          <w:trHeight w:val="393"/>
        </w:trPr>
        <w:tc>
          <w:tcPr>
            <w:tcW w:w="807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F95943" w14:textId="77777777" w:rsidR="008B5E15" w:rsidRPr="008B5E15" w:rsidRDefault="008B5E15" w:rsidP="008B5E15">
            <w:pPr>
              <w:spacing w:after="0" w:line="240" w:lineRule="auto"/>
              <w:jc w:val="both"/>
              <w:rPr>
                <w:rFonts w:ascii="Arial" w:eastAsia="Times New Roman" w:hAnsi="Arial" w:cs="Arial"/>
                <w:color w:val="000000"/>
                <w:sz w:val="18"/>
                <w:szCs w:val="18"/>
                <w:lang w:eastAsia="es-CO"/>
              </w:rPr>
            </w:pPr>
            <w:r w:rsidRPr="008B5E15">
              <w:rPr>
                <w:rFonts w:ascii="Arial" w:eastAsia="Times New Roman" w:hAnsi="Arial" w:cs="Arial"/>
                <w:color w:val="000000"/>
                <w:sz w:val="18"/>
                <w:szCs w:val="18"/>
                <w:lang w:eastAsia="es-CO"/>
              </w:rPr>
              <w:t>APOYAR ACTIVIDADES DE APOYO Y SEGUIMIENTO A LA GESTIÓN DEL PROYECTO "APOYO ELECTRIFICACIÓN RURAL EN ZONAS INTERCONECTADAS EN EL TERRITORIO NACIONAL"</w:t>
            </w:r>
          </w:p>
        </w:tc>
        <w:tc>
          <w:tcPr>
            <w:tcW w:w="1550" w:type="dxa"/>
            <w:tcBorders>
              <w:top w:val="single" w:sz="4" w:space="0" w:color="auto"/>
              <w:left w:val="nil"/>
              <w:bottom w:val="single" w:sz="4" w:space="0" w:color="auto"/>
              <w:right w:val="single" w:sz="8" w:space="0" w:color="auto"/>
            </w:tcBorders>
            <w:shd w:val="clear" w:color="auto" w:fill="auto"/>
            <w:noWrap/>
            <w:vAlign w:val="center"/>
            <w:hideMark/>
          </w:tcPr>
          <w:p w14:paraId="2EE21C08" w14:textId="77777777" w:rsidR="008B5E15" w:rsidRPr="008B5E15" w:rsidRDefault="008B5E15" w:rsidP="008B5E15">
            <w:pPr>
              <w:spacing w:after="0" w:line="240" w:lineRule="auto"/>
              <w:rPr>
                <w:rFonts w:ascii="Arial" w:eastAsia="Times New Roman" w:hAnsi="Arial" w:cs="Arial"/>
                <w:color w:val="000000"/>
                <w:sz w:val="18"/>
                <w:szCs w:val="18"/>
                <w:lang w:eastAsia="es-CO"/>
              </w:rPr>
            </w:pPr>
            <w:r w:rsidRPr="008B5E15">
              <w:rPr>
                <w:rFonts w:ascii="Arial" w:eastAsia="Times New Roman" w:hAnsi="Arial" w:cs="Arial"/>
                <w:color w:val="000000"/>
                <w:sz w:val="18"/>
                <w:szCs w:val="18"/>
                <w:lang w:eastAsia="es-CO"/>
              </w:rPr>
              <w:t xml:space="preserve"> $                             13 </w:t>
            </w:r>
          </w:p>
        </w:tc>
      </w:tr>
      <w:tr w:rsidR="008B5E15" w:rsidRPr="008B5E15" w14:paraId="665F3CB6" w14:textId="77777777" w:rsidTr="008B5E15">
        <w:trPr>
          <w:divId w:val="753553218"/>
          <w:trHeight w:val="330"/>
        </w:trPr>
        <w:tc>
          <w:tcPr>
            <w:tcW w:w="8070" w:type="dxa"/>
            <w:tcBorders>
              <w:top w:val="nil"/>
              <w:left w:val="single" w:sz="8" w:space="0" w:color="auto"/>
              <w:bottom w:val="single" w:sz="8" w:space="0" w:color="auto"/>
              <w:right w:val="nil"/>
            </w:tcBorders>
            <w:shd w:val="clear" w:color="auto" w:fill="17365D"/>
            <w:noWrap/>
            <w:vAlign w:val="bottom"/>
            <w:hideMark/>
          </w:tcPr>
          <w:p w14:paraId="27FD8086" w14:textId="77777777" w:rsidR="008B5E15" w:rsidRPr="008B5E15" w:rsidRDefault="008B5E15" w:rsidP="008B5E15">
            <w:pPr>
              <w:spacing w:after="0" w:line="240" w:lineRule="auto"/>
              <w:jc w:val="center"/>
              <w:rPr>
                <w:rFonts w:eastAsia="Times New Roman"/>
                <w:b/>
                <w:bCs/>
                <w:color w:val="FFFFFF"/>
                <w:sz w:val="20"/>
                <w:szCs w:val="20"/>
                <w:lang w:eastAsia="es-CO"/>
              </w:rPr>
            </w:pPr>
            <w:r w:rsidRPr="008B5E15">
              <w:rPr>
                <w:rFonts w:eastAsia="Times New Roman"/>
                <w:b/>
                <w:bCs/>
                <w:color w:val="FFFFFF"/>
                <w:sz w:val="20"/>
                <w:szCs w:val="20"/>
                <w:lang w:eastAsia="es-CO"/>
              </w:rPr>
              <w:t>TOTAL</w:t>
            </w:r>
          </w:p>
        </w:tc>
        <w:tc>
          <w:tcPr>
            <w:tcW w:w="1550" w:type="dxa"/>
            <w:tcBorders>
              <w:top w:val="nil"/>
              <w:left w:val="single" w:sz="4" w:space="0" w:color="auto"/>
              <w:bottom w:val="single" w:sz="8" w:space="0" w:color="auto"/>
              <w:right w:val="single" w:sz="8" w:space="0" w:color="auto"/>
            </w:tcBorders>
            <w:shd w:val="clear" w:color="auto" w:fill="17365D"/>
            <w:noWrap/>
            <w:vAlign w:val="bottom"/>
            <w:hideMark/>
          </w:tcPr>
          <w:p w14:paraId="43386A9F" w14:textId="77777777" w:rsidR="008B5E15" w:rsidRPr="008B5E15" w:rsidRDefault="008B5E15" w:rsidP="008B5E15">
            <w:pPr>
              <w:spacing w:after="0" w:line="240" w:lineRule="auto"/>
              <w:rPr>
                <w:rFonts w:eastAsia="Times New Roman"/>
                <w:b/>
                <w:bCs/>
                <w:color w:val="FFFFFF"/>
                <w:sz w:val="20"/>
                <w:szCs w:val="20"/>
                <w:lang w:eastAsia="es-CO"/>
              </w:rPr>
            </w:pPr>
            <w:r w:rsidRPr="008B5E15">
              <w:rPr>
                <w:rFonts w:eastAsia="Times New Roman"/>
                <w:b/>
                <w:bCs/>
                <w:color w:val="FFFFFF"/>
                <w:sz w:val="20"/>
                <w:szCs w:val="20"/>
                <w:lang w:eastAsia="es-CO"/>
              </w:rPr>
              <w:t xml:space="preserve"> $                             13 </w:t>
            </w:r>
          </w:p>
        </w:tc>
      </w:tr>
    </w:tbl>
    <w:p w14:paraId="7EDBB4D8" w14:textId="0171D6D0" w:rsidR="00BC1C03" w:rsidRPr="00C20FD6" w:rsidRDefault="00BC1C03" w:rsidP="00BC1C03">
      <w:pPr>
        <w:pStyle w:val="Prrafodelista"/>
        <w:spacing w:after="0" w:line="240" w:lineRule="auto"/>
        <w:ind w:left="360"/>
        <w:jc w:val="center"/>
        <w:rPr>
          <w:rFonts w:eastAsia="Times New Roman" w:cs="Arial"/>
          <w:noProof/>
          <w:color w:val="002060"/>
          <w:sz w:val="18"/>
          <w:szCs w:val="18"/>
          <w:lang w:eastAsia="es-CO"/>
        </w:rPr>
      </w:pPr>
      <w:r>
        <w:rPr>
          <w:rFonts w:cs="Arial"/>
          <w:b/>
          <w:sz w:val="20"/>
          <w:szCs w:val="16"/>
        </w:rPr>
        <w:fldChar w:fldCharType="end"/>
      </w:r>
      <w:r w:rsidRPr="00C20FD6">
        <w:rPr>
          <w:rFonts w:eastAsia="Times New Roman" w:cs="Arial"/>
          <w:noProof/>
          <w:sz w:val="18"/>
          <w:szCs w:val="18"/>
          <w:lang w:eastAsia="es-CO"/>
        </w:rPr>
        <w:t>Cifras en millones de pesos</w:t>
      </w:r>
    </w:p>
    <w:p w14:paraId="4DB5C78A" w14:textId="77777777" w:rsidR="00BC1C03" w:rsidRPr="00C20FD6" w:rsidRDefault="00BC1C03" w:rsidP="00BC1C03">
      <w:pPr>
        <w:spacing w:after="0" w:line="240" w:lineRule="auto"/>
        <w:jc w:val="center"/>
        <w:rPr>
          <w:rFonts w:ascii="Arial" w:eastAsia="Calibri" w:hAnsi="Arial" w:cs="Arial"/>
        </w:rPr>
      </w:pPr>
      <w:r w:rsidRPr="00C20FD6">
        <w:rPr>
          <w:rFonts w:ascii="Arial" w:eastAsia="Calibri" w:hAnsi="Arial" w:cs="Arial"/>
          <w:sz w:val="16"/>
          <w:szCs w:val="16"/>
        </w:rPr>
        <w:t>Fuente: SIIF Nación</w:t>
      </w:r>
    </w:p>
    <w:p w14:paraId="4D143A69" w14:textId="77777777" w:rsidR="00C02282" w:rsidRPr="00BC1C03" w:rsidRDefault="00C02282" w:rsidP="00C02282">
      <w:pPr>
        <w:spacing w:after="0" w:line="240" w:lineRule="auto"/>
        <w:ind w:left="7080" w:firstLine="708"/>
        <w:jc w:val="center"/>
        <w:rPr>
          <w:rFonts w:ascii="Arial" w:eastAsia="Calibri" w:hAnsi="Arial" w:cs="Arial"/>
        </w:rPr>
      </w:pPr>
    </w:p>
    <w:p w14:paraId="1C11BF10" w14:textId="0F018A92" w:rsidR="00C02282" w:rsidRPr="00BC1C03" w:rsidRDefault="00C02282" w:rsidP="00C02282">
      <w:pPr>
        <w:pStyle w:val="Descripcin"/>
        <w:keepNext/>
        <w:jc w:val="center"/>
      </w:pPr>
      <w:bookmarkStart w:id="50" w:name="_Toc525652471"/>
      <w:r w:rsidRPr="00BC1C03">
        <w:t xml:space="preserve">Tabla </w:t>
      </w:r>
      <w:r w:rsidRPr="00BC1C03">
        <w:fldChar w:fldCharType="begin"/>
      </w:r>
      <w:r w:rsidRPr="00BC1C03">
        <w:instrText xml:space="preserve"> SEQ Tabla \* ARABIC </w:instrText>
      </w:r>
      <w:r w:rsidRPr="00BC1C03">
        <w:fldChar w:fldCharType="separate"/>
      </w:r>
      <w:r w:rsidR="008B4625">
        <w:rPr>
          <w:noProof/>
        </w:rPr>
        <w:t>25</w:t>
      </w:r>
      <w:r w:rsidRPr="00BC1C03">
        <w:fldChar w:fldCharType="end"/>
      </w:r>
      <w:r w:rsidRPr="00BC1C03">
        <w:t xml:space="preserve"> </w:t>
      </w:r>
      <w:r w:rsidR="00BC1C03" w:rsidRPr="00BC1C03">
        <w:t xml:space="preserve">Segundo </w:t>
      </w:r>
      <w:r w:rsidRPr="00BC1C03">
        <w:t>Trimestre FAER / Obligaciones MME</w:t>
      </w:r>
      <w:bookmarkEnd w:id="50"/>
    </w:p>
    <w:tbl>
      <w:tblPr>
        <w:tblW w:w="0" w:type="auto"/>
        <w:tblLayout w:type="fixed"/>
        <w:tblCellMar>
          <w:left w:w="70" w:type="dxa"/>
          <w:right w:w="70" w:type="dxa"/>
        </w:tblCellMar>
        <w:tblLook w:val="04A0" w:firstRow="1" w:lastRow="0" w:firstColumn="1" w:lastColumn="0" w:noHBand="0" w:noVBand="1"/>
      </w:tblPr>
      <w:tblGrid>
        <w:gridCol w:w="5944"/>
        <w:gridCol w:w="1984"/>
        <w:gridCol w:w="1457"/>
      </w:tblGrid>
      <w:tr w:rsidR="00C02282" w:rsidRPr="00BC1C03" w14:paraId="5671E40E" w14:textId="77777777" w:rsidTr="006A67B4">
        <w:trPr>
          <w:trHeight w:val="315"/>
        </w:trPr>
        <w:tc>
          <w:tcPr>
            <w:tcW w:w="9385" w:type="dxa"/>
            <w:gridSpan w:val="3"/>
            <w:tcBorders>
              <w:top w:val="single" w:sz="8" w:space="0" w:color="auto"/>
              <w:left w:val="single" w:sz="8" w:space="0" w:color="auto"/>
              <w:bottom w:val="single" w:sz="8" w:space="0" w:color="auto"/>
              <w:right w:val="single" w:sz="8" w:space="0" w:color="000000"/>
            </w:tcBorders>
            <w:shd w:val="clear" w:color="auto" w:fill="244061" w:themeFill="accent1" w:themeFillShade="80"/>
            <w:noWrap/>
            <w:vAlign w:val="bottom"/>
            <w:hideMark/>
          </w:tcPr>
          <w:p w14:paraId="6FDB9862" w14:textId="77777777" w:rsidR="00C02282" w:rsidRPr="00BC1C03" w:rsidRDefault="00C02282" w:rsidP="006A67B4">
            <w:pPr>
              <w:spacing w:after="0" w:line="240" w:lineRule="auto"/>
              <w:jc w:val="center"/>
              <w:rPr>
                <w:rFonts w:ascii="Arial" w:eastAsia="Times New Roman" w:hAnsi="Arial" w:cs="Arial"/>
                <w:b/>
                <w:bCs/>
                <w:color w:val="FFFFFF"/>
                <w:sz w:val="18"/>
                <w:lang w:eastAsia="es-CO"/>
              </w:rPr>
            </w:pPr>
            <w:r w:rsidRPr="00BC1C03">
              <w:rPr>
                <w:rFonts w:ascii="Arial" w:eastAsia="Times New Roman" w:hAnsi="Arial" w:cs="Arial"/>
                <w:b/>
                <w:bCs/>
                <w:color w:val="FFFFFF"/>
                <w:sz w:val="18"/>
                <w:lang w:eastAsia="es-CO"/>
              </w:rPr>
              <w:t>FAER  - OBLIGACIONES</w:t>
            </w:r>
          </w:p>
        </w:tc>
      </w:tr>
      <w:tr w:rsidR="00C02282" w:rsidRPr="00BC1C03" w14:paraId="7038AFA1" w14:textId="77777777" w:rsidTr="006A67B4">
        <w:trPr>
          <w:trHeight w:val="315"/>
        </w:trPr>
        <w:tc>
          <w:tcPr>
            <w:tcW w:w="5944" w:type="dxa"/>
            <w:tcBorders>
              <w:top w:val="nil"/>
              <w:left w:val="single" w:sz="8" w:space="0" w:color="auto"/>
              <w:bottom w:val="nil"/>
              <w:right w:val="single" w:sz="4" w:space="0" w:color="auto"/>
            </w:tcBorders>
            <w:shd w:val="clear" w:color="auto" w:fill="244061" w:themeFill="accent1" w:themeFillShade="80"/>
            <w:noWrap/>
            <w:vAlign w:val="center"/>
            <w:hideMark/>
          </w:tcPr>
          <w:p w14:paraId="6A46E20C" w14:textId="77777777" w:rsidR="00C02282" w:rsidRPr="00BC1C03" w:rsidRDefault="00C02282" w:rsidP="006A67B4">
            <w:pPr>
              <w:spacing w:after="0" w:line="240" w:lineRule="auto"/>
              <w:jc w:val="center"/>
              <w:rPr>
                <w:rFonts w:ascii="Arial" w:eastAsia="Times New Roman" w:hAnsi="Arial" w:cs="Arial"/>
                <w:b/>
                <w:bCs/>
                <w:color w:val="FFFFFF"/>
                <w:sz w:val="18"/>
                <w:lang w:eastAsia="es-CO"/>
              </w:rPr>
            </w:pPr>
            <w:r w:rsidRPr="00BC1C03">
              <w:rPr>
                <w:rFonts w:ascii="Arial" w:eastAsia="Times New Roman" w:hAnsi="Arial" w:cs="Arial"/>
                <w:b/>
                <w:bCs/>
                <w:color w:val="FFFFFF"/>
                <w:sz w:val="18"/>
                <w:lang w:eastAsia="es-CO"/>
              </w:rPr>
              <w:t>Resolución</w:t>
            </w:r>
          </w:p>
        </w:tc>
        <w:tc>
          <w:tcPr>
            <w:tcW w:w="1984" w:type="dxa"/>
            <w:tcBorders>
              <w:top w:val="nil"/>
              <w:left w:val="nil"/>
              <w:bottom w:val="nil"/>
              <w:right w:val="single" w:sz="4" w:space="0" w:color="auto"/>
            </w:tcBorders>
            <w:shd w:val="clear" w:color="auto" w:fill="244061" w:themeFill="accent1" w:themeFillShade="80"/>
            <w:noWrap/>
            <w:vAlign w:val="center"/>
            <w:hideMark/>
          </w:tcPr>
          <w:p w14:paraId="3C5AD4F4" w14:textId="77777777" w:rsidR="00C02282" w:rsidRPr="00BC1C03" w:rsidRDefault="00C02282" w:rsidP="006A67B4">
            <w:pPr>
              <w:spacing w:after="0" w:line="240" w:lineRule="auto"/>
              <w:jc w:val="center"/>
              <w:rPr>
                <w:rFonts w:ascii="Arial" w:eastAsia="Times New Roman" w:hAnsi="Arial" w:cs="Arial"/>
                <w:b/>
                <w:bCs/>
                <w:color w:val="FFFFFF"/>
                <w:sz w:val="18"/>
                <w:lang w:eastAsia="es-CO"/>
              </w:rPr>
            </w:pPr>
            <w:r w:rsidRPr="00BC1C03">
              <w:rPr>
                <w:rFonts w:ascii="Arial" w:eastAsia="Times New Roman" w:hAnsi="Arial" w:cs="Arial"/>
                <w:b/>
                <w:bCs/>
                <w:color w:val="FFFFFF"/>
                <w:sz w:val="18"/>
                <w:lang w:eastAsia="es-CO"/>
              </w:rPr>
              <w:t>Valor</w:t>
            </w:r>
          </w:p>
        </w:tc>
        <w:tc>
          <w:tcPr>
            <w:tcW w:w="1457" w:type="dxa"/>
            <w:tcBorders>
              <w:top w:val="nil"/>
              <w:left w:val="nil"/>
              <w:bottom w:val="nil"/>
              <w:right w:val="single" w:sz="8" w:space="0" w:color="auto"/>
            </w:tcBorders>
            <w:shd w:val="clear" w:color="auto" w:fill="244061" w:themeFill="accent1" w:themeFillShade="80"/>
            <w:noWrap/>
            <w:vAlign w:val="center"/>
            <w:hideMark/>
          </w:tcPr>
          <w:p w14:paraId="03A87261" w14:textId="77777777" w:rsidR="00C02282" w:rsidRPr="00BC1C03" w:rsidRDefault="00C02282" w:rsidP="006A67B4">
            <w:pPr>
              <w:spacing w:after="0" w:line="240" w:lineRule="auto"/>
              <w:jc w:val="center"/>
              <w:rPr>
                <w:rFonts w:ascii="Arial" w:eastAsia="Times New Roman" w:hAnsi="Arial" w:cs="Arial"/>
                <w:b/>
                <w:bCs/>
                <w:color w:val="FFFFFF"/>
                <w:sz w:val="18"/>
                <w:lang w:eastAsia="es-CO"/>
              </w:rPr>
            </w:pPr>
            <w:r w:rsidRPr="00BC1C03">
              <w:rPr>
                <w:rFonts w:ascii="Arial" w:eastAsia="Times New Roman" w:hAnsi="Arial" w:cs="Arial"/>
                <w:b/>
                <w:bCs/>
                <w:color w:val="FFFFFF"/>
                <w:sz w:val="18"/>
                <w:lang w:eastAsia="es-CO"/>
              </w:rPr>
              <w:t>Fecha</w:t>
            </w:r>
          </w:p>
        </w:tc>
      </w:tr>
      <w:tr w:rsidR="00BC1C03" w:rsidRPr="00BC1C03" w14:paraId="671291E6" w14:textId="77777777" w:rsidTr="00481592">
        <w:trPr>
          <w:trHeight w:val="1101"/>
        </w:trPr>
        <w:tc>
          <w:tcPr>
            <w:tcW w:w="594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B69CC3" w14:textId="1172D8AD" w:rsidR="00BC1C03" w:rsidRPr="00BC1C03" w:rsidRDefault="00BC1C03" w:rsidP="00BC1C03">
            <w:pPr>
              <w:spacing w:after="0" w:line="240" w:lineRule="auto"/>
              <w:rPr>
                <w:rFonts w:ascii="Arial" w:eastAsia="Times New Roman" w:hAnsi="Arial" w:cs="Arial"/>
                <w:color w:val="000000"/>
                <w:sz w:val="18"/>
                <w:lang w:eastAsia="es-CO"/>
              </w:rPr>
            </w:pPr>
            <w:r w:rsidRPr="00BC1C03">
              <w:rPr>
                <w:rFonts w:ascii="Arial" w:eastAsia="Times New Roman" w:hAnsi="Arial" w:cs="Arial"/>
                <w:color w:val="000000"/>
                <w:sz w:val="18"/>
                <w:szCs w:val="18"/>
                <w:lang w:eastAsia="es-CO"/>
              </w:rPr>
              <w:t>AMPLIAR Y PRESTAR EL SERVICIO DE ENERGÍA ELÉCTRICA, EN CONDICIONES DE CALIDAD Y CONFIABILIDAD EN ZONAS RURALES DEL SIN UBICADAS EN MERCADO DE COMERCIALIZACIÓN DEL OPERADOR DE RED, MUNICIPIOS PUERTO CONCORDIA Y MAPIRIPAN DPTO META.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DA8C69E" w14:textId="5887E532" w:rsidR="00BC1C03" w:rsidRPr="00BC1C03" w:rsidRDefault="00BC1C03" w:rsidP="00BC1C03">
            <w:pPr>
              <w:spacing w:after="0" w:line="240" w:lineRule="auto"/>
              <w:jc w:val="center"/>
              <w:rPr>
                <w:rFonts w:ascii="Arial" w:eastAsia="Times New Roman" w:hAnsi="Arial" w:cs="Arial"/>
                <w:color w:val="000000"/>
                <w:sz w:val="18"/>
                <w:lang w:eastAsia="es-CO"/>
              </w:rPr>
            </w:pPr>
            <w:r w:rsidRPr="00BC1C03">
              <w:rPr>
                <w:rFonts w:ascii="Arial" w:eastAsia="Times New Roman" w:hAnsi="Arial" w:cs="Arial"/>
                <w:color w:val="000000"/>
                <w:sz w:val="18"/>
                <w:szCs w:val="18"/>
                <w:lang w:eastAsia="es-CO"/>
              </w:rPr>
              <w:t xml:space="preserve"> $                    3.688 </w:t>
            </w:r>
          </w:p>
        </w:tc>
        <w:tc>
          <w:tcPr>
            <w:tcW w:w="1457" w:type="dxa"/>
            <w:tcBorders>
              <w:top w:val="single" w:sz="4" w:space="0" w:color="auto"/>
              <w:left w:val="nil"/>
              <w:bottom w:val="single" w:sz="4" w:space="0" w:color="auto"/>
              <w:right w:val="single" w:sz="8" w:space="0" w:color="auto"/>
            </w:tcBorders>
            <w:shd w:val="clear" w:color="auto" w:fill="auto"/>
            <w:vAlign w:val="center"/>
            <w:hideMark/>
          </w:tcPr>
          <w:p w14:paraId="4ED89D2C" w14:textId="29CBAB73" w:rsidR="00BC1C03" w:rsidRPr="00BC1C03" w:rsidRDefault="00BC1C03" w:rsidP="00BC1C03">
            <w:pPr>
              <w:spacing w:after="0" w:line="240" w:lineRule="auto"/>
              <w:jc w:val="center"/>
              <w:rPr>
                <w:rFonts w:ascii="Arial" w:eastAsia="Times New Roman" w:hAnsi="Arial" w:cs="Arial"/>
                <w:color w:val="000000"/>
                <w:sz w:val="18"/>
                <w:lang w:eastAsia="es-CO"/>
              </w:rPr>
            </w:pPr>
            <w:r w:rsidRPr="00BC1C03">
              <w:rPr>
                <w:rFonts w:ascii="Arial" w:eastAsia="Times New Roman" w:hAnsi="Arial" w:cs="Arial"/>
                <w:color w:val="000000"/>
                <w:sz w:val="18"/>
                <w:szCs w:val="18"/>
                <w:lang w:eastAsia="es-CO"/>
              </w:rPr>
              <w:t>26 DE JUNIO DE  2018</w:t>
            </w:r>
          </w:p>
        </w:tc>
      </w:tr>
      <w:tr w:rsidR="00C02282" w:rsidRPr="00BC1C03" w14:paraId="05B76A09" w14:textId="77777777" w:rsidTr="006A67B4">
        <w:trPr>
          <w:trHeight w:val="330"/>
        </w:trPr>
        <w:tc>
          <w:tcPr>
            <w:tcW w:w="7928" w:type="dxa"/>
            <w:gridSpan w:val="2"/>
            <w:tcBorders>
              <w:top w:val="nil"/>
              <w:left w:val="single" w:sz="8" w:space="0" w:color="auto"/>
              <w:bottom w:val="single" w:sz="8" w:space="0" w:color="auto"/>
              <w:right w:val="nil"/>
            </w:tcBorders>
            <w:shd w:val="clear" w:color="auto" w:fill="244061" w:themeFill="accent1" w:themeFillShade="80"/>
            <w:noWrap/>
            <w:vAlign w:val="bottom"/>
            <w:hideMark/>
          </w:tcPr>
          <w:p w14:paraId="051D1D88" w14:textId="77777777" w:rsidR="00C02282" w:rsidRPr="00BC1C03" w:rsidRDefault="00C02282" w:rsidP="006A67B4">
            <w:pPr>
              <w:spacing w:after="0" w:line="240" w:lineRule="auto"/>
              <w:jc w:val="center"/>
              <w:rPr>
                <w:rFonts w:ascii="Arial" w:eastAsia="Times New Roman" w:hAnsi="Arial" w:cs="Arial"/>
                <w:b/>
                <w:bCs/>
                <w:color w:val="FFFFFF"/>
                <w:sz w:val="18"/>
                <w:lang w:eastAsia="es-CO"/>
              </w:rPr>
            </w:pPr>
            <w:r w:rsidRPr="00BC1C03">
              <w:rPr>
                <w:rFonts w:ascii="Arial" w:eastAsia="Times New Roman" w:hAnsi="Arial" w:cs="Arial"/>
                <w:b/>
                <w:bCs/>
                <w:color w:val="FFFFFF"/>
                <w:sz w:val="18"/>
                <w:lang w:eastAsia="es-CO"/>
              </w:rPr>
              <w:t>TOTAL</w:t>
            </w:r>
          </w:p>
        </w:tc>
        <w:tc>
          <w:tcPr>
            <w:tcW w:w="1457" w:type="dxa"/>
            <w:tcBorders>
              <w:top w:val="nil"/>
              <w:left w:val="single" w:sz="4" w:space="0" w:color="auto"/>
              <w:bottom w:val="single" w:sz="8" w:space="0" w:color="auto"/>
              <w:right w:val="single" w:sz="8" w:space="0" w:color="auto"/>
            </w:tcBorders>
            <w:shd w:val="clear" w:color="auto" w:fill="244061" w:themeFill="accent1" w:themeFillShade="80"/>
            <w:noWrap/>
            <w:vAlign w:val="center"/>
            <w:hideMark/>
          </w:tcPr>
          <w:p w14:paraId="4902A66C" w14:textId="68131CEA" w:rsidR="00C02282" w:rsidRPr="00BC1C03" w:rsidRDefault="00C02282" w:rsidP="00BC1C03">
            <w:pPr>
              <w:spacing w:after="0" w:line="240" w:lineRule="auto"/>
              <w:rPr>
                <w:rFonts w:ascii="Arial" w:eastAsia="Times New Roman" w:hAnsi="Arial" w:cs="Arial"/>
                <w:b/>
                <w:bCs/>
                <w:color w:val="FFFFFF"/>
                <w:sz w:val="18"/>
                <w:lang w:eastAsia="es-CO"/>
              </w:rPr>
            </w:pPr>
            <w:r w:rsidRPr="00BC1C03">
              <w:rPr>
                <w:rFonts w:ascii="Arial" w:eastAsia="Times New Roman" w:hAnsi="Arial" w:cs="Arial"/>
                <w:b/>
                <w:bCs/>
                <w:color w:val="FFFFFF"/>
                <w:sz w:val="18"/>
                <w:lang w:eastAsia="es-CO"/>
              </w:rPr>
              <w:t xml:space="preserve"> $    </w:t>
            </w:r>
            <w:r w:rsidR="00BC1C03">
              <w:rPr>
                <w:rFonts w:ascii="Arial" w:eastAsia="Times New Roman" w:hAnsi="Arial" w:cs="Arial"/>
                <w:b/>
                <w:bCs/>
                <w:color w:val="FFFFFF"/>
                <w:sz w:val="18"/>
                <w:lang w:eastAsia="es-CO"/>
              </w:rPr>
              <w:t>15.914</w:t>
            </w:r>
            <w:r w:rsidRPr="00BC1C03">
              <w:rPr>
                <w:rFonts w:ascii="Arial" w:eastAsia="Times New Roman" w:hAnsi="Arial" w:cs="Arial"/>
                <w:b/>
                <w:bCs/>
                <w:color w:val="FFFFFF"/>
                <w:sz w:val="18"/>
                <w:lang w:eastAsia="es-CO"/>
              </w:rPr>
              <w:t xml:space="preserve"> </w:t>
            </w:r>
          </w:p>
        </w:tc>
      </w:tr>
    </w:tbl>
    <w:p w14:paraId="2968065D" w14:textId="77777777" w:rsidR="00BC1C03" w:rsidRPr="00BC1C03" w:rsidRDefault="00BC1C03" w:rsidP="00BC1C03">
      <w:pPr>
        <w:pStyle w:val="Prrafodelista"/>
        <w:spacing w:after="0" w:line="240" w:lineRule="auto"/>
        <w:ind w:left="360"/>
        <w:jc w:val="center"/>
        <w:rPr>
          <w:rFonts w:eastAsia="Times New Roman" w:cs="Arial"/>
          <w:noProof/>
          <w:color w:val="002060"/>
          <w:sz w:val="18"/>
          <w:szCs w:val="18"/>
          <w:lang w:eastAsia="es-CO"/>
        </w:rPr>
      </w:pPr>
      <w:r w:rsidRPr="00BC1C03">
        <w:rPr>
          <w:rFonts w:eastAsia="Times New Roman" w:cs="Arial"/>
          <w:noProof/>
          <w:sz w:val="18"/>
          <w:szCs w:val="18"/>
          <w:lang w:eastAsia="es-CO"/>
        </w:rPr>
        <w:t>Cifras en millones de pesos</w:t>
      </w:r>
    </w:p>
    <w:p w14:paraId="16C8D3F6" w14:textId="77777777" w:rsidR="00BC1C03" w:rsidRPr="00C20FD6" w:rsidRDefault="00BC1C03" w:rsidP="00BC1C03">
      <w:pPr>
        <w:spacing w:after="0" w:line="240" w:lineRule="auto"/>
        <w:jc w:val="center"/>
        <w:rPr>
          <w:rFonts w:ascii="Arial" w:eastAsia="Calibri" w:hAnsi="Arial" w:cs="Arial"/>
        </w:rPr>
      </w:pPr>
      <w:r w:rsidRPr="00BC1C03">
        <w:rPr>
          <w:rFonts w:ascii="Arial" w:eastAsia="Calibri" w:hAnsi="Arial" w:cs="Arial"/>
          <w:sz w:val="16"/>
          <w:szCs w:val="16"/>
        </w:rPr>
        <w:t>Fuente: SIIF Nación</w:t>
      </w:r>
    </w:p>
    <w:p w14:paraId="19DD0A46" w14:textId="77777777" w:rsidR="00C02282" w:rsidRPr="006A67B4" w:rsidRDefault="00C02282" w:rsidP="00C02282">
      <w:pPr>
        <w:jc w:val="both"/>
        <w:rPr>
          <w:rFonts w:ascii="Arial" w:eastAsia="Calibri" w:hAnsi="Arial" w:cs="Arial"/>
          <w:sz w:val="16"/>
          <w:szCs w:val="16"/>
          <w:highlight w:val="yellow"/>
        </w:rPr>
      </w:pPr>
    </w:p>
    <w:p w14:paraId="18E03F60" w14:textId="77777777" w:rsidR="00BC1C03" w:rsidRPr="009A4D51" w:rsidRDefault="00BC1C03" w:rsidP="008B4625">
      <w:pPr>
        <w:numPr>
          <w:ilvl w:val="0"/>
          <w:numId w:val="29"/>
        </w:numPr>
        <w:spacing w:after="0" w:line="240" w:lineRule="auto"/>
        <w:ind w:left="426"/>
        <w:jc w:val="both"/>
        <w:rPr>
          <w:rFonts w:ascii="Arial" w:eastAsia="Times New Roman" w:hAnsi="Arial" w:cs="Arial"/>
          <w:b/>
          <w:szCs w:val="16"/>
          <w:lang w:val="es-ES" w:eastAsia="es-ES"/>
        </w:rPr>
      </w:pPr>
      <w:r w:rsidRPr="009A4D51">
        <w:rPr>
          <w:rFonts w:ascii="Arial" w:eastAsia="Times New Roman" w:hAnsi="Arial" w:cs="Arial"/>
          <w:b/>
          <w:szCs w:val="16"/>
          <w:lang w:val="es-ES" w:eastAsia="es-ES"/>
        </w:rPr>
        <w:t>Normalización del Servicio de Energía Eléctrica en Barrios Subnormales de los Municipios del Sistema Interconectado Nacional.</w:t>
      </w:r>
    </w:p>
    <w:p w14:paraId="6DEBF9B9" w14:textId="77777777" w:rsidR="00BC1C03" w:rsidRPr="009A4D51" w:rsidRDefault="00BC1C03" w:rsidP="00BC1C03">
      <w:pPr>
        <w:spacing w:after="0" w:line="240" w:lineRule="auto"/>
        <w:jc w:val="both"/>
        <w:rPr>
          <w:rFonts w:ascii="Arial" w:eastAsia="Times New Roman" w:hAnsi="Arial" w:cs="Arial"/>
          <w:b/>
          <w:szCs w:val="16"/>
          <w:lang w:val="es-ES" w:eastAsia="es-ES"/>
        </w:rPr>
      </w:pPr>
    </w:p>
    <w:p w14:paraId="10D822B9" w14:textId="77777777" w:rsidR="00BC1C03" w:rsidRDefault="00BC1C03" w:rsidP="00BC1C03">
      <w:pPr>
        <w:spacing w:after="0" w:line="240" w:lineRule="auto"/>
        <w:jc w:val="both"/>
        <w:rPr>
          <w:rFonts w:ascii="Arial" w:eastAsia="Times New Roman" w:hAnsi="Arial" w:cs="Arial"/>
          <w:szCs w:val="16"/>
          <w:lang w:val="es-ES" w:eastAsia="es-ES"/>
        </w:rPr>
      </w:pPr>
      <w:r w:rsidRPr="009A4D51">
        <w:rPr>
          <w:rFonts w:ascii="Arial" w:eastAsia="Times New Roman" w:hAnsi="Arial" w:cs="Arial"/>
          <w:szCs w:val="16"/>
          <w:lang w:val="es-ES" w:eastAsia="es-ES"/>
        </w:rPr>
        <w:t>Este proyecto cuenta con una apropiación para la vigencia 2018 de $250 millones de pesos, de los cuales se comprometieron al cierre del</w:t>
      </w:r>
      <w:r>
        <w:rPr>
          <w:rFonts w:ascii="Arial" w:eastAsia="Times New Roman" w:hAnsi="Arial" w:cs="Arial"/>
          <w:szCs w:val="16"/>
          <w:lang w:val="es-ES" w:eastAsia="es-ES"/>
        </w:rPr>
        <w:t xml:space="preserve"> segundo </w:t>
      </w:r>
      <w:r w:rsidRPr="009A4D51">
        <w:rPr>
          <w:rFonts w:ascii="Arial" w:eastAsia="Times New Roman" w:hAnsi="Arial" w:cs="Arial"/>
          <w:szCs w:val="16"/>
          <w:lang w:val="es-ES" w:eastAsia="es-ES"/>
        </w:rPr>
        <w:t>trimestre $14</w:t>
      </w:r>
      <w:r>
        <w:rPr>
          <w:rFonts w:ascii="Arial" w:eastAsia="Times New Roman" w:hAnsi="Arial" w:cs="Arial"/>
          <w:szCs w:val="16"/>
          <w:lang w:val="es-ES" w:eastAsia="es-ES"/>
        </w:rPr>
        <w:t>0</w:t>
      </w:r>
      <w:r w:rsidRPr="009A4D51">
        <w:rPr>
          <w:rFonts w:ascii="Arial" w:eastAsia="Times New Roman" w:hAnsi="Arial" w:cs="Arial"/>
          <w:szCs w:val="16"/>
          <w:lang w:val="es-ES" w:eastAsia="es-ES"/>
        </w:rPr>
        <w:t xml:space="preserve"> millones de pesos, destinados a cubrir actividades de apoyo a la gestión y seguimiento de</w:t>
      </w:r>
      <w:r>
        <w:rPr>
          <w:rFonts w:ascii="Arial" w:eastAsia="Times New Roman" w:hAnsi="Arial" w:cs="Arial"/>
          <w:szCs w:val="16"/>
          <w:lang w:val="es-ES" w:eastAsia="es-ES"/>
        </w:rPr>
        <w:t>l proyecto, ejecutando así un 56</w:t>
      </w:r>
      <w:r w:rsidRPr="009A4D51">
        <w:rPr>
          <w:rFonts w:ascii="Arial" w:eastAsia="Times New Roman" w:hAnsi="Arial" w:cs="Arial"/>
          <w:szCs w:val="16"/>
          <w:lang w:val="es-ES" w:eastAsia="es-ES"/>
        </w:rPr>
        <w:t>,</w:t>
      </w:r>
      <w:r>
        <w:rPr>
          <w:rFonts w:ascii="Arial" w:eastAsia="Times New Roman" w:hAnsi="Arial" w:cs="Arial"/>
          <w:szCs w:val="16"/>
          <w:lang w:val="es-ES" w:eastAsia="es-ES"/>
        </w:rPr>
        <w:t>00%.</w:t>
      </w:r>
    </w:p>
    <w:p w14:paraId="4EB8D811" w14:textId="77777777" w:rsidR="00BC1C03" w:rsidRPr="009A4D51" w:rsidRDefault="00BC1C03" w:rsidP="00BC1C03">
      <w:pPr>
        <w:spacing w:after="0" w:line="240" w:lineRule="auto"/>
        <w:jc w:val="both"/>
        <w:rPr>
          <w:rFonts w:ascii="Arial" w:eastAsia="Times New Roman" w:hAnsi="Arial" w:cs="Arial"/>
          <w:szCs w:val="16"/>
          <w:lang w:val="es-ES" w:eastAsia="es-ES"/>
        </w:rPr>
      </w:pPr>
    </w:p>
    <w:p w14:paraId="2445DB3F" w14:textId="77777777" w:rsidR="00BC1C03" w:rsidRDefault="00BC1C03" w:rsidP="00BC1C03">
      <w:pPr>
        <w:spacing w:after="0" w:line="240" w:lineRule="auto"/>
        <w:jc w:val="both"/>
        <w:rPr>
          <w:rFonts w:ascii="Arial" w:eastAsia="Times New Roman" w:hAnsi="Arial" w:cs="Arial"/>
          <w:szCs w:val="16"/>
          <w:lang w:val="es-ES" w:eastAsia="es-ES"/>
        </w:rPr>
      </w:pPr>
      <w:r w:rsidRPr="009A4D51">
        <w:rPr>
          <w:rFonts w:ascii="Arial" w:eastAsia="Times New Roman" w:hAnsi="Arial" w:cs="Arial"/>
          <w:szCs w:val="16"/>
          <w:lang w:val="es-ES" w:eastAsia="es-ES"/>
        </w:rPr>
        <w:t>En cuanto a las obligaciones, se ejecutaron recursos por valor de $13 millones de pesos para el pago de actividades de apoyo y seguimiento a la gestión del proyecto de inversión, ejecutan</w:t>
      </w:r>
      <w:r>
        <w:rPr>
          <w:rFonts w:ascii="Arial" w:eastAsia="Times New Roman" w:hAnsi="Arial" w:cs="Arial"/>
          <w:szCs w:val="16"/>
          <w:lang w:val="es-ES" w:eastAsia="es-ES"/>
        </w:rPr>
        <w:t>do así un 5,40% en obligaciones.</w:t>
      </w:r>
    </w:p>
    <w:p w14:paraId="26F8B5E9" w14:textId="77777777" w:rsidR="00BC1C03" w:rsidRPr="009A4D51" w:rsidRDefault="00BC1C03" w:rsidP="00BC1C03">
      <w:pPr>
        <w:spacing w:after="0" w:line="240" w:lineRule="auto"/>
        <w:jc w:val="both"/>
        <w:rPr>
          <w:rFonts w:ascii="Arial" w:eastAsia="Times New Roman" w:hAnsi="Arial" w:cs="Arial"/>
          <w:szCs w:val="16"/>
          <w:lang w:val="es-ES" w:eastAsia="es-ES"/>
        </w:rPr>
      </w:pPr>
    </w:p>
    <w:p w14:paraId="2E678410" w14:textId="77777777" w:rsidR="00BC1C03" w:rsidRDefault="00BC1C03" w:rsidP="00BC1C03">
      <w:pPr>
        <w:spacing w:after="0" w:line="240" w:lineRule="auto"/>
        <w:jc w:val="both"/>
        <w:rPr>
          <w:rFonts w:ascii="Arial" w:eastAsia="Times New Roman" w:hAnsi="Arial" w:cs="Arial"/>
          <w:szCs w:val="16"/>
          <w:lang w:val="es-ES" w:eastAsia="es-ES"/>
        </w:rPr>
      </w:pPr>
      <w:r w:rsidRPr="009A4D51">
        <w:rPr>
          <w:rFonts w:ascii="Arial" w:eastAsia="Times New Roman" w:hAnsi="Arial" w:cs="Arial"/>
          <w:szCs w:val="16"/>
          <w:lang w:val="es-ES" w:eastAsia="es-ES"/>
        </w:rPr>
        <w:t>En el siguiente cuadro se evidencia la ejecución de sus obligaciones:</w:t>
      </w:r>
    </w:p>
    <w:p w14:paraId="1E0F37C4" w14:textId="77777777" w:rsidR="00C02282" w:rsidRPr="006A67B4" w:rsidRDefault="00C02282" w:rsidP="00C02282">
      <w:pPr>
        <w:spacing w:after="0" w:line="240" w:lineRule="auto"/>
        <w:ind w:left="7788"/>
        <w:jc w:val="both"/>
        <w:rPr>
          <w:rFonts w:ascii="Arial" w:eastAsia="Calibri" w:hAnsi="Arial" w:cs="Arial"/>
          <w:sz w:val="16"/>
          <w:szCs w:val="16"/>
          <w:highlight w:val="yellow"/>
        </w:rPr>
      </w:pPr>
    </w:p>
    <w:p w14:paraId="48DB1240" w14:textId="68DFB45B" w:rsidR="00C02282" w:rsidRPr="00BC1C03" w:rsidRDefault="00C02282" w:rsidP="00C02282">
      <w:pPr>
        <w:pStyle w:val="Descripcin"/>
        <w:keepNext/>
        <w:jc w:val="center"/>
      </w:pPr>
      <w:bookmarkStart w:id="51" w:name="_Toc525652472"/>
      <w:r w:rsidRPr="00BC1C03">
        <w:t xml:space="preserve">Tabla </w:t>
      </w:r>
      <w:r w:rsidRPr="00BC1C03">
        <w:fldChar w:fldCharType="begin"/>
      </w:r>
      <w:r w:rsidRPr="00BC1C03">
        <w:instrText xml:space="preserve"> SEQ Tabla \* ARABIC </w:instrText>
      </w:r>
      <w:r w:rsidRPr="00BC1C03">
        <w:fldChar w:fldCharType="separate"/>
      </w:r>
      <w:r w:rsidR="008B4625">
        <w:rPr>
          <w:noProof/>
        </w:rPr>
        <w:t>26</w:t>
      </w:r>
      <w:r w:rsidRPr="00BC1C03">
        <w:fldChar w:fldCharType="end"/>
      </w:r>
      <w:r w:rsidRPr="00BC1C03">
        <w:t xml:space="preserve"> </w:t>
      </w:r>
      <w:r w:rsidR="00BC1C03" w:rsidRPr="00BC1C03">
        <w:t xml:space="preserve">Segundo </w:t>
      </w:r>
      <w:r w:rsidRPr="00BC1C03">
        <w:t>Trimestre PRONE / Obligaciones MME</w:t>
      </w:r>
      <w:bookmarkEnd w:id="51"/>
    </w:p>
    <w:p w14:paraId="66B48941" w14:textId="77777777" w:rsidR="00BC1C03" w:rsidRPr="00BC1C03" w:rsidRDefault="00BC1C03" w:rsidP="00C02282">
      <w:pPr>
        <w:pStyle w:val="Prrafodelista"/>
        <w:spacing w:after="0" w:line="240" w:lineRule="auto"/>
        <w:ind w:left="360"/>
        <w:jc w:val="center"/>
        <w:rPr>
          <w:rFonts w:cs="Arial"/>
          <w:sz w:val="16"/>
          <w:szCs w:val="16"/>
          <w:lang w:eastAsia="es-ES"/>
        </w:rPr>
      </w:pPr>
    </w:p>
    <w:tbl>
      <w:tblPr>
        <w:tblW w:w="9629" w:type="dxa"/>
        <w:tblCellMar>
          <w:left w:w="70" w:type="dxa"/>
          <w:right w:w="70" w:type="dxa"/>
        </w:tblCellMar>
        <w:tblLook w:val="04A0" w:firstRow="1" w:lastRow="0" w:firstColumn="1" w:lastColumn="0" w:noHBand="0" w:noVBand="1"/>
      </w:tblPr>
      <w:tblGrid>
        <w:gridCol w:w="6936"/>
        <w:gridCol w:w="1134"/>
        <w:gridCol w:w="1559"/>
      </w:tblGrid>
      <w:tr w:rsidR="00BC1C03" w:rsidRPr="00BC1C03" w14:paraId="72596C06" w14:textId="77777777" w:rsidTr="00BC1C03">
        <w:trPr>
          <w:trHeight w:val="315"/>
        </w:trPr>
        <w:tc>
          <w:tcPr>
            <w:tcW w:w="9629" w:type="dxa"/>
            <w:gridSpan w:val="3"/>
            <w:tcBorders>
              <w:top w:val="single" w:sz="8" w:space="0" w:color="auto"/>
              <w:left w:val="single" w:sz="8" w:space="0" w:color="auto"/>
              <w:bottom w:val="single" w:sz="8" w:space="0" w:color="auto"/>
              <w:right w:val="single" w:sz="8" w:space="0" w:color="000000"/>
            </w:tcBorders>
            <w:shd w:val="clear" w:color="auto" w:fill="17365D"/>
            <w:noWrap/>
            <w:vAlign w:val="bottom"/>
            <w:hideMark/>
          </w:tcPr>
          <w:p w14:paraId="370267EB" w14:textId="77777777" w:rsidR="00BC1C03" w:rsidRPr="00BC1C03" w:rsidRDefault="00BC1C03" w:rsidP="00BC1C03">
            <w:pPr>
              <w:spacing w:after="0" w:line="240" w:lineRule="auto"/>
              <w:jc w:val="center"/>
              <w:rPr>
                <w:rFonts w:eastAsia="Times New Roman"/>
                <w:b/>
                <w:bCs/>
                <w:color w:val="FFFFFF"/>
                <w:lang w:eastAsia="es-CO"/>
              </w:rPr>
            </w:pPr>
            <w:r w:rsidRPr="00BC1C03">
              <w:rPr>
                <w:rFonts w:eastAsia="Times New Roman"/>
                <w:b/>
                <w:bCs/>
                <w:color w:val="FFFFFF"/>
                <w:lang w:eastAsia="es-CO"/>
              </w:rPr>
              <w:t>PRONE- OBLIGACIONES</w:t>
            </w:r>
          </w:p>
        </w:tc>
      </w:tr>
      <w:tr w:rsidR="00BC1C03" w:rsidRPr="00BC1C03" w14:paraId="72F66CBB" w14:textId="77777777" w:rsidTr="00BC1C03">
        <w:trPr>
          <w:trHeight w:val="315"/>
        </w:trPr>
        <w:tc>
          <w:tcPr>
            <w:tcW w:w="6936" w:type="dxa"/>
            <w:tcBorders>
              <w:top w:val="nil"/>
              <w:left w:val="single" w:sz="8" w:space="0" w:color="auto"/>
              <w:bottom w:val="nil"/>
              <w:right w:val="single" w:sz="4" w:space="0" w:color="auto"/>
            </w:tcBorders>
            <w:shd w:val="clear" w:color="auto" w:fill="17365D"/>
            <w:noWrap/>
            <w:vAlign w:val="center"/>
            <w:hideMark/>
          </w:tcPr>
          <w:p w14:paraId="6B921139" w14:textId="77777777" w:rsidR="00BC1C03" w:rsidRPr="00BC1C03" w:rsidRDefault="00BC1C03" w:rsidP="00BC1C03">
            <w:pPr>
              <w:spacing w:after="0" w:line="240" w:lineRule="auto"/>
              <w:jc w:val="center"/>
              <w:rPr>
                <w:rFonts w:eastAsia="Times New Roman"/>
                <w:b/>
                <w:bCs/>
                <w:color w:val="FFFFFF"/>
                <w:lang w:eastAsia="es-CO"/>
              </w:rPr>
            </w:pPr>
            <w:r w:rsidRPr="00BC1C03">
              <w:rPr>
                <w:rFonts w:eastAsia="Times New Roman"/>
                <w:b/>
                <w:bCs/>
                <w:color w:val="FFFFFF"/>
                <w:lang w:eastAsia="es-CO"/>
              </w:rPr>
              <w:t>Resolución</w:t>
            </w:r>
          </w:p>
        </w:tc>
        <w:tc>
          <w:tcPr>
            <w:tcW w:w="1134" w:type="dxa"/>
            <w:tcBorders>
              <w:top w:val="nil"/>
              <w:left w:val="nil"/>
              <w:bottom w:val="nil"/>
              <w:right w:val="single" w:sz="4" w:space="0" w:color="auto"/>
            </w:tcBorders>
            <w:shd w:val="clear" w:color="auto" w:fill="17365D"/>
            <w:noWrap/>
            <w:vAlign w:val="bottom"/>
            <w:hideMark/>
          </w:tcPr>
          <w:p w14:paraId="5DAB990A" w14:textId="77777777" w:rsidR="00BC1C03" w:rsidRPr="00BC1C03" w:rsidRDefault="00BC1C03" w:rsidP="00BC1C03">
            <w:pPr>
              <w:spacing w:after="0" w:line="240" w:lineRule="auto"/>
              <w:jc w:val="center"/>
              <w:rPr>
                <w:rFonts w:eastAsia="Times New Roman"/>
                <w:b/>
                <w:bCs/>
                <w:color w:val="FFFFFF"/>
                <w:lang w:eastAsia="es-CO"/>
              </w:rPr>
            </w:pPr>
            <w:r w:rsidRPr="00BC1C03">
              <w:rPr>
                <w:rFonts w:eastAsia="Times New Roman"/>
                <w:b/>
                <w:bCs/>
                <w:color w:val="FFFFFF"/>
                <w:lang w:eastAsia="es-CO"/>
              </w:rPr>
              <w:t>Valor</w:t>
            </w:r>
          </w:p>
        </w:tc>
        <w:tc>
          <w:tcPr>
            <w:tcW w:w="1559" w:type="dxa"/>
            <w:tcBorders>
              <w:top w:val="nil"/>
              <w:left w:val="nil"/>
              <w:bottom w:val="nil"/>
              <w:right w:val="single" w:sz="8" w:space="0" w:color="auto"/>
            </w:tcBorders>
            <w:shd w:val="clear" w:color="auto" w:fill="17365D"/>
            <w:noWrap/>
            <w:vAlign w:val="bottom"/>
            <w:hideMark/>
          </w:tcPr>
          <w:p w14:paraId="1B1AECAD" w14:textId="77777777" w:rsidR="00BC1C03" w:rsidRPr="00BC1C03" w:rsidRDefault="00BC1C03" w:rsidP="00BC1C03">
            <w:pPr>
              <w:spacing w:after="0" w:line="240" w:lineRule="auto"/>
              <w:jc w:val="center"/>
              <w:rPr>
                <w:rFonts w:eastAsia="Times New Roman"/>
                <w:b/>
                <w:bCs/>
                <w:color w:val="FFFFFF"/>
                <w:lang w:eastAsia="es-CO"/>
              </w:rPr>
            </w:pPr>
            <w:r w:rsidRPr="00BC1C03">
              <w:rPr>
                <w:rFonts w:eastAsia="Times New Roman"/>
                <w:b/>
                <w:bCs/>
                <w:color w:val="FFFFFF"/>
                <w:lang w:eastAsia="es-CO"/>
              </w:rPr>
              <w:t>Fecha</w:t>
            </w:r>
          </w:p>
        </w:tc>
      </w:tr>
      <w:tr w:rsidR="00BC1C03" w:rsidRPr="00BC1C03" w14:paraId="305C9B08" w14:textId="77777777" w:rsidTr="00481592">
        <w:trPr>
          <w:trHeight w:val="577"/>
        </w:trPr>
        <w:tc>
          <w:tcPr>
            <w:tcW w:w="693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2B63180" w14:textId="77777777" w:rsidR="00BC1C03" w:rsidRPr="00481592" w:rsidRDefault="00BC1C03" w:rsidP="00BC1C03">
            <w:pPr>
              <w:spacing w:after="0" w:line="240" w:lineRule="auto"/>
              <w:jc w:val="both"/>
              <w:rPr>
                <w:rFonts w:ascii="Arial" w:eastAsia="Times New Roman" w:hAnsi="Arial" w:cs="Arial"/>
                <w:color w:val="000000"/>
                <w:sz w:val="16"/>
                <w:szCs w:val="16"/>
                <w:lang w:eastAsia="es-CO"/>
              </w:rPr>
            </w:pPr>
            <w:r w:rsidRPr="00481592">
              <w:rPr>
                <w:rFonts w:ascii="Arial" w:eastAsia="Times New Roman" w:hAnsi="Arial" w:cs="Arial"/>
                <w:color w:val="000000"/>
                <w:sz w:val="16"/>
                <w:szCs w:val="16"/>
                <w:lang w:eastAsia="es-CO"/>
              </w:rPr>
              <w:t>ACTIVIDADES DE APOYO A LA GESTIÓN Y SEGUIMIENTO DEL PROYECTO "NORMALIZACIÓN DEL SERVICIO DE ENERGÍA ELÉCTRICA EN BARRIOS SUBNORMALES DE LOS MUNICIPIOS DEL SISTEMA INTERCONECTADO NACIONAL"</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5295E72C" w14:textId="111B99F3" w:rsidR="00BC1C03" w:rsidRPr="00BC1C03" w:rsidRDefault="00BC1C03" w:rsidP="00BC1C03">
            <w:pPr>
              <w:spacing w:after="0" w:line="240" w:lineRule="auto"/>
              <w:rPr>
                <w:rFonts w:ascii="Arial" w:eastAsia="Times New Roman" w:hAnsi="Arial" w:cs="Arial"/>
                <w:color w:val="000000"/>
                <w:sz w:val="18"/>
                <w:szCs w:val="18"/>
                <w:lang w:eastAsia="es-CO"/>
              </w:rPr>
            </w:pPr>
            <w:r w:rsidRPr="00BC1C03">
              <w:rPr>
                <w:rFonts w:ascii="Arial" w:eastAsia="Times New Roman" w:hAnsi="Arial" w:cs="Arial"/>
                <w:color w:val="000000"/>
                <w:sz w:val="18"/>
                <w:szCs w:val="18"/>
                <w:lang w:eastAsia="es-CO"/>
              </w:rPr>
              <w:t xml:space="preserve"> $ </w:t>
            </w:r>
            <w:r w:rsidR="00481592">
              <w:rPr>
                <w:rFonts w:ascii="Arial" w:eastAsia="Times New Roman" w:hAnsi="Arial" w:cs="Arial"/>
                <w:color w:val="000000"/>
                <w:sz w:val="18"/>
                <w:szCs w:val="18"/>
                <w:lang w:eastAsia="es-CO"/>
              </w:rPr>
              <w:t xml:space="preserve">75                       </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14:paraId="5BD25D92" w14:textId="39B1DD49" w:rsidR="00BC1C03" w:rsidRPr="00BC1C03" w:rsidRDefault="00BC1C03" w:rsidP="00BC1C03">
            <w:pPr>
              <w:spacing w:after="0" w:line="240" w:lineRule="auto"/>
              <w:jc w:val="center"/>
              <w:rPr>
                <w:rFonts w:ascii="Arial" w:eastAsia="Times New Roman" w:hAnsi="Arial" w:cs="Arial"/>
                <w:color w:val="000000"/>
                <w:sz w:val="18"/>
                <w:szCs w:val="18"/>
                <w:lang w:eastAsia="es-CO"/>
              </w:rPr>
            </w:pPr>
            <w:r w:rsidRPr="00BC1C03">
              <w:rPr>
                <w:rFonts w:ascii="Arial" w:eastAsia="Times New Roman" w:hAnsi="Arial" w:cs="Arial"/>
                <w:color w:val="000000"/>
                <w:sz w:val="18"/>
                <w:szCs w:val="18"/>
                <w:lang w:eastAsia="es-CO"/>
              </w:rPr>
              <w:t>I</w:t>
            </w:r>
            <w:r w:rsidR="00576641">
              <w:rPr>
                <w:rFonts w:ascii="Arial" w:eastAsia="Times New Roman" w:hAnsi="Arial" w:cs="Arial"/>
                <w:color w:val="000000"/>
                <w:sz w:val="18"/>
                <w:szCs w:val="18"/>
                <w:lang w:eastAsia="es-CO"/>
              </w:rPr>
              <w:t>I</w:t>
            </w:r>
            <w:r w:rsidRPr="00BC1C03">
              <w:rPr>
                <w:rFonts w:ascii="Arial" w:eastAsia="Times New Roman" w:hAnsi="Arial" w:cs="Arial"/>
                <w:color w:val="000000"/>
                <w:sz w:val="18"/>
                <w:szCs w:val="18"/>
                <w:lang w:eastAsia="es-CO"/>
              </w:rPr>
              <w:t xml:space="preserve"> TRIMESTRE DE 2018</w:t>
            </w:r>
          </w:p>
        </w:tc>
      </w:tr>
      <w:tr w:rsidR="00BC1C03" w:rsidRPr="00BC1C03" w14:paraId="489365CD" w14:textId="77777777" w:rsidTr="00BC1C03">
        <w:trPr>
          <w:trHeight w:val="315"/>
        </w:trPr>
        <w:tc>
          <w:tcPr>
            <w:tcW w:w="8070" w:type="dxa"/>
            <w:gridSpan w:val="2"/>
            <w:tcBorders>
              <w:top w:val="single" w:sz="4" w:space="0" w:color="auto"/>
              <w:left w:val="single" w:sz="8" w:space="0" w:color="auto"/>
              <w:bottom w:val="single" w:sz="8" w:space="0" w:color="auto"/>
              <w:right w:val="single" w:sz="4" w:space="0" w:color="auto"/>
            </w:tcBorders>
            <w:shd w:val="clear" w:color="auto" w:fill="17365D"/>
            <w:noWrap/>
            <w:vAlign w:val="bottom"/>
            <w:hideMark/>
          </w:tcPr>
          <w:p w14:paraId="6BB45872" w14:textId="77777777" w:rsidR="00BC1C03" w:rsidRPr="00BC1C03" w:rsidRDefault="00BC1C03" w:rsidP="00BC1C03">
            <w:pPr>
              <w:spacing w:after="0" w:line="240" w:lineRule="auto"/>
              <w:jc w:val="center"/>
              <w:rPr>
                <w:rFonts w:ascii="Arial" w:eastAsia="Times New Roman" w:hAnsi="Arial" w:cs="Arial"/>
                <w:b/>
                <w:bCs/>
                <w:color w:val="FFFFFF"/>
                <w:sz w:val="20"/>
                <w:szCs w:val="20"/>
                <w:lang w:eastAsia="es-CO"/>
              </w:rPr>
            </w:pPr>
            <w:r w:rsidRPr="00BC1C03">
              <w:rPr>
                <w:rFonts w:ascii="Arial" w:eastAsia="Times New Roman" w:hAnsi="Arial" w:cs="Arial"/>
                <w:b/>
                <w:bCs/>
                <w:color w:val="FFFFFF"/>
                <w:sz w:val="20"/>
                <w:szCs w:val="20"/>
                <w:lang w:eastAsia="es-CO"/>
              </w:rPr>
              <w:t>TOTAL</w:t>
            </w:r>
          </w:p>
        </w:tc>
        <w:tc>
          <w:tcPr>
            <w:tcW w:w="1559" w:type="dxa"/>
            <w:tcBorders>
              <w:top w:val="nil"/>
              <w:left w:val="nil"/>
              <w:bottom w:val="single" w:sz="8" w:space="0" w:color="auto"/>
              <w:right w:val="single" w:sz="8" w:space="0" w:color="auto"/>
            </w:tcBorders>
            <w:shd w:val="clear" w:color="auto" w:fill="17365D"/>
            <w:noWrap/>
            <w:vAlign w:val="bottom"/>
            <w:hideMark/>
          </w:tcPr>
          <w:p w14:paraId="00B205C1" w14:textId="7D74FD47" w:rsidR="00BC1C03" w:rsidRPr="00BC1C03" w:rsidRDefault="00BC1C03" w:rsidP="00BC1C03">
            <w:pPr>
              <w:spacing w:after="0" w:line="240" w:lineRule="auto"/>
              <w:rPr>
                <w:rFonts w:ascii="Arial" w:eastAsia="Times New Roman" w:hAnsi="Arial" w:cs="Arial"/>
                <w:b/>
                <w:bCs/>
                <w:color w:val="FFFFFF"/>
                <w:sz w:val="20"/>
                <w:szCs w:val="20"/>
                <w:lang w:eastAsia="es-CO"/>
              </w:rPr>
            </w:pPr>
            <w:r w:rsidRPr="00BC1C03">
              <w:rPr>
                <w:rFonts w:ascii="Arial" w:eastAsia="Times New Roman" w:hAnsi="Arial" w:cs="Arial"/>
                <w:b/>
                <w:bCs/>
                <w:color w:val="FFFFFF"/>
                <w:sz w:val="20"/>
                <w:szCs w:val="20"/>
                <w:lang w:eastAsia="es-CO"/>
              </w:rPr>
              <w:t xml:space="preserve"> $                75 </w:t>
            </w:r>
          </w:p>
        </w:tc>
      </w:tr>
    </w:tbl>
    <w:p w14:paraId="2AB1739E" w14:textId="77777777" w:rsidR="00BC1C03" w:rsidRPr="00BC1C03" w:rsidRDefault="00BC1C03" w:rsidP="00BC1C03">
      <w:pPr>
        <w:pStyle w:val="Prrafodelista"/>
        <w:spacing w:after="0" w:line="240" w:lineRule="auto"/>
        <w:ind w:left="360"/>
        <w:jc w:val="center"/>
        <w:rPr>
          <w:rFonts w:eastAsia="Times New Roman" w:cs="Arial"/>
          <w:noProof/>
          <w:color w:val="002060"/>
          <w:sz w:val="18"/>
          <w:szCs w:val="18"/>
          <w:lang w:eastAsia="es-CO"/>
        </w:rPr>
      </w:pPr>
      <w:r w:rsidRPr="00BC1C03">
        <w:rPr>
          <w:rFonts w:eastAsia="Times New Roman" w:cs="Arial"/>
          <w:noProof/>
          <w:sz w:val="18"/>
          <w:szCs w:val="18"/>
          <w:lang w:eastAsia="es-CO"/>
        </w:rPr>
        <w:t>Cifras en millones de pesos</w:t>
      </w:r>
    </w:p>
    <w:p w14:paraId="74AD39B4" w14:textId="77777777" w:rsidR="00BC1C03" w:rsidRPr="00C20FD6" w:rsidRDefault="00BC1C03" w:rsidP="00BC1C03">
      <w:pPr>
        <w:spacing w:after="0" w:line="240" w:lineRule="auto"/>
        <w:jc w:val="center"/>
        <w:rPr>
          <w:rFonts w:ascii="Arial" w:eastAsia="Calibri" w:hAnsi="Arial" w:cs="Arial"/>
        </w:rPr>
      </w:pPr>
      <w:r w:rsidRPr="00BC1C03">
        <w:rPr>
          <w:rFonts w:ascii="Arial" w:eastAsia="Calibri" w:hAnsi="Arial" w:cs="Arial"/>
          <w:sz w:val="16"/>
          <w:szCs w:val="16"/>
        </w:rPr>
        <w:lastRenderedPageBreak/>
        <w:t>Fuente: SIIF Nación</w:t>
      </w:r>
    </w:p>
    <w:p w14:paraId="3F44ED4E" w14:textId="77777777" w:rsidR="00BC1C03" w:rsidRPr="00602C9E" w:rsidRDefault="00BC1C03" w:rsidP="008B4625">
      <w:pPr>
        <w:numPr>
          <w:ilvl w:val="0"/>
          <w:numId w:val="29"/>
        </w:numPr>
        <w:spacing w:after="0" w:line="240" w:lineRule="auto"/>
        <w:ind w:left="426"/>
        <w:jc w:val="both"/>
        <w:rPr>
          <w:rFonts w:ascii="Arial" w:eastAsia="Times New Roman" w:hAnsi="Arial" w:cs="Arial"/>
          <w:b/>
          <w:lang w:val="es-ES" w:eastAsia="es-ES"/>
        </w:rPr>
      </w:pPr>
      <w:r w:rsidRPr="00602C9E">
        <w:rPr>
          <w:rFonts w:ascii="Arial" w:eastAsia="Times New Roman" w:hAnsi="Arial" w:cs="Arial"/>
          <w:b/>
          <w:lang w:val="es-ES" w:eastAsia="es-ES"/>
        </w:rPr>
        <w:t>Apoyo y Financiación de Programas de Fuentes No Convencionales de Energía y Gestión Eficiente de Energía a Nivel Nacional:</w:t>
      </w:r>
    </w:p>
    <w:p w14:paraId="5250AE43" w14:textId="77777777" w:rsidR="00BC1C03" w:rsidRPr="00602C9E" w:rsidRDefault="00BC1C03" w:rsidP="00BC1C03">
      <w:pPr>
        <w:spacing w:after="0" w:line="240" w:lineRule="auto"/>
        <w:ind w:left="66"/>
        <w:jc w:val="both"/>
        <w:rPr>
          <w:rFonts w:ascii="Arial" w:eastAsia="Times New Roman" w:hAnsi="Arial" w:cs="Arial"/>
          <w:b/>
          <w:lang w:val="es-ES" w:eastAsia="es-ES"/>
        </w:rPr>
      </w:pPr>
    </w:p>
    <w:p w14:paraId="7C3A33E0" w14:textId="77777777" w:rsidR="00BC1C03" w:rsidRPr="00A201DA" w:rsidRDefault="00BC1C03" w:rsidP="00BC1C03">
      <w:pPr>
        <w:spacing w:after="0" w:line="240" w:lineRule="auto"/>
        <w:ind w:left="66"/>
        <w:jc w:val="both"/>
        <w:rPr>
          <w:rFonts w:ascii="Arial" w:eastAsia="Times New Roman" w:hAnsi="Arial" w:cs="Arial"/>
          <w:highlight w:val="yellow"/>
          <w:lang w:val="es-ES" w:eastAsia="es-ES"/>
        </w:rPr>
      </w:pPr>
      <w:r w:rsidRPr="00602C9E">
        <w:rPr>
          <w:rFonts w:ascii="Arial" w:eastAsia="Times New Roman" w:hAnsi="Arial" w:cs="Arial"/>
          <w:lang w:val="es-ES" w:eastAsia="es-ES"/>
        </w:rPr>
        <w:t>Este proyecto cuenta con una apropiación para el 2018 de $34.000 millones de pesos, de los cuales se comprometieron recursos por valor $91 millones de pesos, ejecutando así un 0,27%. Al cierre del segundo trimestre se ejecutaron $37 millones de pesos en obligaciones.</w:t>
      </w:r>
    </w:p>
    <w:p w14:paraId="5FE51C06" w14:textId="77777777" w:rsidR="00BC1C03" w:rsidRPr="00602C9E" w:rsidRDefault="00BC1C03" w:rsidP="00BC1C03">
      <w:pPr>
        <w:spacing w:after="0" w:line="240" w:lineRule="auto"/>
        <w:ind w:left="66"/>
        <w:jc w:val="both"/>
        <w:rPr>
          <w:rFonts w:ascii="Arial" w:eastAsia="Times New Roman" w:hAnsi="Arial" w:cs="Arial"/>
          <w:lang w:val="es-ES" w:eastAsia="es-ES"/>
        </w:rPr>
      </w:pPr>
    </w:p>
    <w:p w14:paraId="7370F190" w14:textId="77777777" w:rsidR="00BC1C03" w:rsidRPr="00602C9E" w:rsidRDefault="00BC1C03" w:rsidP="008B4625">
      <w:pPr>
        <w:numPr>
          <w:ilvl w:val="0"/>
          <w:numId w:val="29"/>
        </w:numPr>
        <w:spacing w:after="0" w:line="240" w:lineRule="auto"/>
        <w:ind w:left="426"/>
        <w:jc w:val="both"/>
        <w:rPr>
          <w:rFonts w:ascii="Arial" w:eastAsia="Times New Roman" w:hAnsi="Arial" w:cs="Arial"/>
          <w:lang w:val="es-ES" w:eastAsia="es-ES"/>
        </w:rPr>
      </w:pPr>
      <w:r w:rsidRPr="00602C9E">
        <w:rPr>
          <w:rFonts w:ascii="Arial" w:eastAsia="Times New Roman" w:hAnsi="Arial" w:cs="Arial"/>
          <w:b/>
          <w:lang w:val="es-ES" w:eastAsia="es-ES"/>
        </w:rPr>
        <w:t>Apoyo al mejoramiento del desempeño energético en la región caribe nacional:</w:t>
      </w:r>
    </w:p>
    <w:p w14:paraId="4EF003EB" w14:textId="77777777" w:rsidR="00BC1C03" w:rsidRPr="00602C9E" w:rsidRDefault="00BC1C03" w:rsidP="00BC1C03">
      <w:pPr>
        <w:spacing w:after="0" w:line="240" w:lineRule="auto"/>
        <w:jc w:val="both"/>
        <w:rPr>
          <w:rFonts w:ascii="Arial" w:eastAsia="Times New Roman" w:hAnsi="Arial" w:cs="Arial"/>
          <w:b/>
          <w:lang w:val="es-ES" w:eastAsia="es-ES"/>
        </w:rPr>
      </w:pPr>
    </w:p>
    <w:p w14:paraId="68D329B5" w14:textId="77777777" w:rsidR="00BC1C03" w:rsidRPr="00602C9E" w:rsidRDefault="00BC1C03" w:rsidP="00BC1C03">
      <w:pPr>
        <w:spacing w:after="0" w:line="240" w:lineRule="auto"/>
        <w:jc w:val="both"/>
        <w:rPr>
          <w:rFonts w:ascii="Arial" w:eastAsia="Times New Roman" w:hAnsi="Arial" w:cs="Arial"/>
          <w:lang w:val="es-ES" w:eastAsia="es-ES"/>
        </w:rPr>
      </w:pPr>
      <w:r w:rsidRPr="00602C9E">
        <w:rPr>
          <w:rFonts w:ascii="Arial" w:eastAsia="Times New Roman" w:hAnsi="Arial" w:cs="Arial"/>
          <w:lang w:val="es-ES" w:eastAsia="es-ES"/>
        </w:rPr>
        <w:t>Este proyecto cuenta con una apropiación para la vigencia 2018 de $1.600 millones de pesos.</w:t>
      </w:r>
      <w:r>
        <w:rPr>
          <w:rFonts w:ascii="Arial" w:eastAsia="Times New Roman" w:hAnsi="Arial" w:cs="Arial"/>
          <w:lang w:val="es-ES" w:eastAsia="es-ES"/>
        </w:rPr>
        <w:t xml:space="preserve"> Durante el mes de abril de 2018 estos recursos fueron aplazados; por ende, a</w:t>
      </w:r>
      <w:r w:rsidRPr="00602C9E">
        <w:rPr>
          <w:rFonts w:ascii="Arial" w:eastAsia="Times New Roman" w:hAnsi="Arial" w:cs="Arial"/>
          <w:lang w:val="es-ES" w:eastAsia="es-ES"/>
        </w:rPr>
        <w:t>l cierre del segundo trimestre</w:t>
      </w:r>
      <w:r>
        <w:rPr>
          <w:rFonts w:ascii="Arial" w:eastAsia="Times New Roman" w:hAnsi="Arial" w:cs="Arial"/>
          <w:lang w:val="es-ES" w:eastAsia="es-ES"/>
        </w:rPr>
        <w:t xml:space="preserve">, el proyecto </w:t>
      </w:r>
      <w:r w:rsidRPr="00602C9E">
        <w:rPr>
          <w:rFonts w:ascii="Arial" w:eastAsia="Times New Roman" w:hAnsi="Arial" w:cs="Arial"/>
          <w:lang w:val="es-ES" w:eastAsia="es-ES"/>
        </w:rPr>
        <w:t>no presenta</w:t>
      </w:r>
      <w:r>
        <w:rPr>
          <w:rFonts w:ascii="Arial" w:eastAsia="Times New Roman" w:hAnsi="Arial" w:cs="Arial"/>
          <w:lang w:val="es-ES" w:eastAsia="es-ES"/>
        </w:rPr>
        <w:t xml:space="preserve"> ejecución en compromisos ni en obligaciones. </w:t>
      </w:r>
    </w:p>
    <w:p w14:paraId="07F3EEB5" w14:textId="77777777" w:rsidR="00BC1C03" w:rsidRPr="00602C9E" w:rsidRDefault="00BC1C03" w:rsidP="00BC1C03">
      <w:pPr>
        <w:spacing w:after="0" w:line="240" w:lineRule="auto"/>
        <w:ind w:left="66"/>
        <w:jc w:val="both"/>
        <w:rPr>
          <w:rFonts w:ascii="Arial" w:eastAsia="Times New Roman" w:hAnsi="Arial" w:cs="Arial"/>
          <w:color w:val="FF0000"/>
          <w:lang w:val="es-ES" w:eastAsia="es-ES"/>
        </w:rPr>
      </w:pPr>
    </w:p>
    <w:p w14:paraId="34194316" w14:textId="77777777" w:rsidR="00BC1C03" w:rsidRPr="00602C9E" w:rsidRDefault="00BC1C03" w:rsidP="00BC1C03">
      <w:pPr>
        <w:numPr>
          <w:ilvl w:val="0"/>
          <w:numId w:val="25"/>
        </w:numPr>
        <w:spacing w:after="0" w:line="240" w:lineRule="auto"/>
        <w:jc w:val="both"/>
        <w:rPr>
          <w:rFonts w:ascii="Arial" w:eastAsia="Times New Roman" w:hAnsi="Arial" w:cs="Arial"/>
          <w:b/>
          <w:u w:val="single"/>
          <w:lang w:val="es-ES" w:eastAsia="es-ES"/>
        </w:rPr>
      </w:pPr>
      <w:r w:rsidRPr="00602C9E">
        <w:rPr>
          <w:rFonts w:ascii="Arial" w:eastAsia="Times New Roman" w:hAnsi="Arial" w:cs="Arial"/>
          <w:b/>
          <w:u w:val="single"/>
          <w:lang w:val="es-ES" w:eastAsia="es-ES"/>
        </w:rPr>
        <w:t xml:space="preserve">Dirección de Formalización Minera </w:t>
      </w:r>
    </w:p>
    <w:p w14:paraId="482F78B6" w14:textId="77777777" w:rsidR="00BC1C03" w:rsidRPr="00602C9E" w:rsidRDefault="00BC1C03" w:rsidP="00BC1C03">
      <w:pPr>
        <w:spacing w:after="0" w:line="240" w:lineRule="auto"/>
        <w:ind w:left="720"/>
        <w:jc w:val="both"/>
        <w:rPr>
          <w:rFonts w:ascii="Arial" w:eastAsia="Times New Roman" w:hAnsi="Arial" w:cs="Arial"/>
          <w:b/>
          <w:u w:val="single"/>
          <w:lang w:val="es-ES" w:eastAsia="es-ES"/>
        </w:rPr>
      </w:pPr>
    </w:p>
    <w:p w14:paraId="6036B029" w14:textId="77777777" w:rsidR="00BC1C03" w:rsidRDefault="00BC1C03" w:rsidP="00BC1C03">
      <w:pPr>
        <w:spacing w:after="0" w:line="240" w:lineRule="auto"/>
        <w:jc w:val="both"/>
        <w:rPr>
          <w:rFonts w:ascii="Arial" w:eastAsia="Arial" w:hAnsi="Arial" w:cs="Arial"/>
          <w:color w:val="FF0000"/>
        </w:rPr>
      </w:pPr>
      <w:r w:rsidRPr="00602C9E">
        <w:rPr>
          <w:rFonts w:ascii="Arial" w:eastAsia="Arial" w:hAnsi="Arial" w:cs="Arial"/>
        </w:rPr>
        <w:t>La Dirección de Formalización Minera para el año 2018 cuenta con cinco proyectos con una apropiación total</w:t>
      </w:r>
      <w:r>
        <w:rPr>
          <w:rFonts w:ascii="Arial" w:eastAsia="Arial" w:hAnsi="Arial" w:cs="Arial"/>
        </w:rPr>
        <w:t xml:space="preserve"> vigente </w:t>
      </w:r>
      <w:r w:rsidRPr="00602C9E">
        <w:rPr>
          <w:rFonts w:ascii="Arial" w:eastAsia="Arial" w:hAnsi="Arial" w:cs="Arial"/>
        </w:rPr>
        <w:t>de $36.7</w:t>
      </w:r>
      <w:r>
        <w:rPr>
          <w:rFonts w:ascii="Arial" w:eastAsia="Arial" w:hAnsi="Arial" w:cs="Arial"/>
        </w:rPr>
        <w:t>60</w:t>
      </w:r>
      <w:r w:rsidRPr="00602C9E">
        <w:rPr>
          <w:rFonts w:ascii="Arial" w:eastAsia="Arial" w:hAnsi="Arial" w:cs="Arial"/>
        </w:rPr>
        <w:t xml:space="preserve"> millones de pesos, de los cuales se comprometieron recursos por $</w:t>
      </w:r>
      <w:r>
        <w:rPr>
          <w:rFonts w:ascii="Arial" w:eastAsia="Arial" w:hAnsi="Arial" w:cs="Arial"/>
        </w:rPr>
        <w:t>22.279</w:t>
      </w:r>
      <w:r w:rsidRPr="00602C9E">
        <w:rPr>
          <w:rFonts w:ascii="Arial" w:eastAsia="Arial" w:hAnsi="Arial" w:cs="Arial"/>
        </w:rPr>
        <w:t xml:space="preserve"> millones de pesos, equivalentes a un </w:t>
      </w:r>
      <w:r>
        <w:rPr>
          <w:rFonts w:ascii="Arial" w:eastAsia="Arial" w:hAnsi="Arial" w:cs="Arial"/>
        </w:rPr>
        <w:t>65</w:t>
      </w:r>
      <w:r w:rsidRPr="00602C9E">
        <w:rPr>
          <w:rFonts w:ascii="Arial" w:eastAsia="Arial" w:hAnsi="Arial" w:cs="Arial"/>
        </w:rPr>
        <w:t>,</w:t>
      </w:r>
      <w:r>
        <w:rPr>
          <w:rFonts w:ascii="Arial" w:eastAsia="Arial" w:hAnsi="Arial" w:cs="Arial"/>
        </w:rPr>
        <w:t xml:space="preserve">99%. </w:t>
      </w:r>
    </w:p>
    <w:p w14:paraId="2D111121" w14:textId="77777777" w:rsidR="00BC1C03" w:rsidRPr="003A01FF" w:rsidRDefault="00BC1C03" w:rsidP="00BC1C03">
      <w:pPr>
        <w:spacing w:after="0" w:line="240" w:lineRule="auto"/>
        <w:jc w:val="both"/>
        <w:rPr>
          <w:rFonts w:ascii="Arial" w:eastAsia="Arial" w:hAnsi="Arial" w:cs="Arial"/>
          <w:color w:val="FF0000"/>
        </w:rPr>
      </w:pPr>
    </w:p>
    <w:p w14:paraId="02CAD89D" w14:textId="77777777" w:rsidR="00BC1C03" w:rsidRPr="00F17020" w:rsidRDefault="00BC1C03" w:rsidP="00BC1C03">
      <w:pPr>
        <w:spacing w:after="0" w:line="240" w:lineRule="auto"/>
        <w:jc w:val="both"/>
        <w:rPr>
          <w:rFonts w:ascii="Arial" w:eastAsia="Arial" w:hAnsi="Arial" w:cs="Arial"/>
          <w:color w:val="FF0000"/>
        </w:rPr>
      </w:pPr>
      <w:r w:rsidRPr="00602C9E">
        <w:rPr>
          <w:rFonts w:ascii="Arial" w:eastAsia="Arial" w:hAnsi="Arial" w:cs="Arial"/>
        </w:rPr>
        <w:t xml:space="preserve">En obligaciones se ejecutaron al cierre del </w:t>
      </w:r>
      <w:r>
        <w:rPr>
          <w:rFonts w:ascii="Arial" w:eastAsia="Arial" w:hAnsi="Arial" w:cs="Arial"/>
        </w:rPr>
        <w:t xml:space="preserve">primer semestre </w:t>
      </w:r>
      <w:r w:rsidRPr="00602C9E">
        <w:rPr>
          <w:rFonts w:ascii="Arial" w:eastAsia="Arial" w:hAnsi="Arial" w:cs="Arial"/>
        </w:rPr>
        <w:t>de 2018 recursos por $</w:t>
      </w:r>
      <w:r>
        <w:rPr>
          <w:rFonts w:ascii="Arial" w:eastAsia="Arial" w:hAnsi="Arial" w:cs="Arial"/>
        </w:rPr>
        <w:t>12.225</w:t>
      </w:r>
      <w:r w:rsidRPr="00602C9E">
        <w:rPr>
          <w:rFonts w:ascii="Arial" w:eastAsia="Arial" w:hAnsi="Arial" w:cs="Arial"/>
        </w:rPr>
        <w:t xml:space="preserve"> millo</w:t>
      </w:r>
      <w:r>
        <w:rPr>
          <w:rFonts w:ascii="Arial" w:eastAsia="Arial" w:hAnsi="Arial" w:cs="Arial"/>
        </w:rPr>
        <w:t>nes de pesos equivalentes a un 36</w:t>
      </w:r>
      <w:r w:rsidRPr="00602C9E">
        <w:rPr>
          <w:rFonts w:ascii="Arial" w:eastAsia="Arial" w:hAnsi="Arial" w:cs="Arial"/>
        </w:rPr>
        <w:t>,</w:t>
      </w:r>
      <w:r>
        <w:rPr>
          <w:rFonts w:ascii="Arial" w:eastAsia="Arial" w:hAnsi="Arial" w:cs="Arial"/>
        </w:rPr>
        <w:t>21</w:t>
      </w:r>
      <w:r w:rsidRPr="00602C9E">
        <w:rPr>
          <w:rFonts w:ascii="Arial" w:eastAsia="Arial" w:hAnsi="Arial" w:cs="Arial"/>
        </w:rPr>
        <w:t>% de ejecución.</w:t>
      </w:r>
      <w:r>
        <w:rPr>
          <w:rFonts w:ascii="Arial" w:eastAsia="Arial" w:hAnsi="Arial" w:cs="Arial"/>
        </w:rPr>
        <w:t xml:space="preserve"> </w:t>
      </w:r>
    </w:p>
    <w:p w14:paraId="3AE4A64C" w14:textId="77777777" w:rsidR="00BC1C03" w:rsidRPr="00602C9E" w:rsidRDefault="00BC1C03" w:rsidP="00BC1C03">
      <w:pPr>
        <w:spacing w:after="0" w:line="240" w:lineRule="auto"/>
        <w:jc w:val="both"/>
        <w:rPr>
          <w:rFonts w:ascii="Arial" w:eastAsia="Arial" w:hAnsi="Arial" w:cs="Arial"/>
        </w:rPr>
      </w:pPr>
    </w:p>
    <w:p w14:paraId="70CC9257" w14:textId="77777777" w:rsidR="00BC1C03" w:rsidRDefault="00BC1C03" w:rsidP="00BC1C03">
      <w:pPr>
        <w:spacing w:after="0" w:line="240" w:lineRule="auto"/>
        <w:jc w:val="both"/>
        <w:rPr>
          <w:rFonts w:ascii="Arial" w:eastAsia="Arial" w:hAnsi="Arial" w:cs="Arial"/>
        </w:rPr>
      </w:pPr>
      <w:r w:rsidRPr="00602C9E">
        <w:rPr>
          <w:rFonts w:ascii="Arial" w:eastAsia="Arial" w:hAnsi="Arial" w:cs="Arial"/>
        </w:rPr>
        <w:t xml:space="preserve">La ejecución de los proyectos se realizó de la siguiente manera: </w:t>
      </w:r>
    </w:p>
    <w:p w14:paraId="4D7D466E" w14:textId="77777777" w:rsidR="00C02282" w:rsidRPr="006A67B4" w:rsidRDefault="00C02282" w:rsidP="00C02282">
      <w:pPr>
        <w:spacing w:after="0" w:line="240" w:lineRule="auto"/>
        <w:jc w:val="both"/>
        <w:rPr>
          <w:rFonts w:ascii="Arial" w:eastAsia="Arial" w:hAnsi="Arial" w:cs="Arial"/>
          <w:highlight w:val="yellow"/>
        </w:rPr>
      </w:pPr>
    </w:p>
    <w:p w14:paraId="302BF8EB" w14:textId="77777777" w:rsidR="00BC1C03" w:rsidRPr="003A01FF" w:rsidRDefault="00BC1C03" w:rsidP="008B4625">
      <w:pPr>
        <w:numPr>
          <w:ilvl w:val="0"/>
          <w:numId w:val="26"/>
        </w:numPr>
        <w:spacing w:after="0" w:line="240" w:lineRule="auto"/>
        <w:ind w:left="426"/>
        <w:jc w:val="both"/>
        <w:rPr>
          <w:rFonts w:ascii="Arial" w:eastAsia="Times New Roman" w:hAnsi="Arial" w:cs="Arial"/>
          <w:b/>
          <w:lang w:val="es-ES" w:eastAsia="es-ES"/>
        </w:rPr>
      </w:pPr>
      <w:r w:rsidRPr="003A01FF">
        <w:rPr>
          <w:rFonts w:ascii="Arial" w:eastAsia="Times New Roman" w:hAnsi="Arial" w:cs="Arial"/>
          <w:b/>
          <w:lang w:val="es-ES" w:eastAsia="es-ES"/>
        </w:rPr>
        <w:t>Construcción e Implementación del Programa de Formalización Minera:</w:t>
      </w:r>
    </w:p>
    <w:p w14:paraId="21F91C66" w14:textId="77777777" w:rsidR="00BC1C03" w:rsidRPr="003A01FF" w:rsidRDefault="00BC1C03" w:rsidP="00BC1C03">
      <w:pPr>
        <w:spacing w:after="0" w:line="240" w:lineRule="auto"/>
        <w:ind w:left="1080"/>
        <w:jc w:val="both"/>
        <w:rPr>
          <w:rFonts w:ascii="Arial" w:eastAsia="Times New Roman" w:hAnsi="Arial" w:cs="Arial"/>
          <w:b/>
          <w:lang w:val="es-ES" w:eastAsia="es-ES"/>
        </w:rPr>
      </w:pPr>
    </w:p>
    <w:p w14:paraId="6CC34467" w14:textId="77777777" w:rsidR="00BC1C03" w:rsidRPr="003A01FF" w:rsidRDefault="00BC1C03" w:rsidP="00BC1C03">
      <w:pPr>
        <w:spacing w:after="0" w:line="240" w:lineRule="auto"/>
        <w:jc w:val="both"/>
        <w:rPr>
          <w:rFonts w:ascii="Arial" w:eastAsia="Times New Roman" w:hAnsi="Arial" w:cs="Arial"/>
          <w:lang w:val="es-ES" w:eastAsia="es-ES"/>
        </w:rPr>
      </w:pPr>
      <w:r w:rsidRPr="003A01FF">
        <w:rPr>
          <w:rFonts w:ascii="Arial" w:eastAsia="Times New Roman" w:hAnsi="Arial" w:cs="Arial"/>
          <w:lang w:val="es-ES" w:eastAsia="es-ES"/>
        </w:rPr>
        <w:t>Este proyecto cuenta con una apropiación para la vigencia 2018 de $16.774 millones de pesos, de los cuales</w:t>
      </w:r>
      <w:r>
        <w:rPr>
          <w:rFonts w:ascii="Arial" w:eastAsia="Times New Roman" w:hAnsi="Arial" w:cs="Arial"/>
          <w:lang w:val="es-ES" w:eastAsia="es-ES"/>
        </w:rPr>
        <w:t xml:space="preserve"> se han comprometido re</w:t>
      </w:r>
      <w:r w:rsidRPr="003A01FF">
        <w:rPr>
          <w:rFonts w:ascii="Arial" w:eastAsia="Times New Roman" w:hAnsi="Arial" w:cs="Arial"/>
          <w:lang w:val="es-ES" w:eastAsia="es-ES"/>
        </w:rPr>
        <w:t>cursos por $1</w:t>
      </w:r>
      <w:r>
        <w:rPr>
          <w:rFonts w:ascii="Arial" w:eastAsia="Times New Roman" w:hAnsi="Arial" w:cs="Arial"/>
          <w:lang w:val="es-ES" w:eastAsia="es-ES"/>
        </w:rPr>
        <w:t>2.184</w:t>
      </w:r>
      <w:r w:rsidRPr="003A01FF">
        <w:rPr>
          <w:rFonts w:ascii="Arial" w:eastAsia="Times New Roman" w:hAnsi="Arial" w:cs="Arial"/>
          <w:lang w:val="es-ES" w:eastAsia="es-ES"/>
        </w:rPr>
        <w:t xml:space="preserve"> millones</w:t>
      </w:r>
      <w:r>
        <w:rPr>
          <w:rFonts w:ascii="Arial" w:eastAsia="Times New Roman" w:hAnsi="Arial" w:cs="Arial"/>
          <w:lang w:val="es-ES" w:eastAsia="es-ES"/>
        </w:rPr>
        <w:t xml:space="preserve"> de pesos, equivalentes a un 72,64</w:t>
      </w:r>
      <w:r w:rsidRPr="003A01FF">
        <w:rPr>
          <w:rFonts w:ascii="Arial" w:eastAsia="Times New Roman" w:hAnsi="Arial" w:cs="Arial"/>
          <w:lang w:val="es-ES" w:eastAsia="es-ES"/>
        </w:rPr>
        <w:t xml:space="preserve">% de ejecución. </w:t>
      </w:r>
    </w:p>
    <w:p w14:paraId="1A240AF9" w14:textId="77777777" w:rsidR="00BC1C03" w:rsidRPr="003A01FF" w:rsidRDefault="00BC1C03" w:rsidP="00BC1C03">
      <w:pPr>
        <w:spacing w:after="0" w:line="240" w:lineRule="auto"/>
        <w:ind w:left="284"/>
        <w:jc w:val="both"/>
        <w:rPr>
          <w:rFonts w:ascii="Arial" w:eastAsia="Times New Roman" w:hAnsi="Arial" w:cs="Arial"/>
          <w:lang w:val="es-ES" w:eastAsia="es-ES"/>
        </w:rPr>
      </w:pPr>
    </w:p>
    <w:p w14:paraId="73C5A721" w14:textId="77777777" w:rsidR="00BC1C03" w:rsidRPr="003A01FF" w:rsidRDefault="00BC1C03" w:rsidP="00BC1C03">
      <w:pPr>
        <w:spacing w:after="0" w:line="240" w:lineRule="auto"/>
        <w:jc w:val="both"/>
        <w:rPr>
          <w:rFonts w:ascii="Arial" w:eastAsia="Times New Roman" w:hAnsi="Arial" w:cs="Arial"/>
          <w:lang w:val="es-ES" w:eastAsia="es-ES"/>
        </w:rPr>
      </w:pPr>
      <w:r w:rsidRPr="003A01FF">
        <w:rPr>
          <w:rFonts w:ascii="Arial" w:eastAsia="Times New Roman" w:hAnsi="Arial" w:cs="Arial"/>
          <w:lang w:val="es-ES" w:eastAsia="es-ES"/>
        </w:rPr>
        <w:t xml:space="preserve">Dichos compromisos en </w:t>
      </w:r>
      <w:r>
        <w:rPr>
          <w:rFonts w:ascii="Arial" w:eastAsia="Times New Roman" w:hAnsi="Arial" w:cs="Arial"/>
          <w:lang w:val="es-ES" w:eastAsia="es-ES"/>
        </w:rPr>
        <w:t>el segundo trimestre</w:t>
      </w:r>
      <w:r w:rsidRPr="003A01FF">
        <w:rPr>
          <w:rFonts w:ascii="Arial" w:eastAsia="Times New Roman" w:hAnsi="Arial" w:cs="Arial"/>
          <w:lang w:val="es-ES" w:eastAsia="es-ES"/>
        </w:rPr>
        <w:t xml:space="preserve"> se distribuyen de la siguiente manera: </w:t>
      </w:r>
    </w:p>
    <w:p w14:paraId="00A9916E" w14:textId="77777777" w:rsidR="00BC1C03" w:rsidRPr="00C57513" w:rsidRDefault="00BC1C03" w:rsidP="00BC1C03">
      <w:pPr>
        <w:spacing w:after="0" w:line="240" w:lineRule="auto"/>
        <w:jc w:val="both"/>
        <w:rPr>
          <w:rFonts w:ascii="Arial" w:eastAsia="Times New Roman" w:hAnsi="Arial" w:cs="Arial"/>
          <w:lang w:val="es-ES" w:eastAsia="es-ES"/>
        </w:rPr>
      </w:pPr>
    </w:p>
    <w:p w14:paraId="043CE6EE" w14:textId="77777777" w:rsidR="00BC1C03" w:rsidRPr="00A03F65" w:rsidRDefault="00BC1C03" w:rsidP="008B4625">
      <w:pPr>
        <w:numPr>
          <w:ilvl w:val="0"/>
          <w:numId w:val="60"/>
        </w:numPr>
        <w:spacing w:after="0" w:line="240" w:lineRule="auto"/>
        <w:ind w:left="567"/>
        <w:jc w:val="both"/>
        <w:rPr>
          <w:rFonts w:ascii="Arial" w:eastAsia="Times New Roman" w:hAnsi="Arial" w:cs="Arial"/>
          <w:lang w:val="es-ES" w:eastAsia="es-ES"/>
        </w:rPr>
      </w:pPr>
      <w:r>
        <w:rPr>
          <w:rFonts w:ascii="Arial" w:eastAsia="Times New Roman" w:hAnsi="Arial" w:cs="Arial"/>
          <w:lang w:val="es-ES" w:eastAsia="es-ES"/>
        </w:rPr>
        <w:t xml:space="preserve">El valor de </w:t>
      </w:r>
      <w:r w:rsidRPr="00C57513">
        <w:rPr>
          <w:rFonts w:ascii="Arial" w:eastAsia="Times New Roman" w:hAnsi="Arial" w:cs="Arial"/>
          <w:lang w:val="es-ES" w:eastAsia="es-ES"/>
        </w:rPr>
        <w:t xml:space="preserve">$1.940 millones de pesos corresponden al contrato de consultoría suscrito con Consorcio AGR para realizar caracterización de las unidades de producción minera </w:t>
      </w:r>
      <w:r w:rsidRPr="00A03F65">
        <w:rPr>
          <w:rFonts w:ascii="Arial" w:eastAsia="Times New Roman" w:hAnsi="Arial" w:cs="Arial"/>
          <w:lang w:val="es-ES" w:eastAsia="es-ES"/>
        </w:rPr>
        <w:t>que se encuentran desarrollando su actividad en los municipios priorizados por el MME.</w:t>
      </w:r>
    </w:p>
    <w:p w14:paraId="2F73F442" w14:textId="77777777" w:rsidR="00BC1C03" w:rsidRDefault="00BC1C03" w:rsidP="008B4625">
      <w:pPr>
        <w:numPr>
          <w:ilvl w:val="0"/>
          <w:numId w:val="60"/>
        </w:numPr>
        <w:spacing w:after="0" w:line="240" w:lineRule="auto"/>
        <w:ind w:left="567"/>
        <w:jc w:val="both"/>
        <w:rPr>
          <w:rFonts w:ascii="Arial" w:eastAsia="Times New Roman" w:hAnsi="Arial" w:cs="Arial"/>
          <w:color w:val="FF0000"/>
          <w:lang w:val="es-ES" w:eastAsia="es-ES"/>
        </w:rPr>
      </w:pPr>
      <w:r>
        <w:rPr>
          <w:rFonts w:ascii="Arial" w:eastAsia="Times New Roman" w:hAnsi="Arial" w:cs="Arial"/>
          <w:lang w:val="es-ES" w:eastAsia="es-ES"/>
        </w:rPr>
        <w:t xml:space="preserve">El valor de </w:t>
      </w:r>
      <w:r w:rsidRPr="00A03F65">
        <w:rPr>
          <w:rFonts w:ascii="Arial" w:eastAsia="Times New Roman" w:hAnsi="Arial" w:cs="Arial"/>
          <w:lang w:val="es-ES" w:eastAsia="es-ES"/>
        </w:rPr>
        <w:t>$169 millones de pesos para actividades de apoyo y seguimiento a la gestión del proyecto de inversión.</w:t>
      </w:r>
    </w:p>
    <w:p w14:paraId="0E6E4501" w14:textId="77777777" w:rsidR="00BC1C03" w:rsidRPr="00A03F65" w:rsidRDefault="00BC1C03" w:rsidP="00BC1C03">
      <w:pPr>
        <w:spacing w:after="0" w:line="240" w:lineRule="auto"/>
        <w:ind w:left="426"/>
        <w:jc w:val="both"/>
        <w:rPr>
          <w:rFonts w:ascii="Arial" w:eastAsia="Times New Roman" w:hAnsi="Arial" w:cs="Arial"/>
          <w:color w:val="FF0000"/>
          <w:lang w:val="es-ES" w:eastAsia="es-ES"/>
        </w:rPr>
      </w:pPr>
    </w:p>
    <w:p w14:paraId="3759F451" w14:textId="77777777" w:rsidR="00BC1C03" w:rsidRPr="001C4AEB" w:rsidRDefault="00BC1C03" w:rsidP="00BC1C03">
      <w:pPr>
        <w:spacing w:after="0" w:line="240" w:lineRule="auto"/>
        <w:jc w:val="both"/>
        <w:rPr>
          <w:rFonts w:ascii="Arial" w:eastAsia="Arial" w:hAnsi="Arial" w:cs="Arial"/>
        </w:rPr>
      </w:pPr>
      <w:r w:rsidRPr="001C4AEB">
        <w:rPr>
          <w:rFonts w:ascii="Arial" w:eastAsia="Arial" w:hAnsi="Arial" w:cs="Arial"/>
        </w:rPr>
        <w:t>De igual manera, en el segundo trimestre se obligaron $4.597 millones de pesos, ejecutando un total de $6.541 millones de pesos, equivalente a un 39,00%.</w:t>
      </w:r>
    </w:p>
    <w:p w14:paraId="10FEAB6C" w14:textId="77777777" w:rsidR="00BC1C03" w:rsidRPr="00A03F65" w:rsidRDefault="00BC1C03" w:rsidP="00BC1C03">
      <w:pPr>
        <w:spacing w:after="0" w:line="240" w:lineRule="auto"/>
        <w:jc w:val="both"/>
        <w:rPr>
          <w:rFonts w:ascii="Arial" w:eastAsia="Arial" w:hAnsi="Arial" w:cs="Arial"/>
          <w:highlight w:val="yellow"/>
        </w:rPr>
      </w:pPr>
    </w:p>
    <w:p w14:paraId="1502FDE4" w14:textId="77777777" w:rsidR="00BC1C03" w:rsidRPr="00A03F65" w:rsidRDefault="00BC1C03" w:rsidP="00BC1C03">
      <w:pPr>
        <w:spacing w:after="0" w:line="240" w:lineRule="auto"/>
        <w:jc w:val="both"/>
        <w:rPr>
          <w:rFonts w:ascii="Arial" w:eastAsia="Arial" w:hAnsi="Arial" w:cs="Arial"/>
        </w:rPr>
      </w:pPr>
      <w:r w:rsidRPr="00A03F65">
        <w:rPr>
          <w:rFonts w:ascii="Arial" w:eastAsia="Arial" w:hAnsi="Arial" w:cs="Arial"/>
        </w:rPr>
        <w:t>Dichas obligaciones se distribuyen de la siguiente manera:</w:t>
      </w:r>
    </w:p>
    <w:p w14:paraId="2ED2DB63" w14:textId="77777777" w:rsidR="00BC1C03" w:rsidRPr="00A03F65" w:rsidRDefault="00BC1C03" w:rsidP="00BC1C03">
      <w:pPr>
        <w:spacing w:after="0" w:line="240" w:lineRule="auto"/>
        <w:ind w:left="426"/>
        <w:jc w:val="both"/>
        <w:rPr>
          <w:rFonts w:ascii="Arial" w:eastAsia="Arial" w:hAnsi="Arial" w:cs="Arial"/>
        </w:rPr>
      </w:pPr>
    </w:p>
    <w:p w14:paraId="6A372A59" w14:textId="77777777" w:rsidR="00BC1C03" w:rsidRDefault="00BC1C03" w:rsidP="008B4625">
      <w:pPr>
        <w:numPr>
          <w:ilvl w:val="0"/>
          <w:numId w:val="61"/>
        </w:numPr>
        <w:spacing w:after="0" w:line="240" w:lineRule="auto"/>
        <w:ind w:left="567"/>
        <w:jc w:val="both"/>
        <w:rPr>
          <w:rFonts w:ascii="Arial" w:eastAsia="Arial" w:hAnsi="Arial" w:cs="Arial"/>
        </w:rPr>
      </w:pPr>
      <w:r>
        <w:rPr>
          <w:rFonts w:ascii="Arial" w:eastAsia="Arial" w:hAnsi="Arial" w:cs="Arial"/>
        </w:rPr>
        <w:t xml:space="preserve">El valor de $2.128 millones para atender los pagos de los contratos interadministrativos suscritos con: Corporación Autónoma Regional de Nariño, Gobierno Departamental del </w:t>
      </w:r>
      <w:r>
        <w:rPr>
          <w:rFonts w:ascii="Arial" w:eastAsia="Arial" w:hAnsi="Arial" w:cs="Arial"/>
        </w:rPr>
        <w:lastRenderedPageBreak/>
        <w:t>Tolima, Corporación Autónoma Regional de Caldas, Corporación Autónoma Regional del Cauca, Departamento de Boyacá, Corporación Autónoma regional de Risaralda, Corporación Autónoma Regional de Santander, Corporación Autónoma Regional de la Meseta de Bucaramanga, Corporación Autónoma Regional de los Valle del SINÚ y San Jorge CVS, Corporación Autónoma Regional de la Guajira y Gobernación del Chocó.</w:t>
      </w:r>
    </w:p>
    <w:p w14:paraId="616079D0" w14:textId="77777777" w:rsidR="00BC1C03" w:rsidRDefault="00BC1C03" w:rsidP="00BC1C03">
      <w:pPr>
        <w:spacing w:after="0" w:line="240" w:lineRule="auto"/>
        <w:ind w:left="567"/>
        <w:jc w:val="both"/>
        <w:rPr>
          <w:rFonts w:ascii="Arial" w:eastAsia="Arial" w:hAnsi="Arial" w:cs="Arial"/>
        </w:rPr>
      </w:pPr>
    </w:p>
    <w:p w14:paraId="4D2E0677" w14:textId="77777777" w:rsidR="00BC1C03" w:rsidRDefault="00BC1C03" w:rsidP="008B4625">
      <w:pPr>
        <w:numPr>
          <w:ilvl w:val="0"/>
          <w:numId w:val="61"/>
        </w:numPr>
        <w:spacing w:after="0" w:line="240" w:lineRule="auto"/>
        <w:ind w:left="567"/>
        <w:jc w:val="both"/>
        <w:rPr>
          <w:rFonts w:ascii="Arial" w:eastAsia="Arial" w:hAnsi="Arial" w:cs="Arial"/>
        </w:rPr>
      </w:pPr>
      <w:r w:rsidRPr="00D87C01">
        <w:rPr>
          <w:rFonts w:ascii="Arial" w:eastAsia="Arial" w:hAnsi="Arial" w:cs="Arial"/>
        </w:rPr>
        <w:t>El valor de $1.416 millones de pesos destinados para el pago de los convenios realizados con</w:t>
      </w:r>
      <w:r>
        <w:rPr>
          <w:rFonts w:ascii="Arial" w:eastAsia="Arial" w:hAnsi="Arial" w:cs="Arial"/>
        </w:rPr>
        <w:t xml:space="preserve"> el</w:t>
      </w:r>
      <w:r w:rsidRPr="00D87C01">
        <w:rPr>
          <w:rFonts w:ascii="Arial" w:eastAsia="Arial" w:hAnsi="Arial" w:cs="Arial"/>
        </w:rPr>
        <w:t xml:space="preserve"> Departamento del Cesar ($</w:t>
      </w:r>
      <w:r>
        <w:rPr>
          <w:rFonts w:ascii="Arial" w:eastAsia="Arial" w:hAnsi="Arial" w:cs="Arial"/>
        </w:rPr>
        <w:t>329,5</w:t>
      </w:r>
      <w:r w:rsidRPr="00D87C01">
        <w:rPr>
          <w:rFonts w:ascii="Arial" w:eastAsia="Arial" w:hAnsi="Arial" w:cs="Arial"/>
        </w:rPr>
        <w:t xml:space="preserve">m), </w:t>
      </w:r>
      <w:r>
        <w:rPr>
          <w:rFonts w:ascii="Arial" w:eastAsia="Arial" w:hAnsi="Arial" w:cs="Arial"/>
        </w:rPr>
        <w:t xml:space="preserve">CORPONOR ($75m), Departamento de Cundinamarca ($195m), CAR ($697,4m), CORBOYACÁ ($59,4m) y la Corporación Centro Provincial de Gestión </w:t>
      </w:r>
      <w:proofErr w:type="spellStart"/>
      <w:r>
        <w:rPr>
          <w:rFonts w:ascii="Arial" w:eastAsia="Arial" w:hAnsi="Arial" w:cs="Arial"/>
        </w:rPr>
        <w:t>Agroempresarial</w:t>
      </w:r>
      <w:proofErr w:type="spellEnd"/>
      <w:r>
        <w:rPr>
          <w:rFonts w:ascii="Arial" w:eastAsia="Arial" w:hAnsi="Arial" w:cs="Arial"/>
        </w:rPr>
        <w:t xml:space="preserve"> del Norte del Huila ($60m).</w:t>
      </w:r>
    </w:p>
    <w:p w14:paraId="79BADE44" w14:textId="77777777" w:rsidR="00BC1C03" w:rsidRPr="00D87C01" w:rsidRDefault="00BC1C03" w:rsidP="00BC1C03">
      <w:pPr>
        <w:spacing w:after="0" w:line="240" w:lineRule="auto"/>
        <w:ind w:left="567"/>
        <w:jc w:val="both"/>
        <w:rPr>
          <w:rFonts w:ascii="Arial" w:eastAsia="Arial" w:hAnsi="Arial" w:cs="Arial"/>
        </w:rPr>
      </w:pPr>
    </w:p>
    <w:p w14:paraId="10EDCB25" w14:textId="77777777" w:rsidR="00BC1C03" w:rsidRPr="00BF4787" w:rsidRDefault="00BC1C03" w:rsidP="008B4625">
      <w:pPr>
        <w:numPr>
          <w:ilvl w:val="0"/>
          <w:numId w:val="61"/>
        </w:numPr>
        <w:spacing w:after="0" w:line="240" w:lineRule="auto"/>
        <w:ind w:left="567"/>
        <w:jc w:val="both"/>
        <w:rPr>
          <w:rFonts w:ascii="Arial" w:eastAsia="Arial" w:hAnsi="Arial" w:cs="Arial"/>
        </w:rPr>
      </w:pPr>
      <w:r w:rsidRPr="00BF4787">
        <w:rPr>
          <w:rFonts w:ascii="Arial" w:eastAsia="Times New Roman" w:hAnsi="Arial" w:cs="Arial"/>
          <w:lang w:val="es-ES" w:eastAsia="es-ES"/>
        </w:rPr>
        <w:t>El valor de $1.052 millones de pesos destinados al pago de gastos de apoyo a la gestión del proyecto.</w:t>
      </w:r>
    </w:p>
    <w:p w14:paraId="7DFBF8A4" w14:textId="77777777" w:rsidR="00C02282" w:rsidRPr="006A67B4" w:rsidRDefault="00C02282" w:rsidP="00C02282">
      <w:pPr>
        <w:spacing w:after="0" w:line="240" w:lineRule="auto"/>
        <w:jc w:val="both"/>
        <w:rPr>
          <w:rFonts w:ascii="Arial" w:eastAsia="Arial" w:hAnsi="Arial" w:cs="Arial"/>
          <w:highlight w:val="yellow"/>
          <w:lang w:val="es-ES"/>
        </w:rPr>
      </w:pPr>
    </w:p>
    <w:p w14:paraId="776D0A67" w14:textId="77777777" w:rsidR="00BC1C03" w:rsidRPr="00BF4787" w:rsidRDefault="00BC1C03" w:rsidP="008B4625">
      <w:pPr>
        <w:numPr>
          <w:ilvl w:val="0"/>
          <w:numId w:val="26"/>
        </w:numPr>
        <w:spacing w:after="0" w:line="240" w:lineRule="auto"/>
        <w:ind w:left="284" w:hanging="284"/>
        <w:jc w:val="both"/>
        <w:rPr>
          <w:rFonts w:ascii="Arial" w:eastAsia="Times New Roman" w:hAnsi="Arial" w:cs="Arial"/>
          <w:b/>
          <w:lang w:val="es-ES" w:eastAsia="es-ES"/>
        </w:rPr>
      </w:pPr>
      <w:r w:rsidRPr="00BF4787">
        <w:rPr>
          <w:rFonts w:ascii="Arial" w:eastAsia="Times New Roman" w:hAnsi="Arial" w:cs="Arial"/>
          <w:b/>
          <w:lang w:val="es-ES" w:eastAsia="es-ES"/>
        </w:rPr>
        <w:t>Implementación del Plan Estratégico Sectorial para la Eliminación del Mercurio de la Actividad Minera en el Territorio Nacional:</w:t>
      </w:r>
    </w:p>
    <w:p w14:paraId="2D34FD3E" w14:textId="77777777" w:rsidR="00BC1C03" w:rsidRPr="00BF4787" w:rsidRDefault="00BC1C03" w:rsidP="00BC1C03">
      <w:pPr>
        <w:spacing w:after="0" w:line="240" w:lineRule="auto"/>
        <w:ind w:left="426"/>
        <w:jc w:val="both"/>
        <w:rPr>
          <w:rFonts w:ascii="Arial" w:eastAsia="Times New Roman" w:hAnsi="Arial" w:cs="Arial"/>
          <w:b/>
          <w:lang w:val="es-ES" w:eastAsia="es-ES"/>
        </w:rPr>
      </w:pPr>
    </w:p>
    <w:p w14:paraId="64E3F5AF" w14:textId="77777777" w:rsidR="00BC1C03" w:rsidRPr="008F5A6B" w:rsidRDefault="00BC1C03" w:rsidP="00BC1C03">
      <w:pPr>
        <w:spacing w:after="0" w:line="240" w:lineRule="auto"/>
        <w:jc w:val="both"/>
        <w:rPr>
          <w:rFonts w:ascii="Arial" w:eastAsia="Times New Roman" w:hAnsi="Arial" w:cs="Arial"/>
          <w:lang w:val="es-ES" w:eastAsia="es-ES"/>
        </w:rPr>
      </w:pPr>
      <w:r w:rsidRPr="00BF4787">
        <w:rPr>
          <w:rFonts w:ascii="Arial" w:eastAsia="Times New Roman" w:hAnsi="Arial" w:cs="Arial"/>
          <w:lang w:val="es-ES" w:eastAsia="es-ES"/>
        </w:rPr>
        <w:t>Este Proyecto cuenta con una apropia</w:t>
      </w:r>
      <w:r>
        <w:rPr>
          <w:rFonts w:ascii="Arial" w:eastAsia="Times New Roman" w:hAnsi="Arial" w:cs="Arial"/>
          <w:lang w:val="es-ES" w:eastAsia="es-ES"/>
        </w:rPr>
        <w:t>ción vigente para el 2018 de $10</w:t>
      </w:r>
      <w:r w:rsidRPr="00BF4787">
        <w:rPr>
          <w:rFonts w:ascii="Arial" w:eastAsia="Times New Roman" w:hAnsi="Arial" w:cs="Arial"/>
          <w:lang w:val="es-ES" w:eastAsia="es-ES"/>
        </w:rPr>
        <w:t xml:space="preserve">.000 millones de pesos. </w:t>
      </w:r>
      <w:r>
        <w:rPr>
          <w:rFonts w:ascii="Arial" w:eastAsia="Times New Roman" w:hAnsi="Arial" w:cs="Arial"/>
          <w:lang w:val="es-ES" w:eastAsia="es-ES"/>
        </w:rPr>
        <w:t xml:space="preserve">Durante </w:t>
      </w:r>
      <w:r w:rsidRPr="00BF4787">
        <w:rPr>
          <w:rFonts w:ascii="Arial" w:eastAsia="Times New Roman" w:hAnsi="Arial" w:cs="Arial"/>
          <w:lang w:val="es-ES" w:eastAsia="es-ES"/>
        </w:rPr>
        <w:t xml:space="preserve">el </w:t>
      </w:r>
      <w:r>
        <w:rPr>
          <w:rFonts w:ascii="Arial" w:eastAsia="Times New Roman" w:hAnsi="Arial" w:cs="Arial"/>
          <w:lang w:val="es-ES" w:eastAsia="es-ES"/>
        </w:rPr>
        <w:t xml:space="preserve">segundo </w:t>
      </w:r>
      <w:r w:rsidRPr="00BF4787">
        <w:rPr>
          <w:rFonts w:ascii="Arial" w:eastAsia="Times New Roman" w:hAnsi="Arial" w:cs="Arial"/>
          <w:lang w:val="es-ES" w:eastAsia="es-ES"/>
        </w:rPr>
        <w:t>trimestre se ejecutaron recursos por valor de $</w:t>
      </w:r>
      <w:r>
        <w:rPr>
          <w:rFonts w:ascii="Arial" w:eastAsia="Times New Roman" w:hAnsi="Arial" w:cs="Arial"/>
          <w:lang w:val="es-ES" w:eastAsia="es-ES"/>
        </w:rPr>
        <w:t xml:space="preserve">720 millones de pesos, para un acumulado de $5.111 </w:t>
      </w:r>
      <w:r w:rsidRPr="008F5A6B">
        <w:rPr>
          <w:rFonts w:ascii="Arial" w:eastAsia="Times New Roman" w:hAnsi="Arial" w:cs="Arial"/>
          <w:lang w:val="es-ES" w:eastAsia="es-ES"/>
        </w:rPr>
        <w:t>millones de pesos equivalentes a una ejecución en comp</w:t>
      </w:r>
      <w:r>
        <w:rPr>
          <w:rFonts w:ascii="Arial" w:eastAsia="Times New Roman" w:hAnsi="Arial" w:cs="Arial"/>
          <w:lang w:val="es-ES" w:eastAsia="es-ES"/>
        </w:rPr>
        <w:t>romisos del 51,11%.</w:t>
      </w:r>
    </w:p>
    <w:p w14:paraId="18552354" w14:textId="77777777" w:rsidR="00BC1C03" w:rsidRPr="008F5A6B" w:rsidRDefault="00BC1C03" w:rsidP="00BC1C03">
      <w:pPr>
        <w:spacing w:after="0" w:line="240" w:lineRule="auto"/>
        <w:jc w:val="both"/>
        <w:rPr>
          <w:rFonts w:ascii="Arial" w:eastAsia="Times New Roman" w:hAnsi="Arial" w:cs="Arial"/>
          <w:lang w:val="es-ES" w:eastAsia="es-ES"/>
        </w:rPr>
      </w:pPr>
    </w:p>
    <w:p w14:paraId="1538FE72" w14:textId="77777777" w:rsidR="00BC1C03" w:rsidRPr="008F5A6B" w:rsidRDefault="00BC1C03" w:rsidP="00BC1C03">
      <w:pPr>
        <w:spacing w:after="0" w:line="240" w:lineRule="auto"/>
        <w:jc w:val="both"/>
        <w:rPr>
          <w:rFonts w:ascii="Arial" w:eastAsia="Times New Roman" w:hAnsi="Arial" w:cs="Arial"/>
          <w:lang w:val="es-ES" w:eastAsia="es-ES"/>
        </w:rPr>
      </w:pPr>
      <w:r w:rsidRPr="008F5A6B">
        <w:rPr>
          <w:rFonts w:ascii="Arial" w:eastAsia="Times New Roman" w:hAnsi="Arial" w:cs="Arial"/>
          <w:lang w:val="es-ES" w:eastAsia="es-ES"/>
        </w:rPr>
        <w:t xml:space="preserve">Dichos compromisos se distribuyen de la siguiente manera: </w:t>
      </w:r>
    </w:p>
    <w:p w14:paraId="46862658" w14:textId="77777777" w:rsidR="00BC1C03" w:rsidRPr="008F5A6B" w:rsidRDefault="00BC1C03" w:rsidP="00BC1C03">
      <w:pPr>
        <w:spacing w:after="0" w:line="240" w:lineRule="auto"/>
        <w:jc w:val="both"/>
        <w:rPr>
          <w:rFonts w:ascii="Arial" w:eastAsia="Times New Roman" w:hAnsi="Arial" w:cs="Arial"/>
          <w:lang w:val="es-ES" w:eastAsia="es-ES"/>
        </w:rPr>
      </w:pPr>
    </w:p>
    <w:p w14:paraId="2379CA06" w14:textId="1306C2D7" w:rsidR="00BC1C03" w:rsidRDefault="00BC1C03" w:rsidP="008B4625">
      <w:pPr>
        <w:numPr>
          <w:ilvl w:val="0"/>
          <w:numId w:val="62"/>
        </w:numPr>
        <w:spacing w:after="0" w:line="240" w:lineRule="auto"/>
        <w:jc w:val="both"/>
        <w:rPr>
          <w:rFonts w:ascii="Arial" w:eastAsia="Times New Roman" w:hAnsi="Arial" w:cs="Arial"/>
          <w:lang w:val="es-ES" w:eastAsia="es-ES"/>
        </w:rPr>
      </w:pPr>
      <w:r w:rsidRPr="008F5A6B">
        <w:rPr>
          <w:rFonts w:ascii="Arial" w:eastAsia="Times New Roman" w:hAnsi="Arial" w:cs="Arial"/>
          <w:lang w:val="es-ES" w:eastAsia="es-ES"/>
        </w:rPr>
        <w:t>El valor de $661</w:t>
      </w:r>
      <w:r>
        <w:rPr>
          <w:rFonts w:ascii="Arial" w:eastAsia="Times New Roman" w:hAnsi="Arial" w:cs="Arial"/>
          <w:lang w:val="es-ES" w:eastAsia="es-ES"/>
        </w:rPr>
        <w:t xml:space="preserve"> </w:t>
      </w:r>
      <w:r w:rsidRPr="008F5A6B">
        <w:rPr>
          <w:rFonts w:ascii="Arial" w:eastAsia="Times New Roman" w:hAnsi="Arial" w:cs="Arial"/>
          <w:lang w:val="es-ES" w:eastAsia="es-ES"/>
        </w:rPr>
        <w:t xml:space="preserve">millones de </w:t>
      </w:r>
      <w:r w:rsidR="0002281B" w:rsidRPr="008F5A6B">
        <w:rPr>
          <w:rFonts w:ascii="Arial" w:eastAsia="Times New Roman" w:hAnsi="Arial" w:cs="Arial"/>
          <w:lang w:val="es-ES" w:eastAsia="es-ES"/>
        </w:rPr>
        <w:t>pesos para</w:t>
      </w:r>
      <w:r w:rsidRPr="008F5A6B">
        <w:rPr>
          <w:rFonts w:ascii="Arial" w:eastAsia="Times New Roman" w:hAnsi="Arial" w:cs="Arial"/>
          <w:lang w:val="es-ES" w:eastAsia="es-ES"/>
        </w:rPr>
        <w:t xml:space="preserve"> el convenio con el Centro Provincial de Gestión Minero </w:t>
      </w:r>
      <w:proofErr w:type="spellStart"/>
      <w:r w:rsidRPr="008F5A6B">
        <w:rPr>
          <w:rFonts w:ascii="Arial" w:eastAsia="Times New Roman" w:hAnsi="Arial" w:cs="Arial"/>
          <w:lang w:val="es-ES" w:eastAsia="es-ES"/>
        </w:rPr>
        <w:t>Agroempresarial</w:t>
      </w:r>
      <w:proofErr w:type="spellEnd"/>
      <w:r w:rsidRPr="008F5A6B">
        <w:rPr>
          <w:rFonts w:ascii="Arial" w:eastAsia="Times New Roman" w:hAnsi="Arial" w:cs="Arial"/>
          <w:lang w:val="es-ES" w:eastAsia="es-ES"/>
        </w:rPr>
        <w:t xml:space="preserve"> del Alto Nordeste Antioqueño para aunar esfuerzos técnicos administrativos y financieros para identificar proponer y seleccionar técnicas de extracción de oro, plazo: 31 julio-2018.</w:t>
      </w:r>
    </w:p>
    <w:p w14:paraId="124809AC" w14:textId="77777777" w:rsidR="00BC1C03" w:rsidRPr="008F5A6B" w:rsidRDefault="00BC1C03" w:rsidP="00BC1C03">
      <w:pPr>
        <w:spacing w:after="0" w:line="240" w:lineRule="auto"/>
        <w:ind w:left="360"/>
        <w:jc w:val="both"/>
        <w:rPr>
          <w:rFonts w:ascii="Arial" w:eastAsia="Times New Roman" w:hAnsi="Arial" w:cs="Arial"/>
          <w:lang w:val="es-ES" w:eastAsia="es-ES"/>
        </w:rPr>
      </w:pPr>
    </w:p>
    <w:p w14:paraId="70A7B584" w14:textId="77777777" w:rsidR="00BC1C03" w:rsidRPr="008940C9" w:rsidRDefault="00BC1C03" w:rsidP="008B4625">
      <w:pPr>
        <w:numPr>
          <w:ilvl w:val="0"/>
          <w:numId w:val="62"/>
        </w:numPr>
        <w:spacing w:after="0" w:line="240" w:lineRule="auto"/>
        <w:jc w:val="both"/>
        <w:rPr>
          <w:rFonts w:ascii="Arial" w:eastAsia="Times New Roman" w:hAnsi="Arial" w:cs="Arial"/>
          <w:lang w:val="es-ES" w:eastAsia="es-ES"/>
        </w:rPr>
      </w:pPr>
      <w:r w:rsidRPr="008940C9">
        <w:rPr>
          <w:rFonts w:ascii="Arial" w:eastAsia="Times New Roman" w:hAnsi="Arial" w:cs="Arial"/>
          <w:lang w:val="es-ES" w:eastAsia="es-ES"/>
        </w:rPr>
        <w:t>El valor de $</w:t>
      </w:r>
      <w:r>
        <w:rPr>
          <w:rFonts w:ascii="Arial" w:eastAsia="Times New Roman" w:hAnsi="Arial" w:cs="Arial"/>
          <w:lang w:val="es-ES" w:eastAsia="es-ES"/>
        </w:rPr>
        <w:t>59</w:t>
      </w:r>
      <w:r w:rsidRPr="008940C9">
        <w:rPr>
          <w:rFonts w:ascii="Arial" w:eastAsia="Times New Roman" w:hAnsi="Arial" w:cs="Arial"/>
          <w:lang w:val="es-ES" w:eastAsia="es-ES"/>
        </w:rPr>
        <w:t xml:space="preserve"> millones de pesos para las actividades de apoyo a la gestión y seguimiento del proyecto. </w:t>
      </w:r>
    </w:p>
    <w:p w14:paraId="6CEB8555" w14:textId="77777777" w:rsidR="00BC1C03" w:rsidRPr="008940C9" w:rsidRDefault="00BC1C03" w:rsidP="00BC1C03">
      <w:pPr>
        <w:spacing w:after="0" w:line="240" w:lineRule="auto"/>
        <w:ind w:left="360"/>
        <w:jc w:val="both"/>
        <w:rPr>
          <w:rFonts w:ascii="Arial" w:eastAsia="Times New Roman" w:hAnsi="Arial" w:cs="Arial"/>
          <w:lang w:val="es-ES" w:eastAsia="es-ES"/>
        </w:rPr>
      </w:pPr>
    </w:p>
    <w:p w14:paraId="2266FBCD" w14:textId="77777777" w:rsidR="00BC1C03" w:rsidRPr="008940C9" w:rsidRDefault="00BC1C03" w:rsidP="00BC1C03">
      <w:pPr>
        <w:spacing w:after="0" w:line="240" w:lineRule="auto"/>
        <w:jc w:val="both"/>
        <w:rPr>
          <w:rFonts w:ascii="Arial" w:eastAsia="Arial" w:hAnsi="Arial" w:cs="Arial"/>
        </w:rPr>
      </w:pPr>
      <w:r w:rsidRPr="008940C9">
        <w:rPr>
          <w:rFonts w:ascii="Arial" w:eastAsia="Arial" w:hAnsi="Arial" w:cs="Arial"/>
        </w:rPr>
        <w:t>A</w:t>
      </w:r>
      <w:r>
        <w:rPr>
          <w:rFonts w:ascii="Arial" w:eastAsia="Arial" w:hAnsi="Arial" w:cs="Arial"/>
        </w:rPr>
        <w:t xml:space="preserve">sí </w:t>
      </w:r>
      <w:r w:rsidRPr="008940C9">
        <w:rPr>
          <w:rFonts w:ascii="Arial" w:eastAsia="Arial" w:hAnsi="Arial" w:cs="Arial"/>
        </w:rPr>
        <w:t>mismo, se obligaron recursos</w:t>
      </w:r>
      <w:r>
        <w:rPr>
          <w:rFonts w:ascii="Arial" w:eastAsia="Arial" w:hAnsi="Arial" w:cs="Arial"/>
        </w:rPr>
        <w:t xml:space="preserve"> al cierre del semestre por</w:t>
      </w:r>
      <w:r w:rsidRPr="008940C9">
        <w:rPr>
          <w:rFonts w:ascii="Arial" w:eastAsia="Arial" w:hAnsi="Arial" w:cs="Arial"/>
        </w:rPr>
        <w:t xml:space="preserve"> $</w:t>
      </w:r>
      <w:r>
        <w:rPr>
          <w:rFonts w:ascii="Arial" w:eastAsia="Arial" w:hAnsi="Arial" w:cs="Arial"/>
        </w:rPr>
        <w:t>2.423</w:t>
      </w:r>
      <w:r w:rsidRPr="008940C9">
        <w:rPr>
          <w:rFonts w:ascii="Arial" w:eastAsia="Arial" w:hAnsi="Arial" w:cs="Arial"/>
        </w:rPr>
        <w:t xml:space="preserve"> millones de pesos, equivalentes al </w:t>
      </w:r>
      <w:r>
        <w:rPr>
          <w:rFonts w:ascii="Arial" w:eastAsia="Arial" w:hAnsi="Arial" w:cs="Arial"/>
        </w:rPr>
        <w:t>24,23%, donde para el segundo trimestre se ejecutaron $2.029 millones de pesos distribuidos de la siguiente manera:</w:t>
      </w:r>
    </w:p>
    <w:p w14:paraId="63D6ACEE" w14:textId="77777777" w:rsidR="00BC1C03" w:rsidRPr="008940C9" w:rsidRDefault="00BC1C03" w:rsidP="00BC1C03">
      <w:pPr>
        <w:spacing w:after="0" w:line="240" w:lineRule="auto"/>
        <w:jc w:val="both"/>
        <w:rPr>
          <w:rFonts w:ascii="Arial" w:eastAsia="Arial" w:hAnsi="Arial" w:cs="Arial"/>
        </w:rPr>
      </w:pPr>
    </w:p>
    <w:p w14:paraId="3DB50EE9" w14:textId="77777777" w:rsidR="00BC1C03" w:rsidRPr="008940C9" w:rsidRDefault="00BC1C03" w:rsidP="008B4625">
      <w:pPr>
        <w:numPr>
          <w:ilvl w:val="0"/>
          <w:numId w:val="63"/>
        </w:numPr>
        <w:jc w:val="both"/>
        <w:rPr>
          <w:rFonts w:ascii="Arial" w:eastAsia="Times New Roman" w:hAnsi="Arial" w:cs="Arial"/>
          <w:lang w:val="es-ES" w:eastAsia="es-ES"/>
        </w:rPr>
      </w:pPr>
      <w:r w:rsidRPr="008940C9">
        <w:rPr>
          <w:rFonts w:ascii="Arial" w:eastAsia="Times New Roman" w:hAnsi="Arial" w:cs="Arial"/>
          <w:lang w:val="es-ES" w:eastAsia="es-ES"/>
        </w:rPr>
        <w:t>El valor de $246,5 millones de pesos para atender el pago realizado a la Universidad de Antioquia.</w:t>
      </w:r>
    </w:p>
    <w:p w14:paraId="6609E26D" w14:textId="77777777" w:rsidR="00BC1C03" w:rsidRPr="008940C9" w:rsidRDefault="00BC1C03" w:rsidP="008B4625">
      <w:pPr>
        <w:numPr>
          <w:ilvl w:val="0"/>
          <w:numId w:val="63"/>
        </w:numPr>
        <w:jc w:val="both"/>
        <w:rPr>
          <w:rFonts w:ascii="Arial" w:eastAsia="Times New Roman" w:hAnsi="Arial" w:cs="Arial"/>
          <w:lang w:val="es-ES" w:eastAsia="es-ES"/>
        </w:rPr>
      </w:pPr>
      <w:r w:rsidRPr="008940C9">
        <w:rPr>
          <w:rFonts w:ascii="Arial" w:eastAsia="Times New Roman" w:hAnsi="Arial" w:cs="Arial"/>
          <w:lang w:val="es-ES" w:eastAsia="es-ES"/>
        </w:rPr>
        <w:t>El valor de $120 millones de pesos para el segundo pago del convenio entre el Ministerio de Minas y Energía y la Universidad Nacional de Colombia.</w:t>
      </w:r>
    </w:p>
    <w:p w14:paraId="24404B03" w14:textId="628EB1E3" w:rsidR="00BC1C03" w:rsidRDefault="00BC1C03" w:rsidP="008B4625">
      <w:pPr>
        <w:numPr>
          <w:ilvl w:val="0"/>
          <w:numId w:val="63"/>
        </w:numPr>
        <w:jc w:val="both"/>
        <w:rPr>
          <w:rFonts w:ascii="Arial" w:eastAsia="Times New Roman" w:hAnsi="Arial" w:cs="Arial"/>
          <w:lang w:val="es-ES" w:eastAsia="es-ES"/>
        </w:rPr>
      </w:pPr>
      <w:r w:rsidRPr="008940C9">
        <w:rPr>
          <w:rFonts w:ascii="Arial" w:eastAsia="Times New Roman" w:hAnsi="Arial" w:cs="Arial"/>
          <w:lang w:val="es-ES" w:eastAsia="es-ES"/>
        </w:rPr>
        <w:t>El valor de $1.662 millones de pesos para</w:t>
      </w:r>
      <w:r>
        <w:rPr>
          <w:rFonts w:ascii="Arial" w:eastAsia="Times New Roman" w:hAnsi="Arial" w:cs="Arial"/>
          <w:lang w:val="es-ES" w:eastAsia="es-ES"/>
        </w:rPr>
        <w:t xml:space="preserve"> las </w:t>
      </w:r>
      <w:r w:rsidRPr="008940C9">
        <w:rPr>
          <w:rFonts w:ascii="Arial" w:eastAsia="Times New Roman" w:hAnsi="Arial" w:cs="Arial"/>
          <w:lang w:val="es-ES" w:eastAsia="es-ES"/>
        </w:rPr>
        <w:t>actividades de apoyo a la gestión y seguimiento del proyecto.</w:t>
      </w:r>
    </w:p>
    <w:p w14:paraId="174B4010" w14:textId="77777777" w:rsidR="0002281B" w:rsidRPr="008940C9" w:rsidRDefault="0002281B" w:rsidP="0002281B">
      <w:pPr>
        <w:ind w:left="360"/>
        <w:jc w:val="both"/>
        <w:rPr>
          <w:rFonts w:ascii="Arial" w:eastAsia="Times New Roman" w:hAnsi="Arial" w:cs="Arial"/>
          <w:lang w:val="es-ES" w:eastAsia="es-ES"/>
        </w:rPr>
      </w:pPr>
    </w:p>
    <w:p w14:paraId="518A7CA5" w14:textId="77777777" w:rsidR="00BC1C03" w:rsidRPr="008940C9" w:rsidRDefault="00BC1C03" w:rsidP="008B4625">
      <w:pPr>
        <w:numPr>
          <w:ilvl w:val="0"/>
          <w:numId w:val="26"/>
        </w:numPr>
        <w:spacing w:after="0" w:line="240" w:lineRule="auto"/>
        <w:ind w:left="426" w:hanging="426"/>
        <w:jc w:val="both"/>
        <w:rPr>
          <w:rFonts w:ascii="Arial" w:eastAsia="Times New Roman" w:hAnsi="Arial" w:cs="Arial"/>
          <w:b/>
          <w:lang w:val="es-ES" w:eastAsia="es-ES"/>
        </w:rPr>
      </w:pPr>
      <w:r w:rsidRPr="008940C9">
        <w:rPr>
          <w:rFonts w:ascii="Arial" w:eastAsia="Times New Roman" w:hAnsi="Arial" w:cs="Arial"/>
          <w:b/>
          <w:lang w:val="es-ES" w:eastAsia="es-ES"/>
        </w:rPr>
        <w:lastRenderedPageBreak/>
        <w:t>Mejoramiento de la Calidad de Vida de los Mineros de Subsistencia en el Territorio Nacional:</w:t>
      </w:r>
    </w:p>
    <w:p w14:paraId="48DC9584" w14:textId="77777777" w:rsidR="00BC1C03" w:rsidRPr="008940C9" w:rsidRDefault="00BC1C03" w:rsidP="00BC1C03">
      <w:pPr>
        <w:spacing w:after="0" w:line="240" w:lineRule="auto"/>
        <w:ind w:left="720"/>
        <w:jc w:val="both"/>
        <w:rPr>
          <w:rFonts w:ascii="Arial" w:eastAsia="Times New Roman" w:hAnsi="Arial" w:cs="Arial"/>
          <w:b/>
          <w:lang w:val="es-ES" w:eastAsia="es-ES"/>
        </w:rPr>
      </w:pPr>
    </w:p>
    <w:p w14:paraId="5160BF0C" w14:textId="77777777" w:rsidR="00BC1C03" w:rsidRPr="001B53CC" w:rsidRDefault="00BC1C03" w:rsidP="00BC1C03">
      <w:pPr>
        <w:spacing w:after="0" w:line="240" w:lineRule="auto"/>
        <w:jc w:val="both"/>
        <w:rPr>
          <w:rFonts w:ascii="Arial" w:eastAsia="Arial" w:hAnsi="Arial" w:cs="Arial"/>
        </w:rPr>
      </w:pPr>
      <w:r w:rsidRPr="001B53CC">
        <w:rPr>
          <w:rFonts w:ascii="Arial" w:eastAsia="Arial" w:hAnsi="Arial" w:cs="Arial"/>
        </w:rPr>
        <w:t>Este proyecto cuenta con una apropiación vigente de $3.688 millones de pesos de los cuales se comprometieron $3.597 millones de pesos, equivalentes al 97,53%. En el trimestre ejecutaron $</w:t>
      </w:r>
      <w:r>
        <w:rPr>
          <w:rFonts w:ascii="Arial" w:eastAsia="Arial" w:hAnsi="Arial" w:cs="Arial"/>
        </w:rPr>
        <w:t>56 millones de pesos</w:t>
      </w:r>
      <w:r w:rsidRPr="001B53CC">
        <w:rPr>
          <w:rFonts w:ascii="Arial" w:eastAsia="Times New Roman" w:hAnsi="Arial" w:cs="Arial"/>
          <w:lang w:val="es-ES" w:eastAsia="es-ES"/>
        </w:rPr>
        <w:t xml:space="preserve"> para las actividades de apoyo a la gestión y seguimiento del proyecto.</w:t>
      </w:r>
    </w:p>
    <w:p w14:paraId="078DFDE3" w14:textId="77777777" w:rsidR="00BC1C03" w:rsidRPr="001B53CC" w:rsidRDefault="00BC1C03" w:rsidP="00BC1C03">
      <w:pPr>
        <w:spacing w:after="0" w:line="240" w:lineRule="auto"/>
        <w:jc w:val="both"/>
        <w:rPr>
          <w:rFonts w:ascii="Arial" w:eastAsia="Arial" w:hAnsi="Arial" w:cs="Arial"/>
        </w:rPr>
      </w:pPr>
    </w:p>
    <w:p w14:paraId="6D51AEBA" w14:textId="77777777" w:rsidR="00BC1C03" w:rsidRPr="00967610" w:rsidRDefault="00BC1C03" w:rsidP="00BC1C03">
      <w:pPr>
        <w:spacing w:after="0" w:line="240" w:lineRule="auto"/>
        <w:jc w:val="both"/>
        <w:rPr>
          <w:rFonts w:ascii="Arial" w:hAnsi="Arial" w:cs="Arial"/>
        </w:rPr>
      </w:pPr>
      <w:r w:rsidRPr="00967610">
        <w:rPr>
          <w:rFonts w:ascii="Arial" w:hAnsi="Arial" w:cs="Arial"/>
        </w:rPr>
        <w:t xml:space="preserve">De igual manera se </w:t>
      </w:r>
      <w:r>
        <w:rPr>
          <w:rFonts w:ascii="Arial" w:hAnsi="Arial" w:cs="Arial"/>
        </w:rPr>
        <w:t>han obligado</w:t>
      </w:r>
      <w:r w:rsidRPr="00967610">
        <w:rPr>
          <w:rFonts w:ascii="Arial" w:hAnsi="Arial" w:cs="Arial"/>
        </w:rPr>
        <w:t xml:space="preserve"> recursos por $</w:t>
      </w:r>
      <w:r>
        <w:rPr>
          <w:rFonts w:ascii="Arial" w:hAnsi="Arial" w:cs="Arial"/>
        </w:rPr>
        <w:t>2.916</w:t>
      </w:r>
      <w:r w:rsidRPr="00967610">
        <w:rPr>
          <w:rFonts w:ascii="Arial" w:hAnsi="Arial" w:cs="Arial"/>
        </w:rPr>
        <w:t xml:space="preserve"> millones de pesos,</w:t>
      </w:r>
      <w:r>
        <w:rPr>
          <w:rFonts w:ascii="Arial" w:hAnsi="Arial" w:cs="Arial"/>
        </w:rPr>
        <w:t xml:space="preserve"> siendo ejecutados durante el trimestre $2.689 millones de pesos </w:t>
      </w:r>
      <w:r w:rsidRPr="00967610">
        <w:rPr>
          <w:rFonts w:ascii="Arial" w:hAnsi="Arial" w:cs="Arial"/>
        </w:rPr>
        <w:t xml:space="preserve">distribuidos de la siguiente manera: </w:t>
      </w:r>
    </w:p>
    <w:p w14:paraId="71A8F76D" w14:textId="77777777" w:rsidR="00BC1C03" w:rsidRPr="00A201DA" w:rsidRDefault="00BC1C03" w:rsidP="00BC1C03">
      <w:pPr>
        <w:spacing w:after="0" w:line="240" w:lineRule="auto"/>
        <w:jc w:val="both"/>
        <w:rPr>
          <w:rFonts w:ascii="Arial" w:hAnsi="Arial" w:cs="Arial"/>
          <w:highlight w:val="yellow"/>
        </w:rPr>
      </w:pPr>
    </w:p>
    <w:p w14:paraId="7A28F320" w14:textId="77777777" w:rsidR="00BC1C03" w:rsidRDefault="00BC1C03" w:rsidP="008B4625">
      <w:pPr>
        <w:numPr>
          <w:ilvl w:val="0"/>
          <w:numId w:val="64"/>
        </w:numPr>
        <w:spacing w:after="0" w:line="240" w:lineRule="auto"/>
        <w:ind w:left="284"/>
        <w:jc w:val="both"/>
        <w:rPr>
          <w:rFonts w:ascii="Arial" w:eastAsia="Arial" w:hAnsi="Arial" w:cs="Arial"/>
        </w:rPr>
      </w:pPr>
      <w:r>
        <w:rPr>
          <w:rFonts w:ascii="Arial" w:eastAsia="Arial" w:hAnsi="Arial" w:cs="Arial"/>
        </w:rPr>
        <w:t>El valor de $2.000 millones de pesos para el primer pago del convenio suscrito con el Fondo Financiero de Proyectos de Desarrollo – FONADE.</w:t>
      </w:r>
    </w:p>
    <w:p w14:paraId="10040D70" w14:textId="77777777" w:rsidR="00BC1C03" w:rsidRPr="00C714C7" w:rsidRDefault="00BC1C03" w:rsidP="00BC1C03">
      <w:pPr>
        <w:spacing w:after="0" w:line="240" w:lineRule="auto"/>
        <w:ind w:left="284"/>
        <w:jc w:val="both"/>
        <w:rPr>
          <w:rFonts w:ascii="Arial" w:eastAsia="Arial" w:hAnsi="Arial" w:cs="Arial"/>
        </w:rPr>
      </w:pPr>
    </w:p>
    <w:p w14:paraId="06842A14" w14:textId="77777777" w:rsidR="00BC1C03" w:rsidRPr="00C714C7" w:rsidRDefault="00BC1C03" w:rsidP="008B4625">
      <w:pPr>
        <w:numPr>
          <w:ilvl w:val="0"/>
          <w:numId w:val="64"/>
        </w:numPr>
        <w:spacing w:after="0" w:line="240" w:lineRule="auto"/>
        <w:ind w:left="284"/>
        <w:jc w:val="both"/>
        <w:rPr>
          <w:rFonts w:ascii="Arial" w:eastAsia="Arial" w:hAnsi="Arial" w:cs="Arial"/>
        </w:rPr>
      </w:pPr>
      <w:r w:rsidRPr="00C714C7">
        <w:rPr>
          <w:rFonts w:ascii="Arial" w:eastAsia="Times New Roman" w:hAnsi="Arial" w:cs="Arial"/>
          <w:lang w:val="es-ES" w:eastAsia="es-ES"/>
        </w:rPr>
        <w:t xml:space="preserve">El valor de $689 millones de pesos de pesos para </w:t>
      </w:r>
      <w:r w:rsidRPr="00C714C7">
        <w:rPr>
          <w:rFonts w:ascii="Arial" w:eastAsia="Arial" w:hAnsi="Arial" w:cs="Arial"/>
        </w:rPr>
        <w:t xml:space="preserve">el pago de actividades de apoyo a la gestión y seguimiento del proyecto. </w:t>
      </w:r>
    </w:p>
    <w:p w14:paraId="174EF113" w14:textId="77777777" w:rsidR="00BC1C03" w:rsidRPr="00A201DA" w:rsidRDefault="00BC1C03" w:rsidP="00BC1C03">
      <w:pPr>
        <w:spacing w:after="0" w:line="240" w:lineRule="auto"/>
        <w:jc w:val="both"/>
        <w:rPr>
          <w:rFonts w:ascii="Arial" w:eastAsia="Arial" w:hAnsi="Arial" w:cs="Arial"/>
          <w:highlight w:val="yellow"/>
        </w:rPr>
      </w:pPr>
    </w:p>
    <w:p w14:paraId="4A831508" w14:textId="77777777" w:rsidR="00BC1C03" w:rsidRPr="00967610" w:rsidRDefault="00BC1C03" w:rsidP="008B4625">
      <w:pPr>
        <w:numPr>
          <w:ilvl w:val="0"/>
          <w:numId w:val="26"/>
        </w:numPr>
        <w:spacing w:after="0" w:line="240" w:lineRule="auto"/>
        <w:ind w:left="426"/>
        <w:jc w:val="both"/>
        <w:rPr>
          <w:rFonts w:ascii="Arial" w:eastAsia="Times New Roman" w:hAnsi="Arial" w:cs="Arial"/>
          <w:b/>
          <w:lang w:val="es-ES" w:eastAsia="es-ES"/>
        </w:rPr>
      </w:pPr>
      <w:r w:rsidRPr="00967610">
        <w:rPr>
          <w:rFonts w:ascii="Arial" w:eastAsia="Times New Roman" w:hAnsi="Arial" w:cs="Arial"/>
          <w:b/>
          <w:lang w:val="es-ES" w:eastAsia="es-ES"/>
        </w:rPr>
        <w:t>Fortalecimiento de la Política Nacional de Seguridad Minera en el Territorio Nacional:</w:t>
      </w:r>
    </w:p>
    <w:p w14:paraId="21CAB76A" w14:textId="77777777" w:rsidR="00BC1C03" w:rsidRPr="00967610" w:rsidRDefault="00BC1C03" w:rsidP="00BC1C03">
      <w:pPr>
        <w:spacing w:after="0" w:line="240" w:lineRule="auto"/>
        <w:ind w:left="720"/>
        <w:jc w:val="both"/>
        <w:rPr>
          <w:rFonts w:ascii="Arial" w:eastAsia="Times New Roman" w:hAnsi="Arial" w:cs="Arial"/>
          <w:b/>
          <w:lang w:val="es-ES" w:eastAsia="es-ES"/>
        </w:rPr>
      </w:pPr>
    </w:p>
    <w:p w14:paraId="78EB195F" w14:textId="77777777" w:rsidR="00BC1C03" w:rsidRDefault="00BC1C03" w:rsidP="00BC1C03">
      <w:pPr>
        <w:spacing w:after="0" w:line="240" w:lineRule="auto"/>
        <w:jc w:val="both"/>
        <w:rPr>
          <w:rFonts w:ascii="Arial" w:eastAsia="Arial" w:hAnsi="Arial" w:cs="Arial"/>
        </w:rPr>
      </w:pPr>
      <w:r w:rsidRPr="00967610">
        <w:rPr>
          <w:rFonts w:ascii="Arial" w:eastAsia="Arial" w:hAnsi="Arial" w:cs="Arial"/>
        </w:rPr>
        <w:t>Este proyecto cuenta con una apropiación</w:t>
      </w:r>
      <w:r>
        <w:rPr>
          <w:rFonts w:ascii="Arial" w:eastAsia="Arial" w:hAnsi="Arial" w:cs="Arial"/>
        </w:rPr>
        <w:t xml:space="preserve"> vigente</w:t>
      </w:r>
      <w:r w:rsidRPr="00967610">
        <w:rPr>
          <w:rFonts w:ascii="Arial" w:eastAsia="Arial" w:hAnsi="Arial" w:cs="Arial"/>
        </w:rPr>
        <w:t xml:space="preserve"> de $</w:t>
      </w:r>
      <w:r>
        <w:rPr>
          <w:rFonts w:ascii="Arial" w:eastAsia="Arial" w:hAnsi="Arial" w:cs="Arial"/>
        </w:rPr>
        <w:t>1.898</w:t>
      </w:r>
      <w:r w:rsidRPr="00967610">
        <w:rPr>
          <w:rFonts w:ascii="Arial" w:eastAsia="Arial" w:hAnsi="Arial" w:cs="Arial"/>
        </w:rPr>
        <w:t xml:space="preserve"> millones de pesos, de los cuales se comprometieron </w:t>
      </w:r>
      <w:r>
        <w:rPr>
          <w:rFonts w:ascii="Arial" w:eastAsia="Arial" w:hAnsi="Arial" w:cs="Arial"/>
        </w:rPr>
        <w:t>al cierre del segundo semestre $869</w:t>
      </w:r>
      <w:r w:rsidRPr="00967610">
        <w:rPr>
          <w:rFonts w:ascii="Arial" w:eastAsia="Arial" w:hAnsi="Arial" w:cs="Arial"/>
        </w:rPr>
        <w:t xml:space="preserve"> millo</w:t>
      </w:r>
      <w:r>
        <w:rPr>
          <w:rFonts w:ascii="Arial" w:eastAsia="Arial" w:hAnsi="Arial" w:cs="Arial"/>
        </w:rPr>
        <w:t>nes de pesos, equivalentes al 45,81% de ejecución y se obligaron $130</w:t>
      </w:r>
      <w:r w:rsidRPr="000E08F8">
        <w:rPr>
          <w:rFonts w:ascii="Arial" w:hAnsi="Arial" w:cs="Arial"/>
        </w:rPr>
        <w:t xml:space="preserve"> millones de pesos, equivalentes al 6,85</w:t>
      </w:r>
      <w:r>
        <w:rPr>
          <w:rFonts w:ascii="Arial" w:hAnsi="Arial" w:cs="Arial"/>
        </w:rPr>
        <w:t>%.</w:t>
      </w:r>
    </w:p>
    <w:p w14:paraId="6E3956BB" w14:textId="77777777" w:rsidR="00BC1C03" w:rsidRDefault="00BC1C03" w:rsidP="00BC1C03">
      <w:pPr>
        <w:spacing w:after="0" w:line="240" w:lineRule="auto"/>
        <w:jc w:val="both"/>
        <w:rPr>
          <w:rFonts w:ascii="Arial" w:eastAsia="Arial" w:hAnsi="Arial" w:cs="Arial"/>
        </w:rPr>
      </w:pPr>
    </w:p>
    <w:p w14:paraId="28C142A4" w14:textId="77777777" w:rsidR="00BC1C03" w:rsidRPr="00967610" w:rsidRDefault="00BC1C03" w:rsidP="00BC1C03">
      <w:pPr>
        <w:spacing w:after="0" w:line="240" w:lineRule="auto"/>
        <w:jc w:val="both"/>
        <w:rPr>
          <w:rFonts w:ascii="Arial" w:eastAsia="Arial" w:hAnsi="Arial" w:cs="Arial"/>
        </w:rPr>
      </w:pPr>
      <w:r>
        <w:rPr>
          <w:rFonts w:ascii="Arial" w:eastAsia="Arial" w:hAnsi="Arial" w:cs="Arial"/>
        </w:rPr>
        <w:t>Durante el trimestre ejecutaron $9 millones en compromisos y $32 millones de pesos en obligaciones destinados para las actividades de apoyo y seguimiento a la gestión del proyecto.</w:t>
      </w:r>
    </w:p>
    <w:p w14:paraId="1926470D" w14:textId="77777777" w:rsidR="00BC1C03" w:rsidRPr="000E08F8" w:rsidRDefault="00BC1C03" w:rsidP="00BC1C03">
      <w:pPr>
        <w:spacing w:after="0" w:line="240" w:lineRule="auto"/>
        <w:jc w:val="both"/>
        <w:rPr>
          <w:rFonts w:ascii="Arial" w:eastAsia="Arial" w:hAnsi="Arial" w:cs="Arial"/>
        </w:rPr>
      </w:pPr>
    </w:p>
    <w:p w14:paraId="6C807D69" w14:textId="77777777" w:rsidR="00BC1C03" w:rsidRPr="00A77ED4" w:rsidRDefault="00BC1C03" w:rsidP="008B4625">
      <w:pPr>
        <w:numPr>
          <w:ilvl w:val="0"/>
          <w:numId w:val="26"/>
        </w:numPr>
        <w:spacing w:after="0" w:line="240" w:lineRule="auto"/>
        <w:ind w:left="426"/>
        <w:jc w:val="both"/>
        <w:rPr>
          <w:rFonts w:ascii="Arial" w:eastAsia="Times New Roman" w:hAnsi="Arial" w:cs="Arial"/>
          <w:b/>
          <w:lang w:val="es-ES" w:eastAsia="es-ES"/>
        </w:rPr>
      </w:pPr>
      <w:r w:rsidRPr="00A77ED4">
        <w:rPr>
          <w:rFonts w:ascii="Arial" w:eastAsia="Times New Roman" w:hAnsi="Arial" w:cs="Arial"/>
          <w:b/>
          <w:lang w:val="es-ES" w:eastAsia="es-ES"/>
        </w:rPr>
        <w:t>Apoyo para la Generación de Acceso al Crédito para la Pequeña Minería a Nivel Nacional:</w:t>
      </w:r>
    </w:p>
    <w:p w14:paraId="18580E1F" w14:textId="77777777" w:rsidR="00BC1C03" w:rsidRPr="00A77ED4" w:rsidRDefault="00BC1C03" w:rsidP="00BC1C03">
      <w:pPr>
        <w:spacing w:after="0" w:line="240" w:lineRule="auto"/>
        <w:ind w:left="720"/>
        <w:jc w:val="both"/>
        <w:rPr>
          <w:rFonts w:ascii="Arial" w:eastAsia="Times New Roman" w:hAnsi="Arial" w:cs="Arial"/>
          <w:b/>
          <w:lang w:val="es-ES" w:eastAsia="es-ES"/>
        </w:rPr>
      </w:pPr>
    </w:p>
    <w:p w14:paraId="0522812C" w14:textId="19FCF52E" w:rsidR="00BC1C03" w:rsidRPr="00A77ED4" w:rsidRDefault="00BC1C03" w:rsidP="00BC1C03">
      <w:pPr>
        <w:spacing w:after="0" w:line="240" w:lineRule="auto"/>
        <w:jc w:val="both"/>
        <w:rPr>
          <w:rFonts w:ascii="Arial" w:eastAsia="Arial" w:hAnsi="Arial" w:cs="Arial"/>
        </w:rPr>
      </w:pPr>
      <w:r w:rsidRPr="00A77ED4">
        <w:rPr>
          <w:rFonts w:ascii="Arial" w:eastAsia="Arial" w:hAnsi="Arial" w:cs="Arial"/>
        </w:rPr>
        <w:t xml:space="preserve">Este proyecto cuenta con una apropiación </w:t>
      </w:r>
      <w:r w:rsidR="0002281B" w:rsidRPr="00A77ED4">
        <w:rPr>
          <w:rFonts w:ascii="Arial" w:eastAsia="Arial" w:hAnsi="Arial" w:cs="Arial"/>
        </w:rPr>
        <w:t>vigente de</w:t>
      </w:r>
      <w:r w:rsidRPr="00A77ED4">
        <w:rPr>
          <w:rFonts w:ascii="Arial" w:eastAsia="Arial" w:hAnsi="Arial" w:cs="Arial"/>
        </w:rPr>
        <w:t xml:space="preserve"> $1.400 millones de pesos, de los cuales se comprometieron para el segundo trimestre $43 millones de pesos para pagar intereses de proyectos consistentes en líneas de crédito con tasa compensada ($29m) y para actividades de apoyo y seguimiento a la gestión del proyecto ($14m)</w:t>
      </w:r>
      <w:r>
        <w:rPr>
          <w:rFonts w:ascii="Arial" w:eastAsia="Arial" w:hAnsi="Arial" w:cs="Arial"/>
        </w:rPr>
        <w:t>. Presentó un acumulado de $ 517 millones de pesos equivalentes a un 36,90% comprometido.</w:t>
      </w:r>
    </w:p>
    <w:p w14:paraId="17C23A85" w14:textId="77777777" w:rsidR="00BC1C03" w:rsidRPr="00A201DA" w:rsidRDefault="00BC1C03" w:rsidP="00BC1C03">
      <w:pPr>
        <w:spacing w:after="0" w:line="240" w:lineRule="auto"/>
        <w:jc w:val="both"/>
        <w:rPr>
          <w:rFonts w:ascii="Arial" w:eastAsia="Arial" w:hAnsi="Arial" w:cs="Arial"/>
          <w:highlight w:val="yellow"/>
        </w:rPr>
      </w:pPr>
    </w:p>
    <w:p w14:paraId="114BC960" w14:textId="77777777" w:rsidR="00BC1C03" w:rsidRDefault="00BC1C03" w:rsidP="00BC1C03">
      <w:pPr>
        <w:spacing w:after="0" w:line="240" w:lineRule="auto"/>
        <w:jc w:val="both"/>
        <w:rPr>
          <w:rFonts w:ascii="Arial" w:eastAsia="Arial" w:hAnsi="Arial" w:cs="Arial"/>
        </w:rPr>
      </w:pPr>
      <w:r w:rsidRPr="00540B8F">
        <w:rPr>
          <w:rFonts w:ascii="Arial" w:eastAsia="Arial" w:hAnsi="Arial" w:cs="Arial"/>
        </w:rPr>
        <w:t>De igual manera, en el trimestre se obligaron recursos por $162 millones de pesos, para el pago de actividades de apoyo y seguimiento a la gestión del proyecto</w:t>
      </w:r>
      <w:r>
        <w:rPr>
          <w:rFonts w:ascii="Arial" w:eastAsia="Arial" w:hAnsi="Arial" w:cs="Arial"/>
        </w:rPr>
        <w:t xml:space="preserve">. Así pues, el proyecto reflejó un </w:t>
      </w:r>
      <w:r w:rsidRPr="00A927B0">
        <w:rPr>
          <w:rFonts w:ascii="Arial" w:eastAsia="Arial" w:hAnsi="Arial" w:cs="Arial"/>
        </w:rPr>
        <w:t xml:space="preserve">acumulado por $ 215 millones de pesos equivalentes al 15,36% en ejecución. </w:t>
      </w:r>
    </w:p>
    <w:p w14:paraId="23791F2D" w14:textId="77777777" w:rsidR="00BC1C03" w:rsidRPr="00A927B0" w:rsidRDefault="00BC1C03" w:rsidP="00BC1C03">
      <w:pPr>
        <w:spacing w:after="0" w:line="240" w:lineRule="auto"/>
        <w:jc w:val="both"/>
        <w:rPr>
          <w:rFonts w:ascii="Arial" w:eastAsia="Arial" w:hAnsi="Arial" w:cs="Arial"/>
        </w:rPr>
      </w:pPr>
    </w:p>
    <w:p w14:paraId="51092DB6" w14:textId="77777777" w:rsidR="00BC1C03" w:rsidRPr="00A927B0" w:rsidRDefault="00BC1C03" w:rsidP="00BC1C03">
      <w:pPr>
        <w:numPr>
          <w:ilvl w:val="0"/>
          <w:numId w:val="25"/>
        </w:numPr>
        <w:spacing w:after="0" w:line="240" w:lineRule="auto"/>
        <w:ind w:left="426"/>
        <w:jc w:val="both"/>
        <w:rPr>
          <w:rFonts w:ascii="Arial" w:eastAsia="Times New Roman" w:hAnsi="Arial" w:cs="Arial"/>
          <w:b/>
          <w:u w:val="single"/>
          <w:lang w:val="es-ES" w:eastAsia="es-ES"/>
        </w:rPr>
      </w:pPr>
      <w:r w:rsidRPr="00A927B0">
        <w:rPr>
          <w:rFonts w:ascii="Arial" w:eastAsia="Times New Roman" w:hAnsi="Arial" w:cs="Arial"/>
          <w:b/>
          <w:u w:val="single"/>
          <w:lang w:val="es-ES" w:eastAsia="es-ES"/>
        </w:rPr>
        <w:t xml:space="preserve">Dirección de Minería Empresarial: </w:t>
      </w:r>
    </w:p>
    <w:p w14:paraId="682B8611" w14:textId="77777777" w:rsidR="00BC1C03" w:rsidRPr="00A927B0" w:rsidRDefault="00BC1C03" w:rsidP="00BC1C03">
      <w:pPr>
        <w:spacing w:after="0" w:line="240" w:lineRule="auto"/>
        <w:ind w:left="720"/>
        <w:jc w:val="both"/>
        <w:rPr>
          <w:rFonts w:ascii="Arial" w:eastAsia="Times New Roman" w:hAnsi="Arial" w:cs="Arial"/>
          <w:b/>
          <w:u w:val="single"/>
          <w:lang w:val="es-ES" w:eastAsia="es-ES"/>
        </w:rPr>
      </w:pPr>
    </w:p>
    <w:p w14:paraId="68C32A0B" w14:textId="77777777" w:rsidR="00BC1C03" w:rsidRPr="00B93D4E" w:rsidRDefault="00BC1C03" w:rsidP="00BC1C03">
      <w:pPr>
        <w:spacing w:after="0" w:line="240" w:lineRule="auto"/>
        <w:jc w:val="both"/>
        <w:rPr>
          <w:rFonts w:ascii="Arial" w:eastAsia="Times New Roman" w:hAnsi="Arial" w:cs="Arial"/>
          <w:b/>
          <w:u w:val="single"/>
          <w:lang w:val="es-ES" w:eastAsia="es-ES"/>
        </w:rPr>
      </w:pPr>
      <w:r w:rsidRPr="00A927B0">
        <w:rPr>
          <w:rFonts w:ascii="Arial" w:eastAsia="Arial" w:hAnsi="Arial" w:cs="Arial"/>
        </w:rPr>
        <w:t xml:space="preserve">La Dirección de Minería Empresarial cuenta con dos proyectos para la vigencia 2018 con una </w:t>
      </w:r>
      <w:r w:rsidRPr="00B93D4E">
        <w:rPr>
          <w:rFonts w:ascii="Arial" w:eastAsia="Arial" w:hAnsi="Arial" w:cs="Arial"/>
        </w:rPr>
        <w:t>apropiación total vigente de $10.300 millones de pesos, de los cuales presentaron un acumulado en sus compromisos al cierre del primer semestre de $4.285 millones de pesos, equivalentes a un 41,60% de ejecución. Por su parte, en obligaciones se ejecutaron recursos por $915 millones de pesos, equivalentes al 18,89%. Durante este trimestre se aplazaron $700 millones de pesos al proyecto Mejoramiento de la imagen y percepción de la Industria minera.</w:t>
      </w:r>
    </w:p>
    <w:p w14:paraId="2230C91B" w14:textId="77777777" w:rsidR="00BC1C03" w:rsidRPr="00B93D4E" w:rsidRDefault="00BC1C03" w:rsidP="00BC1C03">
      <w:pPr>
        <w:spacing w:after="0" w:line="240" w:lineRule="auto"/>
        <w:ind w:left="720"/>
        <w:jc w:val="both"/>
        <w:rPr>
          <w:rFonts w:ascii="Arial" w:eastAsia="Times New Roman" w:hAnsi="Arial" w:cs="Arial"/>
          <w:b/>
          <w:u w:val="single"/>
          <w:lang w:val="es-ES" w:eastAsia="es-ES"/>
        </w:rPr>
      </w:pPr>
    </w:p>
    <w:p w14:paraId="449FD3DF" w14:textId="77777777" w:rsidR="00BC1C03" w:rsidRPr="00B93D4E" w:rsidRDefault="00BC1C03" w:rsidP="008B4625">
      <w:pPr>
        <w:numPr>
          <w:ilvl w:val="0"/>
          <w:numId w:val="26"/>
        </w:numPr>
        <w:spacing w:after="0" w:line="240" w:lineRule="auto"/>
        <w:ind w:left="360"/>
        <w:jc w:val="both"/>
        <w:rPr>
          <w:rFonts w:ascii="Arial" w:eastAsia="Times New Roman" w:hAnsi="Arial" w:cs="Arial"/>
          <w:b/>
          <w:u w:val="single"/>
          <w:lang w:val="es-ES" w:eastAsia="es-ES"/>
        </w:rPr>
      </w:pPr>
      <w:r w:rsidRPr="00B93D4E">
        <w:rPr>
          <w:rFonts w:ascii="Arial" w:eastAsia="Times New Roman" w:hAnsi="Arial" w:cs="Arial"/>
          <w:b/>
          <w:lang w:val="es-ES" w:eastAsia="es-ES"/>
        </w:rPr>
        <w:t>Mejoramiento de la Imagen y Percepción de la Industria Minera para Facilitar la puesta en marcha de los Proyectos Mineros en el Territorios Nacional:</w:t>
      </w:r>
    </w:p>
    <w:p w14:paraId="428FDB4B" w14:textId="77777777" w:rsidR="00BC1C03" w:rsidRPr="00B93D4E" w:rsidRDefault="00BC1C03" w:rsidP="00BC1C03">
      <w:pPr>
        <w:spacing w:after="0" w:line="240" w:lineRule="auto"/>
        <w:ind w:left="720"/>
        <w:jc w:val="both"/>
        <w:rPr>
          <w:rFonts w:ascii="Arial" w:eastAsia="Times New Roman" w:hAnsi="Arial" w:cs="Arial"/>
          <w:b/>
          <w:lang w:val="es-ES" w:eastAsia="es-ES"/>
        </w:rPr>
      </w:pPr>
    </w:p>
    <w:p w14:paraId="23DC9873"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 xml:space="preserve">Este proyecto cuenta con una apropiación vigente para el año 2018 de $5.300 millones de pesos, ejecutando en el trimestre $175 millones de pesos en compromisos y $742 millones de pesos en obligaciones para el desarrollo de actividades de apoyo y seguimiento a la gestión del proyecto. </w:t>
      </w:r>
    </w:p>
    <w:p w14:paraId="60D14333" w14:textId="77777777" w:rsidR="00BC1C03" w:rsidRPr="00B93D4E" w:rsidRDefault="00BC1C03" w:rsidP="00BC1C03">
      <w:pPr>
        <w:spacing w:after="0" w:line="240" w:lineRule="auto"/>
        <w:jc w:val="both"/>
        <w:rPr>
          <w:rFonts w:ascii="Arial" w:eastAsia="Arial" w:hAnsi="Arial" w:cs="Arial"/>
        </w:rPr>
      </w:pPr>
    </w:p>
    <w:p w14:paraId="570BEA0C"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El proyecto cerró con una ejecución acumulada en compromisos y obligaciones de $ 3.996 millones de pesos y $882 millones de pesos respectivamente, equivalentes a un 75,39%y 16,63%.</w:t>
      </w:r>
    </w:p>
    <w:p w14:paraId="7F1EA51F" w14:textId="77777777" w:rsidR="00BC1C03" w:rsidRPr="00B93D4E" w:rsidRDefault="00BC1C03" w:rsidP="00BC1C03">
      <w:pPr>
        <w:spacing w:after="0" w:line="240" w:lineRule="auto"/>
        <w:ind w:left="426"/>
        <w:jc w:val="both"/>
        <w:rPr>
          <w:rFonts w:ascii="Arial" w:eastAsia="Times New Roman" w:hAnsi="Arial" w:cs="Arial"/>
          <w:lang w:eastAsia="es-ES"/>
        </w:rPr>
      </w:pPr>
    </w:p>
    <w:p w14:paraId="55B1A380" w14:textId="77777777" w:rsidR="00BC1C03" w:rsidRPr="00B93D4E" w:rsidRDefault="00BC1C03" w:rsidP="008B4625">
      <w:pPr>
        <w:numPr>
          <w:ilvl w:val="0"/>
          <w:numId w:val="26"/>
        </w:numPr>
        <w:spacing w:after="0" w:line="240" w:lineRule="auto"/>
        <w:ind w:left="360"/>
        <w:jc w:val="both"/>
        <w:rPr>
          <w:rFonts w:ascii="Arial" w:eastAsia="Times New Roman" w:hAnsi="Arial" w:cs="Arial"/>
          <w:b/>
          <w:u w:val="single"/>
          <w:lang w:val="es-ES" w:eastAsia="es-ES"/>
        </w:rPr>
      </w:pPr>
      <w:r w:rsidRPr="00B93D4E">
        <w:rPr>
          <w:rFonts w:ascii="Arial" w:eastAsia="Times New Roman" w:hAnsi="Arial" w:cs="Arial"/>
          <w:b/>
          <w:lang w:val="es-ES" w:eastAsia="es-ES"/>
        </w:rPr>
        <w:t>Fortalecimiento de la competitividad en la industria minera en los departamentos de Cundinamarca, Boyacá y Norte de Santander:</w:t>
      </w:r>
    </w:p>
    <w:p w14:paraId="1ADA4E7A" w14:textId="77777777" w:rsidR="00BC1C03" w:rsidRPr="00B93D4E" w:rsidRDefault="00BC1C03" w:rsidP="00BC1C03">
      <w:pPr>
        <w:spacing w:after="0" w:line="240" w:lineRule="auto"/>
        <w:jc w:val="both"/>
        <w:rPr>
          <w:rFonts w:ascii="Arial" w:eastAsia="Times New Roman" w:hAnsi="Arial" w:cs="Arial"/>
          <w:b/>
          <w:lang w:val="es-ES" w:eastAsia="es-ES"/>
        </w:rPr>
      </w:pPr>
    </w:p>
    <w:p w14:paraId="44016427" w14:textId="77777777" w:rsidR="00BC1C03" w:rsidRPr="00B93D4E" w:rsidRDefault="00BC1C03" w:rsidP="00BC1C03">
      <w:pPr>
        <w:spacing w:after="0" w:line="240" w:lineRule="auto"/>
        <w:jc w:val="both"/>
        <w:rPr>
          <w:rFonts w:ascii="Arial" w:eastAsia="Times New Roman" w:hAnsi="Arial" w:cs="Arial"/>
          <w:lang w:val="es-ES" w:eastAsia="es-ES"/>
        </w:rPr>
      </w:pPr>
      <w:r w:rsidRPr="00B93D4E">
        <w:rPr>
          <w:rFonts w:ascii="Arial" w:eastAsia="Times New Roman" w:hAnsi="Arial" w:cs="Arial"/>
          <w:lang w:val="es-ES" w:eastAsia="es-ES"/>
        </w:rPr>
        <w:t>Este proyecto cuenta con una apropiación vigente para el año 2018 de $5.000 millones de pesos. Al cierre del semestre, sus compromisos fueron de $ 290 millones y $34 millones en obligaciones para un porcentaje de ejecución de un $ 5,79% y 0,67%.</w:t>
      </w:r>
    </w:p>
    <w:p w14:paraId="046C111A" w14:textId="77777777" w:rsidR="00BC1C03" w:rsidRPr="00B93D4E" w:rsidRDefault="00BC1C03" w:rsidP="00BC1C03">
      <w:pPr>
        <w:spacing w:after="0" w:line="240" w:lineRule="auto"/>
        <w:jc w:val="both"/>
        <w:rPr>
          <w:rFonts w:ascii="Arial" w:eastAsia="Times New Roman" w:hAnsi="Arial" w:cs="Arial"/>
          <w:lang w:val="es-ES" w:eastAsia="es-ES"/>
        </w:rPr>
      </w:pPr>
    </w:p>
    <w:p w14:paraId="40D8B942" w14:textId="77777777" w:rsidR="00BC1C03" w:rsidRDefault="00BC1C03" w:rsidP="00BC1C03">
      <w:pPr>
        <w:spacing w:after="0" w:line="240" w:lineRule="auto"/>
        <w:jc w:val="both"/>
        <w:rPr>
          <w:rFonts w:ascii="Arial" w:eastAsia="Arial" w:hAnsi="Arial" w:cs="Arial"/>
        </w:rPr>
      </w:pPr>
      <w:r w:rsidRPr="00B93D4E">
        <w:rPr>
          <w:rFonts w:ascii="Arial" w:eastAsia="Times New Roman" w:hAnsi="Arial" w:cs="Arial"/>
          <w:lang w:val="es-ES" w:eastAsia="es-ES"/>
        </w:rPr>
        <w:t xml:space="preserve">Durante el trimestre ejecutaron $24 millones de pesos en obligaciones destinados al pago de las actividades de </w:t>
      </w:r>
      <w:r w:rsidRPr="00B93D4E">
        <w:rPr>
          <w:rFonts w:ascii="Arial" w:eastAsia="Arial" w:hAnsi="Arial" w:cs="Arial"/>
        </w:rPr>
        <w:t xml:space="preserve">apoyo y seguimiento a la gestión del proyecto. </w:t>
      </w:r>
    </w:p>
    <w:p w14:paraId="5547F643" w14:textId="77777777" w:rsidR="00BC1C03" w:rsidRDefault="00BC1C03" w:rsidP="00BC1C03">
      <w:pPr>
        <w:spacing w:after="0" w:line="240" w:lineRule="auto"/>
        <w:jc w:val="both"/>
        <w:rPr>
          <w:rFonts w:ascii="Arial" w:eastAsia="Arial" w:hAnsi="Arial" w:cs="Arial"/>
        </w:rPr>
      </w:pPr>
    </w:p>
    <w:p w14:paraId="44BF47A6" w14:textId="77777777" w:rsidR="00BC1C03" w:rsidRDefault="00BC1C03" w:rsidP="00BC1C03">
      <w:pPr>
        <w:spacing w:after="0" w:line="240" w:lineRule="auto"/>
        <w:jc w:val="both"/>
        <w:rPr>
          <w:rFonts w:ascii="Arial" w:eastAsia="Arial" w:hAnsi="Arial" w:cs="Arial"/>
        </w:rPr>
      </w:pPr>
    </w:p>
    <w:p w14:paraId="792C86F0" w14:textId="77777777" w:rsidR="00BC1C03" w:rsidRPr="00B93D4E" w:rsidRDefault="00BC1C03" w:rsidP="00BC1C03">
      <w:pPr>
        <w:spacing w:after="0" w:line="240" w:lineRule="auto"/>
        <w:jc w:val="both"/>
        <w:rPr>
          <w:rFonts w:ascii="Arial" w:eastAsia="Arial" w:hAnsi="Arial" w:cs="Arial"/>
        </w:rPr>
      </w:pPr>
    </w:p>
    <w:p w14:paraId="3C41AB03" w14:textId="77777777" w:rsidR="00BC1C03" w:rsidRPr="00B93D4E" w:rsidRDefault="00BC1C03" w:rsidP="00BC1C03">
      <w:pPr>
        <w:numPr>
          <w:ilvl w:val="0"/>
          <w:numId w:val="25"/>
        </w:numPr>
        <w:spacing w:after="0" w:line="240" w:lineRule="auto"/>
        <w:ind w:left="426"/>
        <w:jc w:val="both"/>
        <w:rPr>
          <w:rFonts w:ascii="Arial" w:eastAsia="Times New Roman" w:hAnsi="Arial" w:cs="Arial"/>
          <w:b/>
          <w:u w:val="single"/>
          <w:lang w:val="es-ES" w:eastAsia="es-ES"/>
        </w:rPr>
      </w:pPr>
      <w:r w:rsidRPr="00B93D4E">
        <w:rPr>
          <w:rFonts w:ascii="Arial" w:eastAsia="Times New Roman" w:hAnsi="Arial" w:cs="Arial"/>
          <w:b/>
          <w:u w:val="single"/>
          <w:lang w:val="es-ES" w:eastAsia="es-ES"/>
        </w:rPr>
        <w:t>Viceministerio de Minas</w:t>
      </w:r>
    </w:p>
    <w:p w14:paraId="3E4A5573" w14:textId="77777777" w:rsidR="00BC1C03" w:rsidRPr="00B93D4E" w:rsidRDefault="00BC1C03" w:rsidP="00BC1C03">
      <w:pPr>
        <w:spacing w:after="0" w:line="240" w:lineRule="auto"/>
        <w:ind w:left="720"/>
        <w:jc w:val="both"/>
        <w:rPr>
          <w:rFonts w:ascii="Arial" w:eastAsia="Times New Roman" w:hAnsi="Arial" w:cs="Arial"/>
          <w:b/>
          <w:u w:val="single"/>
          <w:lang w:val="es-ES" w:eastAsia="es-ES"/>
        </w:rPr>
      </w:pPr>
    </w:p>
    <w:p w14:paraId="44BD01EE"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El Viceministerio de Minas para el año 2018 cuenta con tres proyectos con una apropiación total de $28.023 millones de pesos, ejecutando en compromisos a cierre del primer semestre $12.519 millones de pesos, equivalentes a un 44,68% de ejecución en compromisos. En cuanto a las obligaciones se ejecutaron $5.945 millones de pesos equivalentes a un 21,22%.</w:t>
      </w:r>
    </w:p>
    <w:p w14:paraId="21FFE98B" w14:textId="77777777" w:rsidR="00BC1C03" w:rsidRPr="00B93D4E" w:rsidRDefault="00BC1C03" w:rsidP="00BC1C03">
      <w:pPr>
        <w:spacing w:after="0" w:line="240" w:lineRule="auto"/>
        <w:jc w:val="both"/>
        <w:rPr>
          <w:rFonts w:ascii="Arial" w:eastAsia="Arial" w:hAnsi="Arial" w:cs="Arial"/>
        </w:rPr>
      </w:pPr>
    </w:p>
    <w:p w14:paraId="71AF4A6A"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 xml:space="preserve">La ejecución de los proyectos se realizó de la siguiente manera: </w:t>
      </w:r>
    </w:p>
    <w:p w14:paraId="6CC6CB4D" w14:textId="77777777" w:rsidR="00BC1C03" w:rsidRPr="00B93D4E" w:rsidRDefault="00BC1C03" w:rsidP="00BC1C03">
      <w:pPr>
        <w:spacing w:after="0" w:line="240" w:lineRule="auto"/>
        <w:jc w:val="both"/>
        <w:rPr>
          <w:rFonts w:ascii="Arial" w:eastAsia="Arial" w:hAnsi="Arial" w:cs="Arial"/>
        </w:rPr>
      </w:pPr>
    </w:p>
    <w:p w14:paraId="2172407C" w14:textId="77777777" w:rsidR="00BC1C03" w:rsidRPr="00B93D4E" w:rsidRDefault="00BC1C03" w:rsidP="008B4625">
      <w:pPr>
        <w:numPr>
          <w:ilvl w:val="0"/>
          <w:numId w:val="26"/>
        </w:numPr>
        <w:spacing w:after="0" w:line="240" w:lineRule="auto"/>
        <w:ind w:left="360"/>
        <w:jc w:val="both"/>
        <w:rPr>
          <w:rFonts w:ascii="Arial" w:eastAsia="Arial" w:hAnsi="Arial" w:cs="Arial"/>
        </w:rPr>
      </w:pPr>
      <w:r w:rsidRPr="00B93D4E">
        <w:rPr>
          <w:rFonts w:ascii="Arial" w:eastAsia="Times New Roman" w:hAnsi="Arial" w:cs="Arial"/>
          <w:b/>
          <w:lang w:val="es-ES" w:eastAsia="es-ES"/>
        </w:rPr>
        <w:t>Fortalecimiento al Acceso y Transparencia de la Información Extractiva – EITI Nacional:</w:t>
      </w:r>
    </w:p>
    <w:p w14:paraId="3720A419" w14:textId="77777777" w:rsidR="00BC1C03" w:rsidRPr="00B93D4E" w:rsidRDefault="00BC1C03" w:rsidP="00BC1C03">
      <w:pPr>
        <w:spacing w:after="0" w:line="240" w:lineRule="auto"/>
        <w:ind w:left="720"/>
        <w:jc w:val="both"/>
        <w:rPr>
          <w:rFonts w:ascii="Arial" w:eastAsia="Arial" w:hAnsi="Arial" w:cs="Arial"/>
        </w:rPr>
      </w:pPr>
    </w:p>
    <w:p w14:paraId="7A441EC2"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Este proyecto cuenta con una apropiación para la vigencia 2018 de $1.486 millones de pesos, presentando un acumulado de $583 millones, es decir 39,24% de ejecución en compromisos.</w:t>
      </w:r>
    </w:p>
    <w:p w14:paraId="225CE3DA"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Durante el segundo trimestre se ejecutaron $45 millones de pesos destinados a actividades de apoyo y seguimiento a la ejecución del proyecto.</w:t>
      </w:r>
    </w:p>
    <w:p w14:paraId="609DE0E9"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 xml:space="preserve"> </w:t>
      </w:r>
    </w:p>
    <w:p w14:paraId="23CA25C2" w14:textId="77777777" w:rsidR="00BC1C03" w:rsidRPr="00B93D4E" w:rsidRDefault="00BC1C03" w:rsidP="00BC1C03">
      <w:pPr>
        <w:spacing w:after="0" w:line="240" w:lineRule="auto"/>
        <w:jc w:val="both"/>
        <w:rPr>
          <w:rFonts w:ascii="Arial" w:eastAsia="Arial" w:hAnsi="Arial" w:cs="Arial"/>
        </w:rPr>
      </w:pPr>
      <w:r w:rsidRPr="00B93D4E">
        <w:rPr>
          <w:rFonts w:ascii="Arial" w:eastAsia="Arial" w:hAnsi="Arial" w:cs="Arial"/>
        </w:rPr>
        <w:t>En cuanto a las obligaciones, se ejecutaron recursos por $251 millones de pesos, equivalentes al 16,91% de ejecución, en el trimestre al igual que los compromisos, se destinaron $164 millones de pesos para el pago de actividades de apoyo y seguimiento a la ejecución.</w:t>
      </w:r>
    </w:p>
    <w:p w14:paraId="1D175886" w14:textId="16ECD99C" w:rsidR="00BC1C03" w:rsidRDefault="00BC1C03" w:rsidP="00BC1C03">
      <w:pPr>
        <w:spacing w:after="0" w:line="240" w:lineRule="auto"/>
        <w:jc w:val="both"/>
        <w:rPr>
          <w:rFonts w:ascii="Arial" w:eastAsia="Arial" w:hAnsi="Arial" w:cs="Arial"/>
        </w:rPr>
      </w:pPr>
    </w:p>
    <w:p w14:paraId="1764EBEC" w14:textId="4D67D92C" w:rsidR="0002281B" w:rsidRDefault="0002281B" w:rsidP="00BC1C03">
      <w:pPr>
        <w:spacing w:after="0" w:line="240" w:lineRule="auto"/>
        <w:jc w:val="both"/>
        <w:rPr>
          <w:rFonts w:ascii="Arial" w:eastAsia="Arial" w:hAnsi="Arial" w:cs="Arial"/>
        </w:rPr>
      </w:pPr>
    </w:p>
    <w:p w14:paraId="24034A1F" w14:textId="77777777" w:rsidR="0002281B" w:rsidRPr="00B93D4E" w:rsidRDefault="0002281B" w:rsidP="00BC1C03">
      <w:pPr>
        <w:spacing w:after="0" w:line="240" w:lineRule="auto"/>
        <w:jc w:val="both"/>
        <w:rPr>
          <w:rFonts w:ascii="Arial" w:eastAsia="Arial" w:hAnsi="Arial" w:cs="Arial"/>
        </w:rPr>
      </w:pPr>
    </w:p>
    <w:p w14:paraId="23ABC660" w14:textId="77777777" w:rsidR="00BC1C03" w:rsidRPr="00B93D4E" w:rsidRDefault="00BC1C03" w:rsidP="008B4625">
      <w:pPr>
        <w:numPr>
          <w:ilvl w:val="0"/>
          <w:numId w:val="26"/>
        </w:numPr>
        <w:spacing w:after="0" w:line="240" w:lineRule="auto"/>
        <w:ind w:left="360"/>
        <w:jc w:val="both"/>
        <w:rPr>
          <w:rFonts w:ascii="Arial" w:eastAsia="Times New Roman" w:hAnsi="Arial" w:cs="Arial"/>
          <w:b/>
          <w:lang w:val="es-ES" w:eastAsia="es-ES"/>
        </w:rPr>
      </w:pPr>
      <w:r w:rsidRPr="00B93D4E">
        <w:rPr>
          <w:rFonts w:ascii="Arial" w:eastAsia="Times New Roman" w:hAnsi="Arial" w:cs="Arial"/>
          <w:b/>
          <w:lang w:val="es-ES" w:eastAsia="es-ES"/>
        </w:rPr>
        <w:lastRenderedPageBreak/>
        <w:t>Fortalecimiento Institucional del Sector Minero Energético Nacional:</w:t>
      </w:r>
    </w:p>
    <w:p w14:paraId="0FE62579" w14:textId="77777777" w:rsidR="00BC1C03" w:rsidRPr="00B93D4E" w:rsidRDefault="00BC1C03" w:rsidP="00BC1C03">
      <w:pPr>
        <w:spacing w:after="0" w:line="240" w:lineRule="auto"/>
        <w:ind w:left="720"/>
        <w:jc w:val="both"/>
        <w:rPr>
          <w:rFonts w:ascii="Arial" w:eastAsia="Arial" w:hAnsi="Arial" w:cs="Arial"/>
        </w:rPr>
      </w:pPr>
    </w:p>
    <w:p w14:paraId="0B384935" w14:textId="77777777" w:rsidR="00BC1C03" w:rsidRPr="006E62D3" w:rsidRDefault="00BC1C03" w:rsidP="00BC1C03">
      <w:pPr>
        <w:spacing w:after="0" w:line="240" w:lineRule="auto"/>
        <w:jc w:val="both"/>
        <w:rPr>
          <w:rFonts w:ascii="Arial" w:eastAsia="Arial" w:hAnsi="Arial" w:cs="Arial"/>
        </w:rPr>
      </w:pPr>
      <w:r w:rsidRPr="00122351">
        <w:rPr>
          <w:rFonts w:ascii="Arial" w:eastAsia="Arial" w:hAnsi="Arial" w:cs="Arial"/>
        </w:rPr>
        <w:t xml:space="preserve">Este proyecto cuenta con una apropiación vigente para el 2018 de $21.537 millones de pesos, de los </w:t>
      </w:r>
      <w:r w:rsidRPr="006E62D3">
        <w:rPr>
          <w:rFonts w:ascii="Arial" w:eastAsia="Arial" w:hAnsi="Arial" w:cs="Arial"/>
        </w:rPr>
        <w:t xml:space="preserve">cuales se comprometieron $8.714 millones de pesos, equivalentes al 40,46% de ejecución. En el trimestre los compromisos fueron por $ 3.192 millones y se ejecutaron de la siguiente manera: </w:t>
      </w:r>
    </w:p>
    <w:p w14:paraId="095D3D37" w14:textId="77777777" w:rsidR="00BC1C03" w:rsidRPr="006E62D3" w:rsidRDefault="00BC1C03" w:rsidP="00BC1C03">
      <w:pPr>
        <w:spacing w:after="0" w:line="240" w:lineRule="auto"/>
        <w:jc w:val="both"/>
        <w:rPr>
          <w:rFonts w:ascii="Arial" w:eastAsia="Arial" w:hAnsi="Arial" w:cs="Arial"/>
        </w:rPr>
      </w:pPr>
    </w:p>
    <w:p w14:paraId="59021AFB" w14:textId="77777777" w:rsidR="00BC1C03" w:rsidRPr="006E62D3" w:rsidRDefault="00BC1C03" w:rsidP="008B4625">
      <w:pPr>
        <w:numPr>
          <w:ilvl w:val="0"/>
          <w:numId w:val="65"/>
        </w:numPr>
        <w:spacing w:after="0" w:line="240" w:lineRule="auto"/>
        <w:ind w:left="284"/>
        <w:jc w:val="both"/>
        <w:rPr>
          <w:rFonts w:ascii="Arial" w:eastAsia="Arial" w:hAnsi="Arial" w:cs="Arial"/>
        </w:rPr>
      </w:pPr>
      <w:r w:rsidRPr="006E62D3">
        <w:rPr>
          <w:rFonts w:ascii="Arial" w:eastAsia="Arial" w:hAnsi="Arial" w:cs="Arial"/>
        </w:rPr>
        <w:t>El valor de $1.685 millones de pesos, para el contrato de consultoría diagnóstico y construcción del modelo conceptual de negocio para control a la producción de ANM y su implementación en componentes de software, identificando sus KPI y principales variables de negocio y a partir de ello realice la configuración.</w:t>
      </w:r>
    </w:p>
    <w:p w14:paraId="40D1EB45" w14:textId="77777777" w:rsidR="00BC1C03" w:rsidRPr="006E62D3" w:rsidRDefault="00BC1C03" w:rsidP="00BC1C03">
      <w:pPr>
        <w:spacing w:after="0" w:line="240" w:lineRule="auto"/>
        <w:ind w:left="284" w:hanging="284"/>
        <w:jc w:val="both"/>
        <w:rPr>
          <w:rFonts w:ascii="Arial" w:eastAsia="Arial" w:hAnsi="Arial" w:cs="Arial"/>
        </w:rPr>
      </w:pPr>
    </w:p>
    <w:p w14:paraId="503B98F9" w14:textId="77777777" w:rsidR="00BC1C03" w:rsidRDefault="00BC1C03" w:rsidP="008B4625">
      <w:pPr>
        <w:numPr>
          <w:ilvl w:val="0"/>
          <w:numId w:val="65"/>
        </w:numPr>
        <w:spacing w:after="0" w:line="240" w:lineRule="auto"/>
        <w:ind w:left="284"/>
        <w:jc w:val="both"/>
        <w:rPr>
          <w:rFonts w:ascii="Arial" w:eastAsia="Arial" w:hAnsi="Arial" w:cs="Arial"/>
        </w:rPr>
      </w:pPr>
      <w:r w:rsidRPr="006E62D3">
        <w:rPr>
          <w:rFonts w:ascii="Arial" w:eastAsia="Arial" w:hAnsi="Arial" w:cs="Arial"/>
        </w:rPr>
        <w:t>El valor de $833 millones de pesos para otrosí para realizar el para el diseño y ejecución de una estrategia de gestión del cambio del sector minero energético.</w:t>
      </w:r>
    </w:p>
    <w:p w14:paraId="1968594F" w14:textId="77777777" w:rsidR="00BC1C03" w:rsidRDefault="00BC1C03" w:rsidP="00BC1C03">
      <w:pPr>
        <w:pStyle w:val="Prrafodelista"/>
        <w:spacing w:after="0" w:line="240" w:lineRule="auto"/>
        <w:ind w:left="284"/>
        <w:rPr>
          <w:rFonts w:cs="Arial"/>
        </w:rPr>
      </w:pPr>
    </w:p>
    <w:p w14:paraId="5336DECD" w14:textId="77777777" w:rsidR="00BC1C03" w:rsidRPr="0036001F" w:rsidRDefault="00BC1C03" w:rsidP="008B4625">
      <w:pPr>
        <w:numPr>
          <w:ilvl w:val="0"/>
          <w:numId w:val="65"/>
        </w:numPr>
        <w:spacing w:after="0" w:line="240" w:lineRule="auto"/>
        <w:ind w:left="284"/>
        <w:jc w:val="both"/>
        <w:rPr>
          <w:rFonts w:ascii="Arial" w:eastAsia="Arial" w:hAnsi="Arial" w:cs="Arial"/>
        </w:rPr>
      </w:pPr>
      <w:r w:rsidRPr="006E62D3">
        <w:rPr>
          <w:rFonts w:ascii="Arial" w:eastAsia="Arial" w:hAnsi="Arial" w:cs="Arial"/>
        </w:rPr>
        <w:t>El valor de $</w:t>
      </w:r>
      <w:r>
        <w:rPr>
          <w:rFonts w:ascii="Arial" w:eastAsia="Arial" w:hAnsi="Arial" w:cs="Arial"/>
        </w:rPr>
        <w:t>571,2</w:t>
      </w:r>
      <w:r w:rsidRPr="006E62D3">
        <w:rPr>
          <w:rFonts w:ascii="Arial" w:eastAsia="Arial" w:hAnsi="Arial" w:cs="Arial"/>
        </w:rPr>
        <w:t xml:space="preserve"> millones de pesos para </w:t>
      </w:r>
      <w:r>
        <w:rPr>
          <w:rFonts w:ascii="Arial" w:eastAsia="Arial" w:hAnsi="Arial" w:cs="Arial"/>
        </w:rPr>
        <w:t>d</w:t>
      </w:r>
      <w:r w:rsidRPr="006E62D3">
        <w:rPr>
          <w:rFonts w:ascii="Arial" w:eastAsia="Arial" w:hAnsi="Arial" w:cs="Arial"/>
        </w:rPr>
        <w:t xml:space="preserve">iseñar, desarrollar e implementar la estrategia digital del </w:t>
      </w:r>
      <w:r>
        <w:rPr>
          <w:rFonts w:ascii="Arial" w:eastAsia="Arial" w:hAnsi="Arial" w:cs="Arial"/>
        </w:rPr>
        <w:t>SGC</w:t>
      </w:r>
      <w:r w:rsidRPr="006E62D3">
        <w:rPr>
          <w:rFonts w:ascii="Arial" w:eastAsia="Arial" w:hAnsi="Arial" w:cs="Arial"/>
        </w:rPr>
        <w:t xml:space="preserve">, </w:t>
      </w:r>
      <w:r w:rsidRPr="0036001F">
        <w:rPr>
          <w:rFonts w:ascii="Arial" w:eastAsia="Arial" w:hAnsi="Arial" w:cs="Arial"/>
        </w:rPr>
        <w:t>que contemple la aplicación de técnicas y estrategias de promoción de productos y servicios a través de canales digitales para dirigir a los clientes potenciales hacia dicho portafolio.</w:t>
      </w:r>
    </w:p>
    <w:p w14:paraId="7B0E33AA" w14:textId="77777777" w:rsidR="00BC1C03" w:rsidRPr="0036001F" w:rsidRDefault="00BC1C03" w:rsidP="00BC1C03">
      <w:pPr>
        <w:spacing w:after="0" w:line="240" w:lineRule="auto"/>
        <w:ind w:left="284"/>
        <w:jc w:val="both"/>
        <w:rPr>
          <w:rFonts w:ascii="Arial" w:eastAsia="Arial" w:hAnsi="Arial" w:cs="Arial"/>
        </w:rPr>
      </w:pPr>
    </w:p>
    <w:p w14:paraId="6AE0EEC0" w14:textId="77777777" w:rsidR="00BC1C03" w:rsidRPr="0036001F" w:rsidRDefault="00BC1C03" w:rsidP="008B4625">
      <w:pPr>
        <w:numPr>
          <w:ilvl w:val="0"/>
          <w:numId w:val="65"/>
        </w:numPr>
        <w:spacing w:after="0" w:line="240" w:lineRule="auto"/>
        <w:ind w:left="284"/>
        <w:jc w:val="both"/>
        <w:rPr>
          <w:rFonts w:ascii="Arial" w:eastAsia="Arial" w:hAnsi="Arial" w:cs="Arial"/>
        </w:rPr>
      </w:pPr>
      <w:r w:rsidRPr="0036001F">
        <w:rPr>
          <w:rFonts w:ascii="Arial" w:eastAsia="Arial" w:hAnsi="Arial" w:cs="Arial"/>
        </w:rPr>
        <w:t>El valor de $103 millones de pesos para el desarrollo de actividades de seguimiento a la ejecución del proyecto.</w:t>
      </w:r>
    </w:p>
    <w:p w14:paraId="52342E77" w14:textId="77777777" w:rsidR="00BC1C03" w:rsidRPr="0036001F" w:rsidRDefault="00BC1C03" w:rsidP="00BC1C03">
      <w:pPr>
        <w:spacing w:after="0" w:line="240" w:lineRule="auto"/>
        <w:ind w:left="284"/>
        <w:jc w:val="both"/>
        <w:rPr>
          <w:rFonts w:ascii="Arial" w:eastAsia="Arial" w:hAnsi="Arial" w:cs="Arial"/>
        </w:rPr>
      </w:pPr>
    </w:p>
    <w:p w14:paraId="36E768AB" w14:textId="77777777" w:rsidR="00BC1C03" w:rsidRPr="0036001F" w:rsidRDefault="00BC1C03" w:rsidP="00BC1C03">
      <w:pPr>
        <w:spacing w:after="0" w:line="240" w:lineRule="auto"/>
        <w:jc w:val="both"/>
        <w:rPr>
          <w:rFonts w:ascii="Arial" w:eastAsia="Arial" w:hAnsi="Arial" w:cs="Arial"/>
        </w:rPr>
      </w:pPr>
      <w:r w:rsidRPr="0036001F">
        <w:rPr>
          <w:rFonts w:ascii="Arial" w:eastAsia="Arial" w:hAnsi="Arial" w:cs="Arial"/>
        </w:rPr>
        <w:t>De igual manera, se obligaron recursos por $</w:t>
      </w:r>
      <w:r>
        <w:rPr>
          <w:rFonts w:ascii="Arial" w:eastAsia="Arial" w:hAnsi="Arial" w:cs="Arial"/>
        </w:rPr>
        <w:t>2.714</w:t>
      </w:r>
      <w:r w:rsidRPr="0036001F">
        <w:rPr>
          <w:rFonts w:ascii="Arial" w:eastAsia="Arial" w:hAnsi="Arial" w:cs="Arial"/>
        </w:rPr>
        <w:t xml:space="preserve"> millones de pesos, equivalentes a un </w:t>
      </w:r>
      <w:r>
        <w:rPr>
          <w:rFonts w:ascii="Arial" w:eastAsia="Arial" w:hAnsi="Arial" w:cs="Arial"/>
        </w:rPr>
        <w:t>1</w:t>
      </w:r>
      <w:r w:rsidRPr="0036001F">
        <w:rPr>
          <w:rFonts w:ascii="Arial" w:eastAsia="Arial" w:hAnsi="Arial" w:cs="Arial"/>
        </w:rPr>
        <w:t>2,</w:t>
      </w:r>
      <w:r>
        <w:rPr>
          <w:rFonts w:ascii="Arial" w:eastAsia="Arial" w:hAnsi="Arial" w:cs="Arial"/>
        </w:rPr>
        <w:t>60</w:t>
      </w:r>
      <w:r w:rsidRPr="0036001F">
        <w:rPr>
          <w:rFonts w:ascii="Arial" w:eastAsia="Arial" w:hAnsi="Arial" w:cs="Arial"/>
        </w:rPr>
        <w:t xml:space="preserve">% de ejecución en obligaciones. </w:t>
      </w:r>
      <w:r>
        <w:rPr>
          <w:rFonts w:ascii="Arial" w:eastAsia="Arial" w:hAnsi="Arial" w:cs="Arial"/>
        </w:rPr>
        <w:t>Durante el trimestre se obligaron $2.084 millones de pesos distribuidos de la siguiente manera:</w:t>
      </w:r>
    </w:p>
    <w:p w14:paraId="66A72F00" w14:textId="77777777" w:rsidR="00BC1C03" w:rsidRPr="0036001F" w:rsidRDefault="00BC1C03" w:rsidP="00BC1C03">
      <w:pPr>
        <w:spacing w:after="0" w:line="240" w:lineRule="auto"/>
        <w:jc w:val="both"/>
        <w:rPr>
          <w:rFonts w:ascii="Arial" w:eastAsia="Arial" w:hAnsi="Arial" w:cs="Arial"/>
        </w:rPr>
      </w:pPr>
    </w:p>
    <w:p w14:paraId="36C30CC2" w14:textId="77777777" w:rsidR="00BC1C03" w:rsidRDefault="00BC1C03" w:rsidP="008B4625">
      <w:pPr>
        <w:numPr>
          <w:ilvl w:val="0"/>
          <w:numId w:val="66"/>
        </w:numPr>
        <w:spacing w:after="0" w:line="240" w:lineRule="auto"/>
        <w:ind w:left="426"/>
        <w:jc w:val="both"/>
        <w:rPr>
          <w:rFonts w:ascii="Arial" w:eastAsia="Arial" w:hAnsi="Arial" w:cs="Arial"/>
        </w:rPr>
      </w:pPr>
      <w:r>
        <w:rPr>
          <w:rFonts w:ascii="Arial" w:eastAsia="Arial" w:hAnsi="Arial" w:cs="Arial"/>
        </w:rPr>
        <w:t xml:space="preserve">El valor de </w:t>
      </w:r>
      <w:r w:rsidRPr="0036001F">
        <w:rPr>
          <w:rFonts w:ascii="Arial" w:eastAsia="Arial" w:hAnsi="Arial" w:cs="Arial"/>
        </w:rPr>
        <w:t>$16</w:t>
      </w:r>
      <w:r>
        <w:rPr>
          <w:rFonts w:ascii="Arial" w:eastAsia="Arial" w:hAnsi="Arial" w:cs="Arial"/>
        </w:rPr>
        <w:t>0</w:t>
      </w:r>
      <w:r w:rsidRPr="0036001F">
        <w:rPr>
          <w:rFonts w:ascii="Arial" w:eastAsia="Arial" w:hAnsi="Arial" w:cs="Arial"/>
        </w:rPr>
        <w:t xml:space="preserve"> millones de pesos para el pago de actividades de apoyo a la gestión y seguimiento del proyecto.</w:t>
      </w:r>
    </w:p>
    <w:p w14:paraId="73CD4EAF" w14:textId="77777777" w:rsidR="00BC1C03" w:rsidRPr="0036001F" w:rsidRDefault="00BC1C03" w:rsidP="00BC1C03">
      <w:pPr>
        <w:spacing w:after="0" w:line="240" w:lineRule="auto"/>
        <w:ind w:left="426"/>
        <w:jc w:val="both"/>
        <w:rPr>
          <w:rFonts w:ascii="Arial" w:eastAsia="Arial" w:hAnsi="Arial" w:cs="Arial"/>
        </w:rPr>
      </w:pPr>
    </w:p>
    <w:p w14:paraId="2650721B" w14:textId="77777777" w:rsidR="00BC1C03" w:rsidRDefault="00BC1C03" w:rsidP="008B4625">
      <w:pPr>
        <w:numPr>
          <w:ilvl w:val="0"/>
          <w:numId w:val="66"/>
        </w:numPr>
        <w:spacing w:line="240" w:lineRule="auto"/>
        <w:ind w:left="426"/>
        <w:jc w:val="both"/>
        <w:rPr>
          <w:rFonts w:ascii="Arial" w:eastAsia="Arial" w:hAnsi="Arial" w:cs="Arial"/>
        </w:rPr>
      </w:pPr>
      <w:r w:rsidRPr="002C1CCB">
        <w:rPr>
          <w:rFonts w:ascii="Arial" w:eastAsia="Arial" w:hAnsi="Arial" w:cs="Arial"/>
        </w:rPr>
        <w:t xml:space="preserve">El valor de </w:t>
      </w:r>
      <w:r>
        <w:rPr>
          <w:rFonts w:ascii="Arial" w:eastAsia="Arial" w:hAnsi="Arial" w:cs="Arial"/>
        </w:rPr>
        <w:t>$393</w:t>
      </w:r>
      <w:r w:rsidRPr="002C1CCB">
        <w:rPr>
          <w:rFonts w:ascii="Arial" w:eastAsia="Arial" w:hAnsi="Arial" w:cs="Arial"/>
        </w:rPr>
        <w:t xml:space="preserve"> millones de pesos para el pago de las consultorías para reingenie</w:t>
      </w:r>
      <w:r>
        <w:rPr>
          <w:rFonts w:ascii="Arial" w:eastAsia="Arial" w:hAnsi="Arial" w:cs="Arial"/>
        </w:rPr>
        <w:t>r</w:t>
      </w:r>
      <w:r w:rsidRPr="002C1CCB">
        <w:rPr>
          <w:rFonts w:ascii="Arial" w:eastAsia="Arial" w:hAnsi="Arial" w:cs="Arial"/>
        </w:rPr>
        <w:t>ía de procesos institucionales en la ANM, para supervisión técnica del SGC para modelo de operación de gestión a partir del BID y para demás procesos para el fortalecimiento institucional.</w:t>
      </w:r>
    </w:p>
    <w:p w14:paraId="77364A40" w14:textId="2BE390ED" w:rsidR="00BC1C03" w:rsidRPr="002B20D7" w:rsidRDefault="00BC1C03" w:rsidP="008B4625">
      <w:pPr>
        <w:numPr>
          <w:ilvl w:val="0"/>
          <w:numId w:val="66"/>
        </w:numPr>
        <w:spacing w:line="240" w:lineRule="auto"/>
        <w:ind w:left="426"/>
        <w:jc w:val="both"/>
        <w:rPr>
          <w:rFonts w:ascii="Arial" w:eastAsia="Arial" w:hAnsi="Arial" w:cs="Arial"/>
        </w:rPr>
      </w:pPr>
      <w:r w:rsidRPr="002B20D7">
        <w:rPr>
          <w:rFonts w:ascii="Arial" w:eastAsia="Arial" w:hAnsi="Arial" w:cs="Arial"/>
        </w:rPr>
        <w:t xml:space="preserve">El valor de $208 millones de pesos para el pago de contratos de consultorías realizados </w:t>
      </w:r>
      <w:r w:rsidR="00D75F2D" w:rsidRPr="002B20D7">
        <w:rPr>
          <w:rFonts w:ascii="Arial" w:eastAsia="Arial" w:hAnsi="Arial" w:cs="Arial"/>
        </w:rPr>
        <w:t>para diseñar</w:t>
      </w:r>
      <w:r w:rsidRPr="002B20D7">
        <w:rPr>
          <w:rFonts w:ascii="Arial" w:eastAsia="Arial" w:hAnsi="Arial" w:cs="Arial"/>
        </w:rPr>
        <w:t xml:space="preserve"> e implementar la fase 1 del plan de gestión del cambio correspondiente al subsector de minería de acuerdo con el diseño del plan de gestión del cambio</w:t>
      </w:r>
    </w:p>
    <w:p w14:paraId="78CB6E49" w14:textId="77777777" w:rsidR="00BC1C03" w:rsidRPr="00E47534" w:rsidRDefault="00BC1C03" w:rsidP="008B4625">
      <w:pPr>
        <w:numPr>
          <w:ilvl w:val="0"/>
          <w:numId w:val="66"/>
        </w:numPr>
        <w:spacing w:line="240" w:lineRule="auto"/>
        <w:ind w:left="426"/>
        <w:jc w:val="both"/>
        <w:rPr>
          <w:rFonts w:ascii="Arial" w:eastAsia="Arial" w:hAnsi="Arial" w:cs="Arial"/>
        </w:rPr>
      </w:pPr>
      <w:r w:rsidRPr="00E47534">
        <w:rPr>
          <w:rFonts w:ascii="Arial" w:eastAsia="Arial" w:hAnsi="Arial" w:cs="Arial"/>
        </w:rPr>
        <w:t>El valor de $649 millones de pesos para el pago del Otrosí del contrato de consultoría suscrito para realizar análisis, diagnóstico, definición y diseño de arquitectura empresarial para Sector Minero Energético.</w:t>
      </w:r>
    </w:p>
    <w:p w14:paraId="2F52DC3C" w14:textId="01BDCD84" w:rsidR="00BC1C03" w:rsidRPr="00E47534" w:rsidRDefault="00BC1C03" w:rsidP="008B4625">
      <w:pPr>
        <w:numPr>
          <w:ilvl w:val="0"/>
          <w:numId w:val="66"/>
        </w:numPr>
        <w:spacing w:line="240" w:lineRule="auto"/>
        <w:ind w:left="426"/>
        <w:jc w:val="both"/>
        <w:rPr>
          <w:rFonts w:ascii="Arial" w:eastAsia="Arial" w:hAnsi="Arial" w:cs="Arial"/>
        </w:rPr>
      </w:pPr>
      <w:r w:rsidRPr="00E47534">
        <w:rPr>
          <w:rFonts w:ascii="Arial" w:eastAsia="Arial" w:hAnsi="Arial" w:cs="Arial"/>
        </w:rPr>
        <w:t>El valor de $674 millones de pesos para el pago de contrato de consultoría suscrito para diseñar un modelo de operación de gestión de la información del SGC a partir del banco de información petrolera (bip), plazo: 10 meses</w:t>
      </w:r>
      <w:r w:rsidR="0002281B">
        <w:rPr>
          <w:rFonts w:ascii="Arial" w:eastAsia="Arial" w:hAnsi="Arial" w:cs="Arial"/>
        </w:rPr>
        <w:t>.</w:t>
      </w:r>
    </w:p>
    <w:p w14:paraId="24CA404F" w14:textId="77777777" w:rsidR="00BC1C03" w:rsidRPr="00E47534" w:rsidRDefault="00BC1C03" w:rsidP="008B4625">
      <w:pPr>
        <w:numPr>
          <w:ilvl w:val="0"/>
          <w:numId w:val="26"/>
        </w:numPr>
        <w:spacing w:after="0" w:line="240" w:lineRule="auto"/>
        <w:ind w:left="360"/>
        <w:jc w:val="both"/>
        <w:rPr>
          <w:rFonts w:ascii="Arial" w:eastAsia="Times New Roman" w:hAnsi="Arial" w:cs="Arial"/>
          <w:b/>
          <w:lang w:val="es-ES" w:eastAsia="es-ES"/>
        </w:rPr>
      </w:pPr>
      <w:r w:rsidRPr="00E47534">
        <w:rPr>
          <w:rFonts w:ascii="Arial" w:eastAsia="Times New Roman" w:hAnsi="Arial" w:cs="Arial"/>
          <w:b/>
          <w:lang w:val="es-ES" w:eastAsia="es-ES"/>
        </w:rPr>
        <w:lastRenderedPageBreak/>
        <w:t>Control a la Explotación Ilícita de Minerales Colombia:</w:t>
      </w:r>
    </w:p>
    <w:p w14:paraId="7E11D2B7" w14:textId="77777777" w:rsidR="00BC1C03" w:rsidRPr="00E47534" w:rsidRDefault="00BC1C03" w:rsidP="00BC1C03">
      <w:pPr>
        <w:spacing w:after="0" w:line="240" w:lineRule="auto"/>
        <w:ind w:left="360"/>
        <w:jc w:val="both"/>
        <w:rPr>
          <w:rFonts w:ascii="Arial" w:eastAsia="Times New Roman" w:hAnsi="Arial" w:cs="Arial"/>
          <w:b/>
          <w:lang w:val="es-ES" w:eastAsia="es-ES"/>
        </w:rPr>
      </w:pPr>
    </w:p>
    <w:p w14:paraId="0CCDA348" w14:textId="77777777" w:rsidR="00BC1C03" w:rsidRPr="00E47534" w:rsidRDefault="00BC1C03" w:rsidP="00BC1C03">
      <w:pPr>
        <w:spacing w:after="0" w:line="240" w:lineRule="auto"/>
        <w:jc w:val="both"/>
        <w:rPr>
          <w:rFonts w:ascii="Arial" w:eastAsia="Arial" w:hAnsi="Arial" w:cs="Arial"/>
        </w:rPr>
      </w:pPr>
      <w:r w:rsidRPr="00E47534">
        <w:rPr>
          <w:rFonts w:ascii="Arial" w:eastAsia="Arial" w:hAnsi="Arial" w:cs="Arial"/>
        </w:rPr>
        <w:t xml:space="preserve">Este proyecto cuenta con una apropiación para el 2018 de $5.000 millones de pesos, de los cuales se han comprometido $3.222 millones de pesos, equivalentes al 64.44% de ejecución.  </w:t>
      </w:r>
    </w:p>
    <w:p w14:paraId="47FDAABE" w14:textId="77777777" w:rsidR="00BC1C03" w:rsidRPr="00E47534" w:rsidRDefault="00BC1C03" w:rsidP="00BC1C03">
      <w:pPr>
        <w:spacing w:after="0" w:line="240" w:lineRule="auto"/>
        <w:jc w:val="both"/>
        <w:rPr>
          <w:rFonts w:ascii="Arial" w:eastAsia="Arial" w:hAnsi="Arial" w:cs="Arial"/>
        </w:rPr>
      </w:pPr>
    </w:p>
    <w:p w14:paraId="698C0D98" w14:textId="77777777" w:rsidR="00BC1C03" w:rsidRPr="00E47534" w:rsidRDefault="00BC1C03" w:rsidP="00BC1C03">
      <w:pPr>
        <w:spacing w:after="0" w:line="240" w:lineRule="auto"/>
        <w:jc w:val="both"/>
        <w:rPr>
          <w:rFonts w:ascii="Arial" w:eastAsia="Arial" w:hAnsi="Arial" w:cs="Arial"/>
        </w:rPr>
      </w:pPr>
      <w:r w:rsidRPr="00E47534">
        <w:rPr>
          <w:rFonts w:ascii="Arial" w:eastAsia="Arial" w:hAnsi="Arial" w:cs="Arial"/>
        </w:rPr>
        <w:t xml:space="preserve">En el segundo trimestre se ejecutaron $ 2.021 millones de pesos distribuidos de la siguiente manera: </w:t>
      </w:r>
    </w:p>
    <w:p w14:paraId="3CF26081" w14:textId="77777777" w:rsidR="00BC1C03" w:rsidRPr="00E47534" w:rsidRDefault="00BC1C03" w:rsidP="00BC1C03">
      <w:pPr>
        <w:spacing w:after="0" w:line="240" w:lineRule="auto"/>
        <w:jc w:val="both"/>
        <w:rPr>
          <w:rFonts w:ascii="Arial" w:eastAsia="Arial" w:hAnsi="Arial" w:cs="Arial"/>
        </w:rPr>
      </w:pPr>
    </w:p>
    <w:p w14:paraId="396CF800" w14:textId="77777777" w:rsidR="00BC1C03" w:rsidRPr="00E47534" w:rsidRDefault="00BC1C03" w:rsidP="00BC1C03">
      <w:pPr>
        <w:spacing w:after="0" w:line="240" w:lineRule="auto"/>
        <w:jc w:val="both"/>
        <w:rPr>
          <w:rFonts w:ascii="Arial" w:eastAsia="Arial" w:hAnsi="Arial" w:cs="Arial"/>
        </w:rPr>
      </w:pPr>
      <w:r w:rsidRPr="00E47534">
        <w:rPr>
          <w:rFonts w:ascii="Arial" w:eastAsia="Arial" w:hAnsi="Arial" w:cs="Arial"/>
        </w:rPr>
        <w:t>El valor de $2.000 millones de pesos se destinaron para el Otrosí del contrato interadministrativo para aunar esfuerzos a través de la d de carabineros y seguridad rural, UNIMIL, de antinarcóticos, área de aviación policial, para el desarrollo de acciones de coordinación, prevención y control de la explotación ilícita.</w:t>
      </w:r>
    </w:p>
    <w:p w14:paraId="2472E840" w14:textId="77777777" w:rsidR="00BC1C03" w:rsidRPr="00E47534" w:rsidRDefault="00BC1C03" w:rsidP="00BC1C03">
      <w:pPr>
        <w:spacing w:after="0" w:line="240" w:lineRule="auto"/>
        <w:jc w:val="both"/>
        <w:rPr>
          <w:rFonts w:ascii="Arial" w:eastAsia="Arial" w:hAnsi="Arial" w:cs="Arial"/>
        </w:rPr>
      </w:pPr>
    </w:p>
    <w:p w14:paraId="6744A754" w14:textId="77777777" w:rsidR="00BC1C03" w:rsidRPr="00E47534" w:rsidRDefault="00BC1C03" w:rsidP="00BC1C03">
      <w:pPr>
        <w:spacing w:after="0" w:line="240" w:lineRule="auto"/>
        <w:jc w:val="both"/>
        <w:rPr>
          <w:rFonts w:ascii="Arial" w:eastAsia="Arial" w:hAnsi="Arial" w:cs="Arial"/>
        </w:rPr>
      </w:pPr>
      <w:r w:rsidRPr="00E47534">
        <w:rPr>
          <w:rFonts w:ascii="Arial" w:eastAsia="Arial" w:hAnsi="Arial" w:cs="Arial"/>
        </w:rPr>
        <w:t>El valor de $21 millones de pesos para el desarrollo de las actividades de apoyo a la gestión y seguimiento del proyecto.</w:t>
      </w:r>
    </w:p>
    <w:p w14:paraId="4FD437AD" w14:textId="77777777" w:rsidR="00BC1C03" w:rsidRPr="00E47534" w:rsidRDefault="00BC1C03" w:rsidP="00BC1C03">
      <w:pPr>
        <w:spacing w:after="0" w:line="240" w:lineRule="auto"/>
        <w:jc w:val="both"/>
        <w:rPr>
          <w:rFonts w:ascii="Arial" w:eastAsia="Arial" w:hAnsi="Arial" w:cs="Arial"/>
        </w:rPr>
      </w:pPr>
    </w:p>
    <w:p w14:paraId="1B68D2D9" w14:textId="77777777" w:rsidR="00BC1C03" w:rsidRPr="00E47534" w:rsidRDefault="00BC1C03" w:rsidP="00BC1C03">
      <w:pPr>
        <w:spacing w:after="0" w:line="240" w:lineRule="auto"/>
        <w:jc w:val="both"/>
        <w:rPr>
          <w:rFonts w:ascii="Arial" w:eastAsia="Arial" w:hAnsi="Arial" w:cs="Arial"/>
        </w:rPr>
      </w:pPr>
      <w:r w:rsidRPr="00E47534">
        <w:rPr>
          <w:rFonts w:ascii="Arial" w:eastAsia="Arial" w:hAnsi="Arial" w:cs="Arial"/>
        </w:rPr>
        <w:t xml:space="preserve">En cuanto a las obligaciones, se ejecutaron recursos por $2.980 millones de pesos, equivalentes al 59,60%. En el trimestre sus obligaciones fueron de $2.130 millones de pesos, las cuales fueron distribuidas así: </w:t>
      </w:r>
    </w:p>
    <w:p w14:paraId="1F6D90FF" w14:textId="77777777" w:rsidR="00BC1C03" w:rsidRPr="00E47534" w:rsidRDefault="00BC1C03" w:rsidP="00BC1C03">
      <w:pPr>
        <w:spacing w:after="0" w:line="240" w:lineRule="auto"/>
        <w:jc w:val="both"/>
        <w:rPr>
          <w:rFonts w:ascii="Arial" w:eastAsia="Arial" w:hAnsi="Arial" w:cs="Arial"/>
        </w:rPr>
      </w:pPr>
    </w:p>
    <w:p w14:paraId="49604906" w14:textId="77777777" w:rsidR="00BC1C03" w:rsidRPr="00E47534" w:rsidRDefault="00BC1C03" w:rsidP="00BC1C03">
      <w:pPr>
        <w:spacing w:after="0" w:line="240" w:lineRule="auto"/>
        <w:jc w:val="both"/>
        <w:rPr>
          <w:rFonts w:ascii="Arial" w:eastAsia="Arial" w:hAnsi="Arial" w:cs="Arial"/>
        </w:rPr>
      </w:pPr>
      <w:r w:rsidRPr="00E47534">
        <w:rPr>
          <w:rFonts w:ascii="Arial" w:eastAsia="Arial" w:hAnsi="Arial" w:cs="Arial"/>
        </w:rPr>
        <w:t>El valor de $2.000 millones de pesos para el pago del contrato suscrito para el desarrollo de acciones de coordinación, prevención y control de la explotación ilícita con la Policía Nacional y el valor restante $129 millones de pesos para el pago de actividades de apoyo y seguimiento a la ejecución del proyecto y servicios de operación logística.</w:t>
      </w:r>
    </w:p>
    <w:p w14:paraId="0DDE4279" w14:textId="77777777" w:rsidR="00BC1C03" w:rsidRPr="00E47534" w:rsidRDefault="00BC1C03" w:rsidP="00BC1C03">
      <w:pPr>
        <w:spacing w:after="0" w:line="240" w:lineRule="auto"/>
        <w:jc w:val="both"/>
        <w:rPr>
          <w:rFonts w:ascii="Arial" w:eastAsia="Arial" w:hAnsi="Arial" w:cs="Arial"/>
        </w:rPr>
      </w:pPr>
    </w:p>
    <w:p w14:paraId="22A8E6E3" w14:textId="77777777" w:rsidR="00BC1C03" w:rsidRPr="00E47534" w:rsidRDefault="00BC1C03" w:rsidP="008B4625">
      <w:pPr>
        <w:numPr>
          <w:ilvl w:val="0"/>
          <w:numId w:val="28"/>
        </w:numPr>
        <w:spacing w:after="0" w:line="240" w:lineRule="auto"/>
        <w:ind w:left="426"/>
        <w:rPr>
          <w:rFonts w:ascii="Arial" w:eastAsia="Times New Roman" w:hAnsi="Arial" w:cs="Arial"/>
          <w:b/>
          <w:u w:val="single"/>
          <w:lang w:val="es-ES" w:eastAsia="es-ES"/>
        </w:rPr>
      </w:pPr>
      <w:r w:rsidRPr="00E47534">
        <w:rPr>
          <w:rFonts w:ascii="Arial" w:eastAsia="Times New Roman" w:hAnsi="Arial" w:cs="Arial"/>
          <w:b/>
          <w:u w:val="single"/>
          <w:lang w:val="es-ES" w:eastAsia="es-ES"/>
        </w:rPr>
        <w:t>Despacho Ministro:</w:t>
      </w:r>
    </w:p>
    <w:p w14:paraId="44AE5E84" w14:textId="77777777" w:rsidR="00BC1C03" w:rsidRPr="00E47534" w:rsidRDefault="00BC1C03" w:rsidP="00BC1C03">
      <w:pPr>
        <w:spacing w:after="0" w:line="240" w:lineRule="auto"/>
        <w:ind w:left="360"/>
        <w:jc w:val="both"/>
        <w:rPr>
          <w:rFonts w:ascii="Arial" w:eastAsia="Arial" w:hAnsi="Arial" w:cs="Arial"/>
          <w:b/>
          <w:u w:val="single"/>
        </w:rPr>
      </w:pPr>
    </w:p>
    <w:p w14:paraId="706CD5CD" w14:textId="77777777" w:rsidR="00BC1C03" w:rsidRPr="00E47534" w:rsidRDefault="00BC1C03" w:rsidP="008B4625">
      <w:pPr>
        <w:numPr>
          <w:ilvl w:val="0"/>
          <w:numId w:val="26"/>
        </w:numPr>
        <w:spacing w:after="0" w:line="240" w:lineRule="auto"/>
        <w:ind w:left="360"/>
        <w:jc w:val="both"/>
        <w:rPr>
          <w:rFonts w:ascii="Arial" w:eastAsia="Times New Roman" w:hAnsi="Arial" w:cs="Arial"/>
          <w:b/>
          <w:lang w:val="es-ES" w:eastAsia="es-ES"/>
        </w:rPr>
      </w:pPr>
      <w:r w:rsidRPr="00E47534">
        <w:rPr>
          <w:rFonts w:ascii="Arial" w:eastAsia="Times New Roman" w:hAnsi="Arial" w:cs="Arial"/>
          <w:b/>
          <w:lang w:val="es-ES" w:eastAsia="es-ES"/>
        </w:rPr>
        <w:t>Implementación de los Servicios de Información y Comunicación Institucional del Ministerio de Minas y Energía:</w:t>
      </w:r>
    </w:p>
    <w:p w14:paraId="1A53103D" w14:textId="77777777" w:rsidR="00BC1C03" w:rsidRPr="00E47534" w:rsidRDefault="00BC1C03" w:rsidP="00BC1C03">
      <w:pPr>
        <w:spacing w:after="0" w:line="240" w:lineRule="auto"/>
        <w:ind w:left="720"/>
        <w:jc w:val="both"/>
        <w:rPr>
          <w:rFonts w:ascii="Arial" w:eastAsia="Times New Roman" w:hAnsi="Arial" w:cs="Arial"/>
          <w:b/>
          <w:lang w:val="es-ES" w:eastAsia="es-ES"/>
        </w:rPr>
      </w:pPr>
    </w:p>
    <w:p w14:paraId="7FA2A3E3" w14:textId="77777777" w:rsidR="00BC1C03" w:rsidRPr="00E47534" w:rsidRDefault="00BC1C03" w:rsidP="00BC1C03">
      <w:pPr>
        <w:spacing w:after="0" w:line="240" w:lineRule="auto"/>
        <w:jc w:val="both"/>
        <w:rPr>
          <w:rFonts w:ascii="Arial" w:eastAsia="Arial" w:hAnsi="Arial" w:cs="Arial"/>
          <w:lang w:val="es-ES"/>
        </w:rPr>
      </w:pPr>
      <w:r w:rsidRPr="00E47534">
        <w:rPr>
          <w:rFonts w:ascii="Arial" w:eastAsia="Arial" w:hAnsi="Arial" w:cs="Arial"/>
        </w:rPr>
        <w:t>Este proyecto cuenta con una apropiación vigente para el 2018 de $3.761 millones de pesos, de los cuales se han comprometido al cierre del primer semestre $3.606 millones de pesos equivalentes al 95,87% de ejecución</w:t>
      </w:r>
      <w:r w:rsidRPr="00E47534">
        <w:rPr>
          <w:rFonts w:ascii="Arial" w:eastAsia="Arial" w:hAnsi="Arial" w:cs="Arial"/>
          <w:lang w:val="es-ES"/>
        </w:rPr>
        <w:t xml:space="preserve">. Dichos compromisos se ejecutaron de la siguiente manera: </w:t>
      </w:r>
    </w:p>
    <w:p w14:paraId="1D76305B" w14:textId="77777777" w:rsidR="00BC1C03" w:rsidRPr="00E47534" w:rsidRDefault="00BC1C03" w:rsidP="00BC1C03">
      <w:pPr>
        <w:spacing w:after="0" w:line="240" w:lineRule="auto"/>
        <w:jc w:val="both"/>
        <w:rPr>
          <w:rFonts w:ascii="Arial" w:eastAsia="Arial" w:hAnsi="Arial" w:cs="Arial"/>
          <w:lang w:val="es-ES"/>
        </w:rPr>
      </w:pPr>
    </w:p>
    <w:p w14:paraId="5A29D452" w14:textId="77777777" w:rsidR="00BC1C03" w:rsidRPr="00E47534" w:rsidRDefault="00BC1C03" w:rsidP="008B4625">
      <w:pPr>
        <w:numPr>
          <w:ilvl w:val="0"/>
          <w:numId w:val="67"/>
        </w:numPr>
        <w:spacing w:after="0" w:line="240" w:lineRule="auto"/>
        <w:ind w:left="567"/>
        <w:jc w:val="both"/>
        <w:rPr>
          <w:rFonts w:ascii="Arial" w:eastAsia="Arial" w:hAnsi="Arial" w:cs="Arial"/>
          <w:lang w:val="es-ES"/>
        </w:rPr>
      </w:pPr>
      <w:r w:rsidRPr="00E47534">
        <w:rPr>
          <w:rFonts w:ascii="Arial" w:eastAsia="Arial" w:hAnsi="Arial" w:cs="Arial"/>
          <w:lang w:val="es-ES"/>
        </w:rPr>
        <w:t>El valor de $44 millones de pesos para desarrollar los servicios de entrenamiento de voceros para optimizar las habilidades comunicativas de los voceros oficiales del MME.</w:t>
      </w:r>
    </w:p>
    <w:p w14:paraId="11C32FA6" w14:textId="77777777" w:rsidR="00BC1C03" w:rsidRPr="00E47534" w:rsidRDefault="00BC1C03" w:rsidP="008B4625">
      <w:pPr>
        <w:numPr>
          <w:ilvl w:val="0"/>
          <w:numId w:val="67"/>
        </w:numPr>
        <w:spacing w:after="0" w:line="240" w:lineRule="auto"/>
        <w:ind w:left="567"/>
        <w:jc w:val="both"/>
        <w:rPr>
          <w:rFonts w:ascii="Arial" w:eastAsia="Arial" w:hAnsi="Arial" w:cs="Arial"/>
          <w:lang w:val="es-ES"/>
        </w:rPr>
      </w:pPr>
      <w:r w:rsidRPr="00E47534">
        <w:rPr>
          <w:rFonts w:ascii="Arial" w:eastAsia="Arial" w:hAnsi="Arial" w:cs="Arial"/>
          <w:lang w:val="es-ES"/>
        </w:rPr>
        <w:t>El valor de $11 millones de pesos para la prestación de servicios para apoyar al grupo de comunicaciones y prensa en la graficación y selección de información relevante que se genera del servicio de monitoreo de medios del MME</w:t>
      </w:r>
    </w:p>
    <w:p w14:paraId="0807AF53" w14:textId="77777777" w:rsidR="00BC1C03" w:rsidRPr="00665D0B" w:rsidRDefault="00BC1C03" w:rsidP="008B4625">
      <w:pPr>
        <w:numPr>
          <w:ilvl w:val="0"/>
          <w:numId w:val="67"/>
        </w:numPr>
        <w:spacing w:after="0" w:line="240" w:lineRule="auto"/>
        <w:ind w:left="567"/>
        <w:jc w:val="both"/>
        <w:rPr>
          <w:rFonts w:ascii="Arial" w:eastAsia="Arial" w:hAnsi="Arial" w:cs="Arial"/>
          <w:lang w:val="es-ES"/>
        </w:rPr>
      </w:pPr>
      <w:r w:rsidRPr="00665D0B">
        <w:rPr>
          <w:rFonts w:ascii="Arial" w:eastAsia="Arial" w:hAnsi="Arial" w:cs="Arial"/>
          <w:lang w:val="es-ES"/>
        </w:rPr>
        <w:t xml:space="preserve">El valor por $51 millones de pesos para desarrollo para actividades de apoyo a la gestión y seguimiento del proyecto de inversión. </w:t>
      </w:r>
    </w:p>
    <w:p w14:paraId="29DDC996" w14:textId="77777777" w:rsidR="00BC1C03" w:rsidRPr="00665D0B" w:rsidRDefault="00BC1C03" w:rsidP="00BC1C03">
      <w:pPr>
        <w:spacing w:after="0" w:line="240" w:lineRule="auto"/>
        <w:jc w:val="both"/>
        <w:rPr>
          <w:rFonts w:ascii="Arial" w:hAnsi="Arial" w:cs="Arial"/>
          <w:lang w:val="es-ES"/>
        </w:rPr>
      </w:pPr>
    </w:p>
    <w:p w14:paraId="3C8B4F71" w14:textId="77777777" w:rsidR="00BC1C03" w:rsidRPr="00665D0B" w:rsidRDefault="00BC1C03" w:rsidP="00BC1C03">
      <w:pPr>
        <w:spacing w:after="0" w:line="240" w:lineRule="auto"/>
        <w:jc w:val="both"/>
        <w:rPr>
          <w:rFonts w:ascii="Arial" w:eastAsia="Arial" w:hAnsi="Arial" w:cs="Arial"/>
        </w:rPr>
      </w:pPr>
      <w:r w:rsidRPr="00665D0B">
        <w:rPr>
          <w:rFonts w:ascii="Arial" w:eastAsia="Arial" w:hAnsi="Arial" w:cs="Arial"/>
        </w:rPr>
        <w:t>De igual manera se obligaron recursos por $1.812 millones de pesos, equivalentes al 48,19%; de estos recursos durante el trimestre se ejecutaron $</w:t>
      </w:r>
      <w:r>
        <w:rPr>
          <w:rFonts w:ascii="Arial" w:eastAsia="Arial" w:hAnsi="Arial" w:cs="Arial"/>
        </w:rPr>
        <w:t xml:space="preserve">106 millones de pesos </w:t>
      </w:r>
      <w:r w:rsidRPr="00665D0B">
        <w:rPr>
          <w:rFonts w:ascii="Arial" w:eastAsia="Arial" w:hAnsi="Arial" w:cs="Arial"/>
        </w:rPr>
        <w:t xml:space="preserve">distribuidos así: $44 para pagar los servicios de entrenamiento a voceros, $11 millones de pesos para el pago de prestación de servicios en la graficación y selección de información generada del servicio de </w:t>
      </w:r>
      <w:r w:rsidRPr="00665D0B">
        <w:rPr>
          <w:rFonts w:ascii="Arial" w:eastAsia="Arial" w:hAnsi="Arial" w:cs="Arial"/>
        </w:rPr>
        <w:lastRenderedPageBreak/>
        <w:t>monitoreo de medios del MME y el valor de $51 millones de pesos para los pagos de actividades relacionadas con  el apoyo a la gestión y seguimiento del proyecto.</w:t>
      </w:r>
    </w:p>
    <w:p w14:paraId="4773749F" w14:textId="77777777" w:rsidR="00BC1C03" w:rsidRPr="00665D0B" w:rsidRDefault="00BC1C03" w:rsidP="00BC1C03">
      <w:pPr>
        <w:spacing w:after="0" w:line="240" w:lineRule="auto"/>
        <w:jc w:val="both"/>
        <w:rPr>
          <w:rFonts w:ascii="Arial" w:eastAsia="Arial" w:hAnsi="Arial" w:cs="Arial"/>
        </w:rPr>
      </w:pPr>
    </w:p>
    <w:p w14:paraId="334DD80C" w14:textId="77777777" w:rsidR="00BC1C03" w:rsidRPr="00665D0B" w:rsidRDefault="00BC1C03" w:rsidP="00BC1C03">
      <w:pPr>
        <w:numPr>
          <w:ilvl w:val="0"/>
          <w:numId w:val="25"/>
        </w:numPr>
        <w:spacing w:after="0" w:line="240" w:lineRule="auto"/>
        <w:ind w:left="426"/>
        <w:jc w:val="both"/>
        <w:rPr>
          <w:rFonts w:ascii="Arial" w:eastAsia="Times New Roman" w:hAnsi="Arial" w:cs="Arial"/>
          <w:b/>
          <w:u w:val="single"/>
          <w:lang w:val="es-ES" w:eastAsia="es-ES"/>
        </w:rPr>
      </w:pPr>
      <w:r w:rsidRPr="00665D0B">
        <w:rPr>
          <w:rFonts w:ascii="Arial" w:eastAsia="Times New Roman" w:hAnsi="Arial" w:cs="Arial"/>
          <w:b/>
          <w:u w:val="single"/>
          <w:lang w:val="es-ES" w:eastAsia="es-ES"/>
        </w:rPr>
        <w:t>Secretaría General</w:t>
      </w:r>
    </w:p>
    <w:p w14:paraId="4C66077F" w14:textId="77777777" w:rsidR="00BC1C03" w:rsidRPr="00665D0B" w:rsidRDefault="00BC1C03" w:rsidP="00BC1C03">
      <w:pPr>
        <w:spacing w:after="0" w:line="240" w:lineRule="auto"/>
        <w:ind w:left="720"/>
        <w:jc w:val="both"/>
        <w:rPr>
          <w:rFonts w:ascii="Arial" w:eastAsia="Times New Roman" w:hAnsi="Arial" w:cs="Arial"/>
          <w:b/>
          <w:u w:val="single"/>
          <w:lang w:val="es-ES" w:eastAsia="es-ES"/>
        </w:rPr>
      </w:pPr>
    </w:p>
    <w:p w14:paraId="013A6364" w14:textId="77777777" w:rsidR="00BC1C03" w:rsidRPr="00437744" w:rsidRDefault="00BC1C03" w:rsidP="00BC1C03">
      <w:pPr>
        <w:spacing w:after="0" w:line="240" w:lineRule="auto"/>
        <w:jc w:val="both"/>
        <w:rPr>
          <w:rFonts w:ascii="Arial" w:eastAsia="Arial" w:hAnsi="Arial" w:cs="Arial"/>
        </w:rPr>
      </w:pPr>
      <w:r w:rsidRPr="00665D0B">
        <w:rPr>
          <w:rFonts w:ascii="Arial" w:eastAsia="Arial" w:hAnsi="Arial" w:cs="Arial"/>
        </w:rPr>
        <w:t xml:space="preserve">La Secretaría General cuenta con siete proyectos para la vigencia 2018 con una apropiación total de $11.861 millones de pesos al cierre del primer semestre se ejecutaron compromisos por un valor </w:t>
      </w:r>
      <w:r w:rsidRPr="00437744">
        <w:rPr>
          <w:rFonts w:ascii="Arial" w:eastAsia="Arial" w:hAnsi="Arial" w:cs="Arial"/>
        </w:rPr>
        <w:t>de $6.028 millones de pesos, equivalentes al 50,82% de ejecución y se obligaron recursos por un valor de $2.018 millones de pesos equivalentes al 17,01% de ejecución.</w:t>
      </w:r>
    </w:p>
    <w:p w14:paraId="3803950C" w14:textId="77777777" w:rsidR="00BC1C03" w:rsidRPr="00437744" w:rsidRDefault="00BC1C03" w:rsidP="00BC1C03">
      <w:pPr>
        <w:spacing w:after="0" w:line="240" w:lineRule="auto"/>
        <w:ind w:left="426"/>
        <w:jc w:val="both"/>
        <w:rPr>
          <w:rFonts w:ascii="Arial" w:eastAsia="Times New Roman" w:hAnsi="Arial" w:cs="Arial"/>
          <w:color w:val="FF0000"/>
          <w:lang w:val="es-ES" w:eastAsia="es-ES"/>
        </w:rPr>
      </w:pPr>
    </w:p>
    <w:p w14:paraId="7C79BD28" w14:textId="77777777" w:rsidR="00BC1C03" w:rsidRPr="00437744" w:rsidRDefault="00BC1C03" w:rsidP="008B4625">
      <w:pPr>
        <w:numPr>
          <w:ilvl w:val="0"/>
          <w:numId w:val="29"/>
        </w:numPr>
        <w:spacing w:after="0" w:line="240" w:lineRule="auto"/>
        <w:ind w:left="426"/>
        <w:jc w:val="both"/>
        <w:rPr>
          <w:rFonts w:ascii="Arial" w:eastAsia="Times New Roman" w:hAnsi="Arial" w:cs="Arial"/>
          <w:lang w:val="es-ES" w:eastAsia="es-ES"/>
        </w:rPr>
      </w:pPr>
      <w:r w:rsidRPr="00437744">
        <w:rPr>
          <w:rFonts w:ascii="Arial" w:eastAsia="Times New Roman" w:hAnsi="Arial" w:cs="Arial"/>
          <w:b/>
          <w:lang w:val="es-ES" w:eastAsia="es-ES"/>
        </w:rPr>
        <w:t>Fortalecimiento de la Infraestructura de las Tecnologías de Información y Comunicaciones del Ministerio de Minas y Energía a Nivel Nacional</w:t>
      </w:r>
      <w:r w:rsidRPr="00437744">
        <w:rPr>
          <w:rFonts w:ascii="Arial" w:eastAsia="Times New Roman" w:hAnsi="Arial" w:cs="Arial"/>
          <w:lang w:val="es-ES" w:eastAsia="es-ES"/>
        </w:rPr>
        <w:t>:</w:t>
      </w:r>
    </w:p>
    <w:p w14:paraId="655A9DFE" w14:textId="77777777" w:rsidR="00BC1C03" w:rsidRPr="00437744" w:rsidRDefault="00BC1C03" w:rsidP="00BC1C03">
      <w:pPr>
        <w:spacing w:after="0" w:line="240" w:lineRule="auto"/>
        <w:ind w:left="426"/>
        <w:jc w:val="both"/>
        <w:rPr>
          <w:rFonts w:ascii="Arial" w:eastAsia="Times New Roman" w:hAnsi="Arial" w:cs="Arial"/>
          <w:lang w:val="es-ES" w:eastAsia="es-ES"/>
        </w:rPr>
      </w:pPr>
    </w:p>
    <w:p w14:paraId="606BF9DB" w14:textId="77777777" w:rsidR="00BC1C03" w:rsidRPr="009A6022" w:rsidRDefault="00BC1C03" w:rsidP="00BC1C03">
      <w:pPr>
        <w:spacing w:after="0" w:line="240" w:lineRule="auto"/>
        <w:jc w:val="both"/>
        <w:rPr>
          <w:rFonts w:ascii="Arial" w:eastAsia="Times New Roman" w:hAnsi="Arial" w:cs="Arial"/>
          <w:lang w:val="es-ES" w:eastAsia="es-ES"/>
        </w:rPr>
      </w:pPr>
      <w:r w:rsidRPr="00437744">
        <w:rPr>
          <w:rFonts w:ascii="Arial" w:eastAsia="Times New Roman" w:hAnsi="Arial" w:cs="Arial"/>
          <w:lang w:val="es-ES" w:eastAsia="es-ES"/>
        </w:rPr>
        <w:t>Este proyecto cuenta con una apropiación vigente para el 2018 de $4.470 millones de pesos, de los cuales se comprometieron $1.357 millones de pesos, equivalentes al 30,35% de ejecución. En el trimestre realizó compromisos por $</w:t>
      </w:r>
      <w:r>
        <w:rPr>
          <w:rFonts w:ascii="Arial" w:eastAsia="Times New Roman" w:hAnsi="Arial" w:cs="Arial"/>
          <w:lang w:val="es-ES" w:eastAsia="es-ES"/>
        </w:rPr>
        <w:t>537</w:t>
      </w:r>
      <w:r w:rsidRPr="00437744">
        <w:rPr>
          <w:rFonts w:ascii="Arial" w:eastAsia="Times New Roman" w:hAnsi="Arial" w:cs="Arial"/>
          <w:lang w:val="es-ES" w:eastAsia="es-ES"/>
        </w:rPr>
        <w:t xml:space="preserve"> millones de pesos para: Adquisición de servicios de mesa de ayuda especializada para el soporte a la operación de los equipos que conforman la infraestructura tecnológica del MME por $241</w:t>
      </w:r>
      <w:r>
        <w:rPr>
          <w:rFonts w:ascii="Arial" w:eastAsia="Times New Roman" w:hAnsi="Arial" w:cs="Arial"/>
          <w:lang w:val="es-ES" w:eastAsia="es-ES"/>
        </w:rPr>
        <w:t xml:space="preserve"> </w:t>
      </w:r>
      <w:r w:rsidRPr="00437744">
        <w:rPr>
          <w:rFonts w:ascii="Arial" w:eastAsia="Times New Roman" w:hAnsi="Arial" w:cs="Arial"/>
          <w:lang w:val="es-ES" w:eastAsia="es-ES"/>
        </w:rPr>
        <w:t xml:space="preserve">millones de pesos, la adquisición instalación, </w:t>
      </w:r>
      <w:r w:rsidRPr="009A6022">
        <w:rPr>
          <w:rFonts w:ascii="Arial" w:eastAsia="Times New Roman" w:hAnsi="Arial" w:cs="Arial"/>
          <w:lang w:val="es-ES" w:eastAsia="es-ES"/>
        </w:rPr>
        <w:t xml:space="preserve">configuración y puesta en funcionamiento de la solución de hiperconvergencia por $125 millones de pesos y compromisos para actividades de apoyo y seguimiento a la gestión del proyecto por $171 millones de pesos. </w:t>
      </w:r>
    </w:p>
    <w:p w14:paraId="295D2592" w14:textId="77777777" w:rsidR="00BC1C03" w:rsidRPr="009A6022" w:rsidRDefault="00BC1C03" w:rsidP="00BC1C03">
      <w:pPr>
        <w:spacing w:after="0" w:line="240" w:lineRule="auto"/>
        <w:jc w:val="both"/>
        <w:rPr>
          <w:rFonts w:ascii="Arial" w:eastAsia="Times New Roman" w:hAnsi="Arial" w:cs="Arial"/>
          <w:lang w:val="es-ES" w:eastAsia="es-ES"/>
        </w:rPr>
      </w:pPr>
      <w:r w:rsidRPr="009A6022">
        <w:rPr>
          <w:rFonts w:ascii="Arial" w:eastAsia="Times New Roman" w:hAnsi="Arial" w:cs="Arial"/>
          <w:lang w:val="es-ES" w:eastAsia="es-ES"/>
        </w:rPr>
        <w:t>En cuanto a las obligaciones, se ejecutaron recursos por valor de $506 millones equivalentes al 11,31% de ejecución; de los cuales se ejecutaron en el trimestre $</w:t>
      </w:r>
      <w:r>
        <w:rPr>
          <w:rFonts w:ascii="Arial" w:eastAsia="Times New Roman" w:hAnsi="Arial" w:cs="Arial"/>
          <w:lang w:val="es-ES" w:eastAsia="es-ES"/>
        </w:rPr>
        <w:t xml:space="preserve">452 millones de pesos </w:t>
      </w:r>
      <w:r w:rsidRPr="009A6022">
        <w:rPr>
          <w:rFonts w:ascii="Arial" w:eastAsia="Times New Roman" w:hAnsi="Arial" w:cs="Arial"/>
          <w:lang w:val="es-ES" w:eastAsia="es-ES"/>
        </w:rPr>
        <w:t xml:space="preserve">  distribuidos así: $307 millones de pesos para el pago de la renovación de suscripciones de Google Apps </w:t>
      </w:r>
      <w:proofErr w:type="spellStart"/>
      <w:r w:rsidRPr="009A6022">
        <w:rPr>
          <w:rFonts w:ascii="Arial" w:eastAsia="Times New Roman" w:hAnsi="Arial" w:cs="Arial"/>
          <w:lang w:val="es-ES" w:eastAsia="es-ES"/>
        </w:rPr>
        <w:t>For</w:t>
      </w:r>
      <w:proofErr w:type="spellEnd"/>
      <w:r w:rsidRPr="009A6022">
        <w:rPr>
          <w:rFonts w:ascii="Arial" w:eastAsia="Times New Roman" w:hAnsi="Arial" w:cs="Arial"/>
          <w:lang w:val="es-ES" w:eastAsia="es-ES"/>
        </w:rPr>
        <w:t xml:space="preserve"> </w:t>
      </w:r>
      <w:proofErr w:type="spellStart"/>
      <w:r w:rsidRPr="009A6022">
        <w:rPr>
          <w:rFonts w:ascii="Arial" w:eastAsia="Times New Roman" w:hAnsi="Arial" w:cs="Arial"/>
          <w:lang w:val="es-ES" w:eastAsia="es-ES"/>
        </w:rPr>
        <w:t>Work</w:t>
      </w:r>
      <w:proofErr w:type="spellEnd"/>
      <w:r w:rsidRPr="009A6022">
        <w:rPr>
          <w:rFonts w:ascii="Arial" w:eastAsia="Times New Roman" w:hAnsi="Arial" w:cs="Arial"/>
          <w:lang w:val="es-ES" w:eastAsia="es-ES"/>
        </w:rPr>
        <w:t xml:space="preserve"> </w:t>
      </w:r>
      <w:proofErr w:type="spellStart"/>
      <w:r w:rsidRPr="009A6022">
        <w:rPr>
          <w:rFonts w:ascii="Arial" w:eastAsia="Times New Roman" w:hAnsi="Arial" w:cs="Arial"/>
          <w:lang w:val="es-ES" w:eastAsia="es-ES"/>
        </w:rPr>
        <w:t>Unimited</w:t>
      </w:r>
      <w:proofErr w:type="spellEnd"/>
      <w:r w:rsidRPr="009A6022">
        <w:rPr>
          <w:rFonts w:ascii="Arial" w:eastAsia="Times New Roman" w:hAnsi="Arial" w:cs="Arial"/>
          <w:lang w:val="es-ES" w:eastAsia="es-ES"/>
        </w:rPr>
        <w:t xml:space="preserve"> </w:t>
      </w:r>
      <w:r>
        <w:rPr>
          <w:rFonts w:ascii="Arial" w:eastAsia="Times New Roman" w:hAnsi="Arial" w:cs="Arial"/>
          <w:lang w:val="es-ES" w:eastAsia="es-ES"/>
        </w:rPr>
        <w:t xml:space="preserve">y </w:t>
      </w:r>
      <w:r w:rsidRPr="009A6022">
        <w:rPr>
          <w:rFonts w:ascii="Arial" w:eastAsia="Times New Roman" w:hAnsi="Arial" w:cs="Arial"/>
          <w:lang w:val="es-ES" w:eastAsia="es-ES"/>
        </w:rPr>
        <w:t xml:space="preserve">$145 millones de pesos para pagos de actividades de apoyo a la gestión y seguimiento del proyecto.  </w:t>
      </w:r>
    </w:p>
    <w:p w14:paraId="757711CD" w14:textId="77777777" w:rsidR="00BC1C03" w:rsidRPr="000B1DAF" w:rsidRDefault="00BC1C03" w:rsidP="00BC1C03">
      <w:pPr>
        <w:spacing w:after="0" w:line="240" w:lineRule="auto"/>
        <w:ind w:left="720"/>
        <w:jc w:val="both"/>
        <w:rPr>
          <w:rFonts w:ascii="Arial" w:eastAsia="Times New Roman" w:hAnsi="Arial" w:cs="Arial"/>
          <w:color w:val="FF0000"/>
          <w:lang w:val="es-ES" w:eastAsia="es-ES"/>
        </w:rPr>
      </w:pPr>
    </w:p>
    <w:p w14:paraId="73F2D56A" w14:textId="77777777" w:rsidR="00BC1C03" w:rsidRPr="000B1DAF" w:rsidRDefault="00BC1C03" w:rsidP="008B4625">
      <w:pPr>
        <w:numPr>
          <w:ilvl w:val="0"/>
          <w:numId w:val="29"/>
        </w:numPr>
        <w:spacing w:after="0" w:line="240" w:lineRule="auto"/>
        <w:ind w:left="426"/>
        <w:jc w:val="both"/>
        <w:rPr>
          <w:rFonts w:ascii="Arial" w:eastAsia="Times New Roman" w:hAnsi="Arial" w:cs="Arial"/>
          <w:lang w:val="es-ES" w:eastAsia="es-ES"/>
        </w:rPr>
      </w:pPr>
      <w:r w:rsidRPr="000B1DAF">
        <w:rPr>
          <w:rFonts w:ascii="Arial" w:eastAsia="Times New Roman" w:hAnsi="Arial" w:cs="Arial"/>
          <w:b/>
          <w:lang w:val="es-ES" w:eastAsia="es-ES"/>
        </w:rPr>
        <w:t>El PETIC</w:t>
      </w:r>
      <w:r w:rsidRPr="000B1DAF">
        <w:rPr>
          <w:rFonts w:ascii="Arial" w:eastAsia="Times New Roman" w:hAnsi="Arial" w:cs="Arial"/>
          <w:lang w:val="es-ES" w:eastAsia="es-ES"/>
        </w:rPr>
        <w:t xml:space="preserve">: </w:t>
      </w:r>
    </w:p>
    <w:p w14:paraId="45F22BBC" w14:textId="77777777" w:rsidR="00BC1C03" w:rsidRPr="000B1DAF" w:rsidRDefault="00BC1C03" w:rsidP="00BC1C03">
      <w:pPr>
        <w:spacing w:after="0" w:line="240" w:lineRule="auto"/>
        <w:ind w:left="426"/>
        <w:jc w:val="both"/>
        <w:rPr>
          <w:rFonts w:ascii="Arial" w:eastAsia="Times New Roman" w:hAnsi="Arial" w:cs="Arial"/>
          <w:lang w:val="es-ES" w:eastAsia="es-ES"/>
        </w:rPr>
      </w:pPr>
    </w:p>
    <w:p w14:paraId="7684983F" w14:textId="77777777" w:rsidR="00BC1C03" w:rsidRPr="000B1DAF" w:rsidRDefault="00BC1C03" w:rsidP="00BC1C03">
      <w:pPr>
        <w:spacing w:after="0" w:line="240" w:lineRule="auto"/>
        <w:jc w:val="both"/>
        <w:rPr>
          <w:rFonts w:ascii="Arial" w:eastAsia="Times New Roman" w:hAnsi="Arial" w:cs="Arial"/>
          <w:lang w:val="es-ES" w:eastAsia="es-ES"/>
        </w:rPr>
      </w:pPr>
      <w:r w:rsidRPr="000B1DAF">
        <w:rPr>
          <w:rFonts w:ascii="Arial" w:eastAsia="Times New Roman" w:hAnsi="Arial" w:cs="Arial"/>
          <w:lang w:val="es-ES" w:eastAsia="es-ES"/>
        </w:rPr>
        <w:t>Este proyecto cuenta con una apropiación vigente para el 2018 de $3.800 millones de pesos, de los cuales se han comprometido $ 2.456 millones de pesos y obligado $809 millones de pesos equivalentes a una ejecución de un 64,62% y 21,28%.</w:t>
      </w:r>
    </w:p>
    <w:p w14:paraId="57D197A1" w14:textId="77777777" w:rsidR="00BC1C03" w:rsidRPr="000B1DAF" w:rsidRDefault="00BC1C03" w:rsidP="00BC1C03">
      <w:pPr>
        <w:spacing w:after="0" w:line="240" w:lineRule="auto"/>
        <w:jc w:val="both"/>
        <w:rPr>
          <w:rFonts w:ascii="Arial" w:eastAsia="Times New Roman" w:hAnsi="Arial" w:cs="Arial"/>
          <w:lang w:val="es-ES" w:eastAsia="es-ES"/>
        </w:rPr>
      </w:pPr>
    </w:p>
    <w:p w14:paraId="1EB2E750" w14:textId="77777777" w:rsidR="00BC1C03" w:rsidRPr="009A6022" w:rsidRDefault="00BC1C03" w:rsidP="00BC1C03">
      <w:pPr>
        <w:spacing w:after="0" w:line="240" w:lineRule="auto"/>
        <w:jc w:val="both"/>
        <w:rPr>
          <w:rFonts w:ascii="Arial" w:eastAsia="Times New Roman" w:hAnsi="Arial" w:cs="Arial"/>
          <w:lang w:val="es-ES" w:eastAsia="es-ES"/>
        </w:rPr>
      </w:pPr>
      <w:r w:rsidRPr="000B1DAF">
        <w:rPr>
          <w:rFonts w:ascii="Arial" w:eastAsia="Times New Roman" w:hAnsi="Arial" w:cs="Arial"/>
          <w:lang w:val="es-ES" w:eastAsia="es-ES"/>
        </w:rPr>
        <w:t>En el segundo trimestre se comprometieron $527 millones de pesos para contratar la adquisición, instalación, configuración y puesta en funcionamiento de una solución de hiperconvergencia para el MME.</w:t>
      </w:r>
      <w:r>
        <w:rPr>
          <w:rFonts w:ascii="Arial" w:eastAsia="Times New Roman" w:hAnsi="Arial" w:cs="Arial"/>
          <w:lang w:val="es-ES" w:eastAsia="es-ES"/>
        </w:rPr>
        <w:t xml:space="preserve"> En cuanto a obligaciones se ejecutaron $644 millones de pesos para el pago de contrato suscrito </w:t>
      </w:r>
      <w:r w:rsidRPr="000B1DAF">
        <w:rPr>
          <w:rFonts w:ascii="Arial" w:eastAsia="Times New Roman" w:hAnsi="Arial" w:cs="Arial"/>
          <w:lang w:val="es-ES" w:eastAsia="es-ES"/>
        </w:rPr>
        <w:t>para asegurar la continuidad de los servicios de Centro de Datos Alterno para MME y CREG y actualización DRP de MME bajo la modalidad de hosting</w:t>
      </w:r>
      <w:r>
        <w:rPr>
          <w:rFonts w:ascii="Arial" w:eastAsia="Times New Roman" w:hAnsi="Arial" w:cs="Arial"/>
          <w:lang w:val="es-ES" w:eastAsia="es-ES"/>
        </w:rPr>
        <w:t xml:space="preserve"> y $105 millones para atender los pagos de </w:t>
      </w:r>
      <w:r w:rsidRPr="009A6022">
        <w:rPr>
          <w:rFonts w:ascii="Arial" w:eastAsia="Times New Roman" w:hAnsi="Arial" w:cs="Arial"/>
          <w:lang w:val="es-ES" w:eastAsia="es-ES"/>
        </w:rPr>
        <w:t xml:space="preserve">actividades de apoyo a la gestión y seguimiento del proyecto.  </w:t>
      </w:r>
    </w:p>
    <w:p w14:paraId="5060AA26" w14:textId="77777777" w:rsidR="00BC1C03" w:rsidRPr="000B1DAF" w:rsidRDefault="00BC1C03" w:rsidP="00BC1C03">
      <w:pPr>
        <w:spacing w:after="0" w:line="240" w:lineRule="auto"/>
        <w:ind w:left="720"/>
        <w:jc w:val="both"/>
        <w:rPr>
          <w:rFonts w:ascii="Arial" w:eastAsia="Times New Roman" w:hAnsi="Arial" w:cs="Arial"/>
          <w:color w:val="FF0000"/>
          <w:lang w:val="es-ES" w:eastAsia="es-ES"/>
        </w:rPr>
      </w:pPr>
    </w:p>
    <w:p w14:paraId="276C5597" w14:textId="77777777" w:rsidR="00BC1C03" w:rsidRPr="000A30F1" w:rsidRDefault="00BC1C03" w:rsidP="008B4625">
      <w:pPr>
        <w:numPr>
          <w:ilvl w:val="0"/>
          <w:numId w:val="29"/>
        </w:numPr>
        <w:spacing w:after="0" w:line="240" w:lineRule="auto"/>
        <w:ind w:left="66"/>
        <w:jc w:val="both"/>
        <w:rPr>
          <w:rFonts w:ascii="Arial" w:eastAsia="Times New Roman" w:hAnsi="Arial" w:cs="Arial"/>
          <w:b/>
          <w:lang w:val="es-ES" w:eastAsia="es-ES"/>
        </w:rPr>
      </w:pPr>
      <w:r w:rsidRPr="000A30F1">
        <w:rPr>
          <w:rFonts w:ascii="Arial" w:eastAsia="Times New Roman" w:hAnsi="Arial" w:cs="Arial"/>
          <w:b/>
          <w:lang w:val="es-ES" w:eastAsia="es-ES"/>
        </w:rPr>
        <w:t>Fortalecimiento del servicio que se presta al ciudadano – cliente del ministerio de minas y energía a nivel nacional</w:t>
      </w:r>
    </w:p>
    <w:p w14:paraId="021C36E9" w14:textId="77777777" w:rsidR="00BC1C03" w:rsidRPr="000A30F1" w:rsidRDefault="00BC1C03" w:rsidP="00BC1C03">
      <w:pPr>
        <w:spacing w:after="0" w:line="240" w:lineRule="auto"/>
        <w:jc w:val="both"/>
        <w:rPr>
          <w:rFonts w:ascii="Arial" w:eastAsia="Times New Roman" w:hAnsi="Arial" w:cs="Arial"/>
          <w:b/>
          <w:lang w:val="es-ES" w:eastAsia="es-ES"/>
        </w:rPr>
      </w:pPr>
    </w:p>
    <w:p w14:paraId="0F732CD7" w14:textId="77777777" w:rsidR="00BC1C03" w:rsidRPr="00446CCC" w:rsidRDefault="00BC1C03" w:rsidP="00BC1C03">
      <w:pPr>
        <w:spacing w:after="0" w:line="240" w:lineRule="auto"/>
        <w:jc w:val="both"/>
        <w:rPr>
          <w:rFonts w:ascii="Arial" w:eastAsia="Times New Roman" w:hAnsi="Arial" w:cs="Arial"/>
          <w:lang w:val="es-ES" w:eastAsia="es-ES"/>
        </w:rPr>
      </w:pPr>
      <w:r w:rsidRPr="000A30F1">
        <w:rPr>
          <w:rFonts w:ascii="Arial" w:eastAsia="Times New Roman" w:hAnsi="Arial" w:cs="Arial"/>
          <w:lang w:val="es-ES" w:eastAsia="es-ES"/>
        </w:rPr>
        <w:t xml:space="preserve">Este </w:t>
      </w:r>
      <w:r w:rsidRPr="00446CCC">
        <w:rPr>
          <w:rFonts w:ascii="Arial" w:eastAsia="Times New Roman" w:hAnsi="Arial" w:cs="Arial"/>
          <w:lang w:val="es-ES" w:eastAsia="es-ES"/>
        </w:rPr>
        <w:t xml:space="preserve">proyecto cuenta con una apropiación vigente para el 2018 de $1.843 millones de pesos, de los cuales se comprometieron $1.323 millones de pesos, equivalentes al 71,77%; </w:t>
      </w:r>
      <w:r>
        <w:rPr>
          <w:rFonts w:ascii="Arial" w:eastAsia="Times New Roman" w:hAnsi="Arial" w:cs="Arial"/>
          <w:lang w:val="es-ES" w:eastAsia="es-ES"/>
        </w:rPr>
        <w:t>ejecutando en el trimestre $229</w:t>
      </w:r>
      <w:r w:rsidRPr="00446CCC">
        <w:rPr>
          <w:rFonts w:ascii="Arial" w:eastAsia="Times New Roman" w:hAnsi="Arial" w:cs="Arial"/>
          <w:lang w:val="es-ES" w:eastAsia="es-ES"/>
        </w:rPr>
        <w:t xml:space="preserve"> millones de pesos distribuidos de la siguiente manera:</w:t>
      </w:r>
    </w:p>
    <w:p w14:paraId="20B65986" w14:textId="77777777" w:rsidR="00BC1C03" w:rsidRPr="00446CCC" w:rsidRDefault="00BC1C03" w:rsidP="008B4625">
      <w:pPr>
        <w:numPr>
          <w:ilvl w:val="0"/>
          <w:numId w:val="68"/>
        </w:numPr>
        <w:spacing w:after="0" w:line="240" w:lineRule="auto"/>
        <w:jc w:val="both"/>
        <w:rPr>
          <w:rFonts w:ascii="Arial" w:eastAsia="Times New Roman" w:hAnsi="Arial" w:cs="Arial"/>
          <w:lang w:val="es-ES" w:eastAsia="es-ES"/>
        </w:rPr>
      </w:pPr>
      <w:r w:rsidRPr="00446CCC">
        <w:rPr>
          <w:rFonts w:ascii="Arial" w:eastAsia="Times New Roman" w:hAnsi="Arial" w:cs="Arial"/>
          <w:lang w:val="es-ES" w:eastAsia="es-ES"/>
        </w:rPr>
        <w:lastRenderedPageBreak/>
        <w:t>El valor de $59,2 millones de pesos para contratar la implementación y actualización de soluciones de software que soportará las funcionalidades del sistema integrado de gestión de bibliotecas -</w:t>
      </w:r>
      <w:proofErr w:type="spellStart"/>
      <w:r w:rsidRPr="00446CCC">
        <w:rPr>
          <w:rFonts w:ascii="Arial" w:eastAsia="Times New Roman" w:hAnsi="Arial" w:cs="Arial"/>
          <w:lang w:val="es-ES" w:eastAsia="es-ES"/>
        </w:rPr>
        <w:t>koha</w:t>
      </w:r>
      <w:proofErr w:type="spellEnd"/>
      <w:r w:rsidRPr="00446CCC">
        <w:rPr>
          <w:rFonts w:ascii="Arial" w:eastAsia="Times New Roman" w:hAnsi="Arial" w:cs="Arial"/>
          <w:lang w:val="es-ES" w:eastAsia="es-ES"/>
        </w:rPr>
        <w:t xml:space="preserve">-y el repositorio digital para la gestión integral de los activos de información documental. </w:t>
      </w:r>
    </w:p>
    <w:p w14:paraId="0E952F24" w14:textId="77777777" w:rsidR="00BC1C03" w:rsidRPr="00446CCC" w:rsidRDefault="00BC1C03" w:rsidP="008B4625">
      <w:pPr>
        <w:numPr>
          <w:ilvl w:val="0"/>
          <w:numId w:val="68"/>
        </w:numPr>
        <w:spacing w:after="0" w:line="240" w:lineRule="auto"/>
        <w:jc w:val="both"/>
        <w:rPr>
          <w:rFonts w:ascii="Arial" w:eastAsia="Times New Roman" w:hAnsi="Arial" w:cs="Arial"/>
          <w:lang w:val="es-ES" w:eastAsia="es-ES"/>
        </w:rPr>
      </w:pPr>
      <w:r w:rsidRPr="00446CCC">
        <w:rPr>
          <w:rFonts w:ascii="Arial" w:eastAsia="Times New Roman" w:hAnsi="Arial" w:cs="Arial"/>
          <w:lang w:val="es-ES" w:eastAsia="es-ES"/>
        </w:rPr>
        <w:t xml:space="preserve">El valor de $170 millones para el pago de actividades de control y seguimiento al proyecto de inversión. </w:t>
      </w:r>
    </w:p>
    <w:p w14:paraId="0C3E3A2B" w14:textId="77777777" w:rsidR="00BC1C03" w:rsidRPr="00446CCC" w:rsidRDefault="00BC1C03" w:rsidP="00BC1C03">
      <w:pPr>
        <w:spacing w:after="0" w:line="240" w:lineRule="auto"/>
        <w:ind w:left="426"/>
        <w:jc w:val="both"/>
        <w:rPr>
          <w:rFonts w:ascii="Arial" w:eastAsia="Times New Roman" w:hAnsi="Arial" w:cs="Arial"/>
          <w:lang w:val="es-ES" w:eastAsia="es-ES"/>
        </w:rPr>
      </w:pPr>
    </w:p>
    <w:p w14:paraId="4A4A3F0A" w14:textId="77777777" w:rsidR="00BC1C03" w:rsidRPr="00446CCC" w:rsidRDefault="00BC1C03" w:rsidP="00BC1C03">
      <w:pPr>
        <w:spacing w:after="0" w:line="240" w:lineRule="auto"/>
        <w:jc w:val="both"/>
        <w:rPr>
          <w:rFonts w:ascii="Arial" w:eastAsia="Times New Roman" w:hAnsi="Arial" w:cs="Arial"/>
          <w:lang w:val="es-ES" w:eastAsia="es-ES"/>
        </w:rPr>
      </w:pPr>
      <w:r w:rsidRPr="00446CCC">
        <w:rPr>
          <w:rFonts w:ascii="Arial" w:eastAsia="Times New Roman" w:hAnsi="Arial" w:cs="Arial"/>
          <w:lang w:val="es-ES" w:eastAsia="es-ES"/>
        </w:rPr>
        <w:t>En cuanto a las obligaciones, se ejecutaron recursos por $408 millones de pesos equivalentes a los 22,14%. Durante el segundo trimestre se ejecutaron $329 millones de pesos, los cuales se distribuyeron así:</w:t>
      </w:r>
    </w:p>
    <w:p w14:paraId="1D613E0C" w14:textId="77777777" w:rsidR="00BC1C03" w:rsidRPr="00446CCC" w:rsidRDefault="00BC1C03" w:rsidP="00BC1C03">
      <w:pPr>
        <w:spacing w:after="0" w:line="240" w:lineRule="auto"/>
        <w:jc w:val="both"/>
        <w:rPr>
          <w:rFonts w:ascii="Arial" w:eastAsia="Times New Roman" w:hAnsi="Arial" w:cs="Arial"/>
          <w:lang w:val="es-ES" w:eastAsia="es-ES"/>
        </w:rPr>
      </w:pPr>
    </w:p>
    <w:p w14:paraId="36961CEA" w14:textId="77777777" w:rsidR="00BC1C03" w:rsidRDefault="00BC1C03" w:rsidP="008B4625">
      <w:pPr>
        <w:pStyle w:val="Prrafodelista"/>
        <w:numPr>
          <w:ilvl w:val="0"/>
          <w:numId w:val="69"/>
        </w:numPr>
        <w:spacing w:after="0" w:line="240" w:lineRule="auto"/>
        <w:ind w:left="426"/>
        <w:jc w:val="both"/>
        <w:rPr>
          <w:rFonts w:eastAsia="Times New Roman" w:cs="Arial"/>
          <w:lang w:val="es-ES" w:eastAsia="es-ES"/>
        </w:rPr>
      </w:pPr>
      <w:r w:rsidRPr="00446CCC">
        <w:rPr>
          <w:rFonts w:eastAsia="Times New Roman" w:cs="Arial"/>
          <w:lang w:val="es-ES" w:eastAsia="es-ES"/>
        </w:rPr>
        <w:t>El valor de $132 millones de pesos para los servicios de operación logística necesarios para la ejecución de espacio, talleres, foros o encuentros de diálogos con ciudadanos y partes interesadas.</w:t>
      </w:r>
    </w:p>
    <w:p w14:paraId="37E00C95" w14:textId="77777777" w:rsidR="00BC1C03" w:rsidRPr="00031D5E" w:rsidRDefault="00BC1C03" w:rsidP="008B4625">
      <w:pPr>
        <w:pStyle w:val="Prrafodelista"/>
        <w:numPr>
          <w:ilvl w:val="0"/>
          <w:numId w:val="69"/>
        </w:numPr>
        <w:spacing w:after="0" w:line="240" w:lineRule="auto"/>
        <w:ind w:left="426"/>
        <w:jc w:val="both"/>
        <w:rPr>
          <w:rFonts w:eastAsia="Times New Roman" w:cs="Arial"/>
          <w:lang w:val="es-ES" w:eastAsia="es-ES"/>
        </w:rPr>
      </w:pPr>
      <w:r>
        <w:rPr>
          <w:rFonts w:eastAsia="Times New Roman" w:cs="Arial"/>
          <w:lang w:val="es-ES" w:eastAsia="es-ES"/>
        </w:rPr>
        <w:t>El valor de $64 millones de pesos para pagar el s</w:t>
      </w:r>
      <w:r w:rsidRPr="00B374E0">
        <w:rPr>
          <w:rFonts w:eastAsia="Times New Roman" w:cs="Arial"/>
          <w:lang w:val="es-ES" w:eastAsia="es-ES"/>
        </w:rPr>
        <w:t>ervicio de un centro de contacto con el fin de interactuar con los ciudadanos y/o partes interesadas a través de diferentes canales de atención, apoyando la gestión de acceso a la infor</w:t>
      </w:r>
      <w:r w:rsidRPr="00031D5E">
        <w:rPr>
          <w:rFonts w:eastAsia="Times New Roman" w:cs="Arial"/>
          <w:lang w:val="es-ES" w:eastAsia="es-ES"/>
        </w:rPr>
        <w:t>mación pública del sector minero energético.</w:t>
      </w:r>
    </w:p>
    <w:p w14:paraId="294F8639" w14:textId="77777777" w:rsidR="00BC1C03" w:rsidRDefault="00BC1C03" w:rsidP="008B4625">
      <w:pPr>
        <w:pStyle w:val="Prrafodelista"/>
        <w:numPr>
          <w:ilvl w:val="0"/>
          <w:numId w:val="69"/>
        </w:numPr>
        <w:spacing w:after="0" w:line="240" w:lineRule="auto"/>
        <w:ind w:left="426"/>
        <w:jc w:val="both"/>
        <w:rPr>
          <w:rFonts w:eastAsia="Times New Roman" w:cs="Arial"/>
          <w:lang w:val="es-ES" w:eastAsia="es-ES"/>
        </w:rPr>
      </w:pPr>
      <w:r w:rsidRPr="00031D5E">
        <w:rPr>
          <w:rFonts w:eastAsia="Times New Roman" w:cs="Arial"/>
          <w:lang w:val="es-ES" w:eastAsia="es-ES"/>
        </w:rPr>
        <w:t xml:space="preserve">El valor de $239 millones para atender los pagos de actividades de apoyo a la gestión y seguimiento del proyecto.  </w:t>
      </w:r>
    </w:p>
    <w:p w14:paraId="6ADD073B" w14:textId="77777777" w:rsidR="00BC1C03" w:rsidRPr="00031D5E" w:rsidRDefault="00BC1C03" w:rsidP="00BC1C03">
      <w:pPr>
        <w:pStyle w:val="Prrafodelista"/>
        <w:spacing w:after="0" w:line="240" w:lineRule="auto"/>
        <w:ind w:left="426"/>
        <w:jc w:val="both"/>
        <w:rPr>
          <w:rFonts w:eastAsia="Times New Roman" w:cs="Arial"/>
          <w:lang w:val="es-ES" w:eastAsia="es-ES"/>
        </w:rPr>
      </w:pPr>
    </w:p>
    <w:p w14:paraId="3C6B4A0F" w14:textId="77777777" w:rsidR="00BC1C03" w:rsidRPr="00031D5E" w:rsidRDefault="00BC1C03" w:rsidP="008B4625">
      <w:pPr>
        <w:numPr>
          <w:ilvl w:val="0"/>
          <w:numId w:val="29"/>
        </w:numPr>
        <w:spacing w:after="0" w:line="240" w:lineRule="auto"/>
        <w:ind w:left="426"/>
        <w:jc w:val="both"/>
        <w:rPr>
          <w:rFonts w:ascii="Arial" w:eastAsia="Times New Roman" w:hAnsi="Arial" w:cs="Arial"/>
          <w:lang w:val="es-ES" w:eastAsia="es-ES"/>
        </w:rPr>
      </w:pPr>
      <w:r w:rsidRPr="00031D5E">
        <w:rPr>
          <w:rFonts w:ascii="Arial" w:eastAsia="Times New Roman" w:hAnsi="Arial" w:cs="Arial"/>
          <w:b/>
          <w:lang w:val="es-ES" w:eastAsia="es-ES"/>
        </w:rPr>
        <w:t>Fortalecimiento de la cultura organizacional del ministerio de minas y energía en la ciudad de Bogotá:</w:t>
      </w:r>
      <w:r w:rsidRPr="00031D5E">
        <w:rPr>
          <w:rFonts w:ascii="Arial" w:eastAsia="Times New Roman" w:hAnsi="Arial" w:cs="Arial"/>
          <w:lang w:val="es-ES" w:eastAsia="es-ES"/>
        </w:rPr>
        <w:t xml:space="preserve"> </w:t>
      </w:r>
    </w:p>
    <w:p w14:paraId="7B050361" w14:textId="77777777" w:rsidR="00BC1C03" w:rsidRPr="00031D5E" w:rsidRDefault="00BC1C03" w:rsidP="00BC1C03">
      <w:pPr>
        <w:spacing w:after="0" w:line="240" w:lineRule="auto"/>
        <w:ind w:left="426"/>
        <w:jc w:val="both"/>
        <w:rPr>
          <w:rFonts w:ascii="Arial" w:eastAsia="Times New Roman" w:hAnsi="Arial" w:cs="Arial"/>
          <w:lang w:val="es-ES" w:eastAsia="es-ES"/>
        </w:rPr>
      </w:pPr>
    </w:p>
    <w:p w14:paraId="0A5F8997" w14:textId="77777777" w:rsidR="00BC1C03" w:rsidRPr="00F64C07" w:rsidRDefault="00BC1C03" w:rsidP="00BC1C03">
      <w:pPr>
        <w:spacing w:after="0" w:line="240" w:lineRule="auto"/>
        <w:jc w:val="both"/>
        <w:rPr>
          <w:rFonts w:ascii="Arial" w:eastAsia="Times New Roman" w:hAnsi="Arial" w:cs="Arial"/>
          <w:lang w:val="es-ES" w:eastAsia="es-ES"/>
        </w:rPr>
      </w:pPr>
      <w:r w:rsidRPr="00F64C07">
        <w:rPr>
          <w:rFonts w:ascii="Arial" w:eastAsia="Times New Roman" w:hAnsi="Arial" w:cs="Arial"/>
          <w:lang w:val="es-ES" w:eastAsia="es-ES"/>
        </w:rPr>
        <w:t xml:space="preserve">Este proyecto cuenta con una apropiación de $600 millones de pesos para la vigencia 2018. Al cierre del segundo semestre se comprometieron recursos por $300 millones de pesos; en el segundo trimestre este proyecto no presentó compromisos.  En cuanto a sus obligaciones ejecutaron $77 millones para atender los pagos relacionados con las actividades de apoyo a la gestión y seguimiento del proyecto.  </w:t>
      </w:r>
    </w:p>
    <w:p w14:paraId="0E2E2852" w14:textId="77777777" w:rsidR="00BC1C03" w:rsidRPr="00F64C07" w:rsidRDefault="00BC1C03" w:rsidP="00BC1C03">
      <w:pPr>
        <w:spacing w:after="0" w:line="240" w:lineRule="auto"/>
        <w:ind w:left="66"/>
        <w:jc w:val="both"/>
        <w:rPr>
          <w:rFonts w:ascii="Arial" w:eastAsia="Times New Roman" w:hAnsi="Arial" w:cs="Arial"/>
          <w:lang w:val="es-ES" w:eastAsia="es-ES"/>
        </w:rPr>
      </w:pPr>
    </w:p>
    <w:p w14:paraId="1BCD89B0" w14:textId="77777777" w:rsidR="00BC1C03" w:rsidRPr="0020748A" w:rsidRDefault="00BC1C03" w:rsidP="008B4625">
      <w:pPr>
        <w:numPr>
          <w:ilvl w:val="0"/>
          <w:numId w:val="26"/>
        </w:numPr>
        <w:spacing w:after="0" w:line="240" w:lineRule="auto"/>
        <w:ind w:left="360"/>
        <w:jc w:val="both"/>
        <w:rPr>
          <w:rFonts w:ascii="Arial" w:eastAsia="Times New Roman" w:hAnsi="Arial" w:cs="Arial"/>
          <w:lang w:val="es-ES" w:eastAsia="es-ES"/>
        </w:rPr>
      </w:pPr>
      <w:r w:rsidRPr="0020748A">
        <w:rPr>
          <w:rFonts w:ascii="Arial" w:eastAsia="Times New Roman" w:hAnsi="Arial" w:cs="Arial"/>
          <w:b/>
          <w:lang w:val="es-ES" w:eastAsia="es-ES"/>
        </w:rPr>
        <w:t>Optimización y organización archivística de documentos del archivo central del Ministerio de Minas y Energía, Bogotá:</w:t>
      </w:r>
    </w:p>
    <w:p w14:paraId="3727EBBF" w14:textId="77777777" w:rsidR="00BC1C03" w:rsidRPr="0020748A" w:rsidRDefault="00BC1C03" w:rsidP="00BC1C03">
      <w:pPr>
        <w:spacing w:after="0" w:line="240" w:lineRule="auto"/>
        <w:ind w:left="360"/>
        <w:jc w:val="both"/>
        <w:rPr>
          <w:rFonts w:ascii="Arial" w:eastAsia="Times New Roman" w:hAnsi="Arial" w:cs="Arial"/>
          <w:lang w:val="es-ES" w:eastAsia="es-ES"/>
        </w:rPr>
      </w:pPr>
    </w:p>
    <w:p w14:paraId="118BCAD1" w14:textId="77777777" w:rsidR="00BC1C03" w:rsidRPr="0020748A" w:rsidRDefault="00BC1C03" w:rsidP="00BC1C03">
      <w:pPr>
        <w:spacing w:after="0" w:line="240" w:lineRule="auto"/>
        <w:jc w:val="both"/>
        <w:rPr>
          <w:rFonts w:ascii="Arial" w:eastAsia="Times New Roman" w:hAnsi="Arial" w:cs="Arial"/>
          <w:lang w:val="es-ES" w:eastAsia="es-ES"/>
        </w:rPr>
      </w:pPr>
      <w:r w:rsidRPr="0020748A">
        <w:rPr>
          <w:rFonts w:ascii="Arial" w:eastAsia="Times New Roman" w:hAnsi="Arial" w:cs="Arial"/>
          <w:lang w:val="es-ES" w:eastAsia="es-ES"/>
        </w:rPr>
        <w:t xml:space="preserve">Este proyecto cuenta con una apropiación vigente para el 2018 de $800 millones de pesos, cerrando sus compromisos en $327 millones de pesos, equivalentes al 40,87% de ejecución. </w:t>
      </w:r>
    </w:p>
    <w:p w14:paraId="3AF071E4" w14:textId="77777777" w:rsidR="00BC1C03" w:rsidRPr="009D4743" w:rsidRDefault="00BC1C03" w:rsidP="00BC1C03">
      <w:pPr>
        <w:spacing w:after="0" w:line="240" w:lineRule="auto"/>
        <w:jc w:val="both"/>
        <w:rPr>
          <w:rFonts w:ascii="Arial" w:eastAsia="Times New Roman" w:hAnsi="Arial" w:cs="Arial"/>
          <w:lang w:val="es-ES" w:eastAsia="es-ES"/>
        </w:rPr>
      </w:pPr>
      <w:r w:rsidRPr="0020748A">
        <w:rPr>
          <w:rFonts w:ascii="Arial" w:eastAsia="Times New Roman" w:hAnsi="Arial" w:cs="Arial"/>
          <w:lang w:val="es-ES" w:eastAsia="es-ES"/>
        </w:rPr>
        <w:t>Referente a sus obligaciones, se ejecutaron recursos por $127 millones de pesos, equivalentes al 15,</w:t>
      </w:r>
      <w:r w:rsidRPr="009D4743">
        <w:rPr>
          <w:rFonts w:ascii="Arial" w:eastAsia="Times New Roman" w:hAnsi="Arial" w:cs="Arial"/>
          <w:lang w:val="es-ES" w:eastAsia="es-ES"/>
        </w:rPr>
        <w:t xml:space="preserve">83%, siendo para el segundo trimestre $93 millones de pesos ejecutados para cubrir actividades de apoyo a la gestión y seguimiento del proyecto. </w:t>
      </w:r>
    </w:p>
    <w:p w14:paraId="354E19FC" w14:textId="77777777" w:rsidR="00BC1C03" w:rsidRPr="009D4743" w:rsidRDefault="00BC1C03" w:rsidP="00BC1C03">
      <w:pPr>
        <w:spacing w:after="0" w:line="240" w:lineRule="auto"/>
        <w:jc w:val="both"/>
        <w:rPr>
          <w:rFonts w:ascii="Arial" w:eastAsia="Times New Roman" w:hAnsi="Arial" w:cs="Arial"/>
          <w:lang w:val="es-ES" w:eastAsia="es-ES"/>
        </w:rPr>
      </w:pPr>
    </w:p>
    <w:p w14:paraId="1047B071" w14:textId="77777777" w:rsidR="00BC1C03" w:rsidRPr="009D4743" w:rsidRDefault="00BC1C03" w:rsidP="008B4625">
      <w:pPr>
        <w:numPr>
          <w:ilvl w:val="0"/>
          <w:numId w:val="26"/>
        </w:numPr>
        <w:spacing w:after="0" w:line="240" w:lineRule="auto"/>
        <w:ind w:left="360"/>
        <w:jc w:val="both"/>
        <w:rPr>
          <w:rFonts w:ascii="Arial" w:eastAsia="Times New Roman" w:hAnsi="Arial" w:cs="Arial"/>
          <w:lang w:val="es-ES" w:eastAsia="es-ES"/>
        </w:rPr>
      </w:pPr>
      <w:r w:rsidRPr="009D4743">
        <w:rPr>
          <w:rFonts w:ascii="Arial" w:eastAsia="Times New Roman" w:hAnsi="Arial" w:cs="Arial"/>
          <w:b/>
          <w:lang w:val="es-ES" w:eastAsia="es-ES"/>
        </w:rPr>
        <w:t>Mantenimiento adecuación y ampliación de la infraestructura para sedes del MME, Bogotá:</w:t>
      </w:r>
    </w:p>
    <w:p w14:paraId="29489500" w14:textId="77777777" w:rsidR="00BC1C03" w:rsidRPr="009D4743" w:rsidRDefault="00BC1C03" w:rsidP="00BC1C03">
      <w:pPr>
        <w:spacing w:after="0" w:line="240" w:lineRule="auto"/>
        <w:ind w:left="360"/>
        <w:jc w:val="both"/>
        <w:rPr>
          <w:rFonts w:ascii="Arial" w:eastAsia="Times New Roman" w:hAnsi="Arial" w:cs="Arial"/>
          <w:lang w:val="es-ES" w:eastAsia="es-ES"/>
        </w:rPr>
      </w:pPr>
    </w:p>
    <w:p w14:paraId="6088F272" w14:textId="77777777" w:rsidR="00BC1C03" w:rsidRPr="00D65CC7" w:rsidRDefault="00BC1C03" w:rsidP="00BC1C03">
      <w:pPr>
        <w:spacing w:after="0" w:line="240" w:lineRule="auto"/>
        <w:jc w:val="both"/>
        <w:rPr>
          <w:rFonts w:ascii="Arial" w:eastAsia="Times New Roman" w:hAnsi="Arial" w:cs="Arial"/>
          <w:lang w:val="es-ES" w:eastAsia="es-ES"/>
        </w:rPr>
      </w:pPr>
      <w:r w:rsidRPr="009D4743">
        <w:rPr>
          <w:rFonts w:ascii="Arial" w:eastAsia="Times New Roman" w:hAnsi="Arial" w:cs="Arial"/>
          <w:lang w:val="es-ES" w:eastAsia="es-ES"/>
        </w:rPr>
        <w:t xml:space="preserve">Este proyecto cuenta con una apropiación vigente para el 2018 de $186 millones de pesos, </w:t>
      </w:r>
      <w:r>
        <w:rPr>
          <w:rFonts w:ascii="Arial" w:eastAsia="Times New Roman" w:hAnsi="Arial" w:cs="Arial"/>
          <w:lang w:val="es-ES" w:eastAsia="es-ES"/>
        </w:rPr>
        <w:t>presentó en compromisos y obligaciones una ejecución de $108 y 29 millones de pesos equivalentes a un</w:t>
      </w:r>
      <w:r w:rsidRPr="009D4743">
        <w:rPr>
          <w:rFonts w:ascii="Arial" w:eastAsia="Times New Roman" w:hAnsi="Arial" w:cs="Arial"/>
          <w:lang w:val="es-ES" w:eastAsia="es-ES"/>
        </w:rPr>
        <w:t xml:space="preserve"> 51,91%</w:t>
      </w:r>
      <w:r>
        <w:rPr>
          <w:rFonts w:ascii="Arial" w:eastAsia="Times New Roman" w:hAnsi="Arial" w:cs="Arial"/>
          <w:lang w:val="es-ES" w:eastAsia="es-ES"/>
        </w:rPr>
        <w:t xml:space="preserve"> y 15,65%, respectivamente. Durante el segundo trimestre, se </w:t>
      </w:r>
      <w:r>
        <w:rPr>
          <w:rFonts w:ascii="Arial" w:eastAsia="Times New Roman" w:hAnsi="Arial" w:cs="Arial"/>
          <w:lang w:val="es-ES" w:eastAsia="es-ES"/>
        </w:rPr>
        <w:lastRenderedPageBreak/>
        <w:t>ejecutaron $37 millones de pesos y $22 millones de pesos para a</w:t>
      </w:r>
      <w:r w:rsidRPr="00D65CC7">
        <w:rPr>
          <w:rFonts w:ascii="Arial" w:eastAsia="Times New Roman" w:hAnsi="Arial" w:cs="Arial"/>
          <w:lang w:val="es-ES" w:eastAsia="es-ES"/>
        </w:rPr>
        <w:t xml:space="preserve">ctividades </w:t>
      </w:r>
      <w:r>
        <w:rPr>
          <w:rFonts w:ascii="Arial" w:eastAsia="Times New Roman" w:hAnsi="Arial" w:cs="Arial"/>
          <w:lang w:val="es-ES" w:eastAsia="es-ES"/>
        </w:rPr>
        <w:t>de</w:t>
      </w:r>
      <w:r w:rsidRPr="00D65CC7">
        <w:rPr>
          <w:rFonts w:ascii="Arial" w:eastAsia="Times New Roman" w:hAnsi="Arial" w:cs="Arial"/>
          <w:lang w:val="es-ES" w:eastAsia="es-ES"/>
        </w:rPr>
        <w:t xml:space="preserve"> apoyo y seguimiento a la gestión del proyecto de inversión.</w:t>
      </w:r>
    </w:p>
    <w:p w14:paraId="00C9EA44" w14:textId="77777777" w:rsidR="00BC1C03" w:rsidRPr="00A201DA" w:rsidRDefault="00BC1C03" w:rsidP="00BC1C03">
      <w:pPr>
        <w:spacing w:after="0" w:line="240" w:lineRule="auto"/>
        <w:ind w:left="360"/>
        <w:jc w:val="both"/>
        <w:rPr>
          <w:rFonts w:ascii="Arial" w:eastAsia="Times New Roman" w:hAnsi="Arial" w:cs="Arial"/>
          <w:color w:val="FF0000"/>
          <w:highlight w:val="yellow"/>
          <w:lang w:val="es-ES" w:eastAsia="es-ES"/>
        </w:rPr>
      </w:pPr>
    </w:p>
    <w:p w14:paraId="5D2CE6ED" w14:textId="77777777" w:rsidR="00BC1C03" w:rsidRPr="00766A3B" w:rsidRDefault="00BC1C03" w:rsidP="008B4625">
      <w:pPr>
        <w:numPr>
          <w:ilvl w:val="0"/>
          <w:numId w:val="26"/>
        </w:numPr>
        <w:spacing w:after="0" w:line="240" w:lineRule="auto"/>
        <w:ind w:left="360"/>
        <w:jc w:val="both"/>
        <w:rPr>
          <w:rFonts w:ascii="Arial" w:eastAsia="Times New Roman" w:hAnsi="Arial" w:cs="Arial"/>
          <w:lang w:val="es-ES" w:eastAsia="es-ES"/>
        </w:rPr>
      </w:pPr>
      <w:r w:rsidRPr="00766A3B">
        <w:rPr>
          <w:rFonts w:ascii="Arial" w:eastAsia="Times New Roman" w:hAnsi="Arial" w:cs="Arial"/>
          <w:b/>
          <w:lang w:val="es-ES" w:eastAsia="es-ES"/>
        </w:rPr>
        <w:t>Implementación sistema gestión de documentos electrónicos de archivo en el Ministerio de Minas y Energía:</w:t>
      </w:r>
    </w:p>
    <w:p w14:paraId="1EA40318" w14:textId="77777777" w:rsidR="00BC1C03" w:rsidRPr="00766A3B" w:rsidRDefault="00BC1C03" w:rsidP="00BC1C03">
      <w:pPr>
        <w:spacing w:after="0" w:line="240" w:lineRule="auto"/>
        <w:jc w:val="both"/>
        <w:rPr>
          <w:rFonts w:ascii="Arial" w:eastAsia="Times New Roman" w:hAnsi="Arial" w:cs="Arial"/>
          <w:b/>
          <w:lang w:val="es-ES" w:eastAsia="es-ES"/>
        </w:rPr>
      </w:pPr>
    </w:p>
    <w:p w14:paraId="15176B5D" w14:textId="77777777" w:rsidR="00BC1C03" w:rsidRPr="00766A3B" w:rsidRDefault="00BC1C03" w:rsidP="00BC1C03">
      <w:pPr>
        <w:spacing w:after="0" w:line="240" w:lineRule="auto"/>
        <w:jc w:val="both"/>
        <w:rPr>
          <w:rFonts w:ascii="Arial" w:eastAsia="Times New Roman" w:hAnsi="Arial" w:cs="Arial"/>
          <w:lang w:val="es-ES" w:eastAsia="es-ES"/>
        </w:rPr>
      </w:pPr>
      <w:r w:rsidRPr="00766A3B">
        <w:rPr>
          <w:rFonts w:ascii="Arial" w:eastAsia="Times New Roman" w:hAnsi="Arial" w:cs="Arial"/>
          <w:lang w:val="es-ES" w:eastAsia="es-ES"/>
        </w:rPr>
        <w:t>Este proyecto cuenta con una apropiación vigente para el 2018 de $162 millones de pesos, de los cuales se comprometieron $159 millones de pesos, equivalentes al 97,90%. Destinados para las actividades de apoyo y seguimiento a la gestión del proyecto de inversión. En este trimestre no presentaron compromisos.</w:t>
      </w:r>
    </w:p>
    <w:p w14:paraId="3E7E98BD" w14:textId="77777777" w:rsidR="00BC1C03" w:rsidRPr="00766A3B" w:rsidRDefault="00BC1C03" w:rsidP="00BC1C03">
      <w:pPr>
        <w:spacing w:after="0" w:line="240" w:lineRule="auto"/>
        <w:jc w:val="both"/>
        <w:rPr>
          <w:rFonts w:ascii="Arial" w:eastAsia="Times New Roman" w:hAnsi="Arial" w:cs="Arial"/>
          <w:lang w:val="es-ES" w:eastAsia="es-ES"/>
        </w:rPr>
      </w:pPr>
    </w:p>
    <w:p w14:paraId="19B66F37" w14:textId="77777777" w:rsidR="00BC1C03" w:rsidRPr="00A201DA" w:rsidRDefault="00BC1C03" w:rsidP="00BC1C03">
      <w:pPr>
        <w:spacing w:after="0" w:line="240" w:lineRule="auto"/>
        <w:jc w:val="both"/>
        <w:rPr>
          <w:rFonts w:ascii="Arial" w:eastAsia="Times New Roman" w:hAnsi="Arial" w:cs="Arial"/>
          <w:lang w:val="es-ES" w:eastAsia="es-ES"/>
        </w:rPr>
      </w:pPr>
      <w:r w:rsidRPr="00766A3B">
        <w:rPr>
          <w:rFonts w:ascii="Arial" w:eastAsia="Times New Roman" w:hAnsi="Arial" w:cs="Arial"/>
          <w:lang w:val="es-ES" w:eastAsia="es-ES"/>
        </w:rPr>
        <w:t>En cuanto a las obligaciones, se ejecutaron recursos por $62 millones de pesos, equivalentes al 38,54% de ejecución. Estas obligaciones se realizaron para cubrir el pago actividades de apoyo y seguimiento a la gestión del proyecto de inversión.</w:t>
      </w:r>
      <w:r w:rsidRPr="00A201DA">
        <w:rPr>
          <w:rFonts w:ascii="Arial" w:eastAsia="Times New Roman" w:hAnsi="Arial" w:cs="Arial"/>
          <w:lang w:val="es-ES" w:eastAsia="es-ES"/>
        </w:rPr>
        <w:t xml:space="preserve"> </w:t>
      </w:r>
    </w:p>
    <w:p w14:paraId="06D561AF" w14:textId="77777777" w:rsidR="00BC1C03" w:rsidRDefault="00BC1C03" w:rsidP="00BC1C03">
      <w:pPr>
        <w:spacing w:after="0" w:line="240" w:lineRule="auto"/>
        <w:jc w:val="both"/>
        <w:rPr>
          <w:rFonts w:ascii="Arial" w:eastAsia="Times New Roman" w:hAnsi="Arial" w:cs="Arial"/>
          <w:lang w:val="es-ES" w:eastAsia="es-ES"/>
        </w:rPr>
      </w:pPr>
    </w:p>
    <w:p w14:paraId="425AD03B" w14:textId="048428F8" w:rsidR="00C02282" w:rsidRPr="00BC1C03" w:rsidRDefault="00C02282" w:rsidP="00055F7C">
      <w:pPr>
        <w:pStyle w:val="Ttulo1"/>
        <w:numPr>
          <w:ilvl w:val="0"/>
          <w:numId w:val="6"/>
        </w:numPr>
        <w:rPr>
          <w:rFonts w:ascii="Arial" w:eastAsia="Arial" w:hAnsi="Arial" w:cs="Arial"/>
          <w:b/>
          <w:color w:val="auto"/>
          <w:sz w:val="22"/>
          <w:szCs w:val="22"/>
          <w:lang w:eastAsia="es-CO"/>
        </w:rPr>
      </w:pPr>
      <w:bookmarkStart w:id="52" w:name="_Toc525652018"/>
      <w:r w:rsidRPr="00BC1C03">
        <w:rPr>
          <w:rFonts w:ascii="Arial" w:eastAsia="Arial" w:hAnsi="Arial" w:cs="Arial"/>
          <w:b/>
          <w:color w:val="auto"/>
          <w:sz w:val="22"/>
          <w:szCs w:val="22"/>
          <w:lang w:eastAsia="es-CO"/>
        </w:rPr>
        <w:t>COMP</w:t>
      </w:r>
      <w:r w:rsidR="00BC1C03" w:rsidRPr="00BC1C03">
        <w:rPr>
          <w:rFonts w:ascii="Arial" w:eastAsia="Arial" w:hAnsi="Arial" w:cs="Arial"/>
          <w:b/>
          <w:color w:val="auto"/>
          <w:sz w:val="22"/>
          <w:szCs w:val="22"/>
          <w:lang w:eastAsia="es-CO"/>
        </w:rPr>
        <w:t xml:space="preserve">OSICIÓN REZAGO PRESUPUESTAL DEL </w:t>
      </w:r>
      <w:r w:rsidRPr="00BC1C03">
        <w:rPr>
          <w:rFonts w:ascii="Arial" w:eastAsia="Arial" w:hAnsi="Arial" w:cs="Arial"/>
          <w:b/>
          <w:color w:val="auto"/>
          <w:sz w:val="22"/>
          <w:szCs w:val="22"/>
          <w:lang w:eastAsia="es-CO"/>
        </w:rPr>
        <w:t>MME</w:t>
      </w:r>
      <w:bookmarkEnd w:id="52"/>
    </w:p>
    <w:p w14:paraId="30F34C97" w14:textId="77777777" w:rsidR="00C02282" w:rsidRPr="00BC1C03" w:rsidRDefault="00C02282" w:rsidP="00055F7C">
      <w:pPr>
        <w:pStyle w:val="Ttulo2"/>
        <w:numPr>
          <w:ilvl w:val="1"/>
          <w:numId w:val="6"/>
        </w:numPr>
        <w:rPr>
          <w:rFonts w:ascii="Arial" w:eastAsia="Calibri" w:hAnsi="Arial" w:cs="Arial"/>
          <w:color w:val="auto"/>
          <w:sz w:val="22"/>
          <w:szCs w:val="22"/>
        </w:rPr>
      </w:pPr>
      <w:bookmarkStart w:id="53" w:name="_Toc525652019"/>
      <w:r w:rsidRPr="00BC1C03">
        <w:rPr>
          <w:rFonts w:ascii="Arial" w:eastAsia="Calibri" w:hAnsi="Arial" w:cs="Arial"/>
          <w:color w:val="auto"/>
          <w:sz w:val="22"/>
          <w:szCs w:val="22"/>
        </w:rPr>
        <w:t>Ejecución reservas presupuestales MME</w:t>
      </w:r>
      <w:bookmarkEnd w:id="53"/>
    </w:p>
    <w:p w14:paraId="00CDF894" w14:textId="77777777" w:rsidR="00C02282" w:rsidRPr="006A67B4" w:rsidRDefault="00C02282" w:rsidP="00C02282">
      <w:pPr>
        <w:spacing w:after="0" w:line="240" w:lineRule="auto"/>
        <w:jc w:val="both"/>
        <w:rPr>
          <w:rFonts w:ascii="Arial" w:eastAsia="Arial" w:hAnsi="Arial" w:cs="Arial"/>
          <w:sz w:val="20"/>
          <w:szCs w:val="16"/>
          <w:highlight w:val="yellow"/>
        </w:rPr>
      </w:pPr>
    </w:p>
    <w:p w14:paraId="576245D3" w14:textId="77777777" w:rsidR="00BC1C03" w:rsidRPr="00F64C07" w:rsidRDefault="00BC1C03" w:rsidP="00BC1C03">
      <w:pPr>
        <w:spacing w:after="0" w:line="240" w:lineRule="auto"/>
        <w:jc w:val="both"/>
        <w:rPr>
          <w:rFonts w:ascii="Arial" w:hAnsi="Arial" w:cs="Arial"/>
        </w:rPr>
      </w:pPr>
      <w:r w:rsidRPr="00F64C07">
        <w:rPr>
          <w:rFonts w:ascii="Arial" w:hAnsi="Arial" w:cs="Arial"/>
        </w:rPr>
        <w:t xml:space="preserve">Las Reservas Presupuestales definitivas constituidas a 31 de diciembre de 2017, ascienden a $187.976 millones. Al cierre del segundo trimestre de la vigencia 2018, se ejecutaron $102.484 millones representando al 55% y detallado de la siguiente manera: </w:t>
      </w:r>
    </w:p>
    <w:p w14:paraId="58B79F8D" w14:textId="77777777" w:rsidR="0002281B" w:rsidRDefault="0002281B" w:rsidP="00BC1C03">
      <w:pPr>
        <w:pStyle w:val="Prrafodelista"/>
        <w:spacing w:after="0" w:line="240" w:lineRule="auto"/>
        <w:ind w:left="360"/>
        <w:jc w:val="center"/>
      </w:pPr>
      <w:bookmarkStart w:id="54" w:name="_Toc525652473"/>
    </w:p>
    <w:p w14:paraId="1F3D51DF" w14:textId="299BCA96" w:rsidR="00BC1C03" w:rsidRPr="0002281B" w:rsidRDefault="00BC1C03" w:rsidP="0002281B">
      <w:pPr>
        <w:pStyle w:val="Descripcin"/>
        <w:keepNext/>
        <w:jc w:val="center"/>
      </w:pPr>
      <w:r>
        <w:t xml:space="preserve">Tabla </w:t>
      </w:r>
      <w:r w:rsidR="00BD29F2">
        <w:fldChar w:fldCharType="begin"/>
      </w:r>
      <w:r w:rsidR="00BD29F2">
        <w:instrText xml:space="preserve"> SEQ Tabla \* ARABIC </w:instrText>
      </w:r>
      <w:r w:rsidR="00BD29F2">
        <w:fldChar w:fldCharType="separate"/>
      </w:r>
      <w:r w:rsidR="008B4625">
        <w:t>27</w:t>
      </w:r>
      <w:r w:rsidR="00BD29F2">
        <w:fldChar w:fldCharType="end"/>
      </w:r>
      <w:r>
        <w:t xml:space="preserve"> Ejecución Reservas Presupuestales 2018</w:t>
      </w:r>
      <w:r w:rsidRPr="0002281B">
        <w:t xml:space="preserve"> Cifras en millones de pesos</w:t>
      </w:r>
      <w:bookmarkEnd w:id="54"/>
    </w:p>
    <w:p w14:paraId="0E7A98AE" w14:textId="77777777" w:rsidR="00BC1C03" w:rsidRPr="00C20FD6" w:rsidRDefault="00BC1C03" w:rsidP="00BC1C03">
      <w:pPr>
        <w:spacing w:after="0" w:line="240" w:lineRule="auto"/>
        <w:jc w:val="center"/>
        <w:rPr>
          <w:rFonts w:ascii="Arial" w:eastAsia="Calibri" w:hAnsi="Arial" w:cs="Arial"/>
        </w:rPr>
      </w:pPr>
      <w:r w:rsidRPr="00BC1C03">
        <w:rPr>
          <w:rFonts w:ascii="Arial" w:eastAsia="Calibri" w:hAnsi="Arial" w:cs="Arial"/>
          <w:sz w:val="16"/>
          <w:szCs w:val="16"/>
        </w:rPr>
        <w:t>Fuente: SIIF Nación</w:t>
      </w:r>
    </w:p>
    <w:bookmarkStart w:id="55" w:name="_MON_1593704316"/>
    <w:bookmarkEnd w:id="55"/>
    <w:p w14:paraId="5CA18096" w14:textId="332659D5" w:rsidR="00C02282" w:rsidRDefault="00BC1C03" w:rsidP="00BC1C03">
      <w:pPr>
        <w:pStyle w:val="Descripcin"/>
        <w:keepNext/>
        <w:jc w:val="center"/>
        <w:rPr>
          <w:rFonts w:ascii="Arial" w:eastAsia="Arial" w:hAnsi="Arial" w:cs="Arial"/>
          <w:szCs w:val="16"/>
          <w:highlight w:val="yellow"/>
        </w:rPr>
      </w:pPr>
      <w:r w:rsidRPr="00F64C07">
        <w:rPr>
          <w:rFonts w:ascii="Arial" w:hAnsi="Arial" w:cs="Arial"/>
          <w:b/>
        </w:rPr>
        <w:object w:dxaOrig="10539" w:dyaOrig="3791" w14:anchorId="35946210">
          <v:shape id="_x0000_i1030" type="#_x0000_t75" style="width:427.15pt;height:120.15pt" o:ole="">
            <v:imagedata r:id="rId36" o:title=""/>
          </v:shape>
          <o:OLEObject Type="Embed" ProgID="Excel.Sheet.12" ShapeID="_x0000_i1030" DrawAspect="Content" ObjectID="_1609164571" r:id="rId37"/>
        </w:object>
      </w:r>
    </w:p>
    <w:p w14:paraId="00B327C7" w14:textId="77777777" w:rsidR="00BC1C03" w:rsidRPr="00BC1C03" w:rsidRDefault="00BC1C03" w:rsidP="00BC1C03">
      <w:pPr>
        <w:spacing w:after="0" w:line="240" w:lineRule="auto"/>
        <w:jc w:val="center"/>
        <w:rPr>
          <w:rFonts w:ascii="Arial" w:eastAsia="Times New Roman" w:hAnsi="Arial" w:cs="Arial"/>
          <w:noProof/>
          <w:color w:val="002060"/>
          <w:sz w:val="18"/>
          <w:szCs w:val="18"/>
          <w:lang w:eastAsia="es-CO"/>
        </w:rPr>
      </w:pPr>
      <w:r w:rsidRPr="00BC1C03">
        <w:rPr>
          <w:rFonts w:ascii="Arial" w:eastAsia="Times New Roman" w:hAnsi="Arial" w:cs="Arial"/>
          <w:noProof/>
          <w:sz w:val="18"/>
          <w:szCs w:val="18"/>
          <w:lang w:eastAsia="es-CO"/>
        </w:rPr>
        <w:t>Cifras en millones de pesos</w:t>
      </w:r>
    </w:p>
    <w:p w14:paraId="7409C0BA" w14:textId="77777777" w:rsidR="00BC1C03" w:rsidRPr="00BC1C03" w:rsidRDefault="00BC1C03" w:rsidP="00BC1C03">
      <w:pPr>
        <w:spacing w:after="0" w:line="240" w:lineRule="auto"/>
        <w:jc w:val="center"/>
        <w:rPr>
          <w:rFonts w:ascii="Arial" w:eastAsia="Calibri" w:hAnsi="Arial" w:cs="Arial"/>
        </w:rPr>
      </w:pPr>
      <w:r w:rsidRPr="00BC1C03">
        <w:rPr>
          <w:rFonts w:ascii="Arial" w:eastAsia="Calibri" w:hAnsi="Arial" w:cs="Arial"/>
          <w:sz w:val="16"/>
          <w:szCs w:val="16"/>
        </w:rPr>
        <w:t>Fuente: SIIF Nación</w:t>
      </w:r>
    </w:p>
    <w:p w14:paraId="78AB60B8" w14:textId="77777777" w:rsidR="00BC1C03" w:rsidRPr="00F75601" w:rsidRDefault="00BC1C03" w:rsidP="00BC1C03">
      <w:pPr>
        <w:shd w:val="clear" w:color="auto" w:fill="FFFFFF"/>
        <w:spacing w:after="0" w:line="240" w:lineRule="auto"/>
        <w:jc w:val="both"/>
        <w:rPr>
          <w:rFonts w:ascii="Arial" w:hAnsi="Arial" w:cs="Arial"/>
        </w:rPr>
      </w:pPr>
      <w:r w:rsidRPr="00F75601">
        <w:rPr>
          <w:rFonts w:ascii="Arial" w:hAnsi="Arial" w:cs="Arial"/>
        </w:rPr>
        <w:t>El saldo por ejecutar de la reserva presupuestal por la suma de $85.492 millones, corresponde obligaciones pendientes de trámite de convenios suscritos por la Dirección de Hidrocarburos, Fondo Especial Cuota de Fomento, de la Dirección de Energía convenios de los fondos Apoyo a la Electrificación Rural en Zonas Interconectadas en el Territorio Nacional – FAER, Apoyo para la Construcción de Proyectos de Infraestructura Eléctrica en las Zonas no Interconectadas en el Territorio Nacional – FAZNI,  Normalización del Servicio de Energía Eléctrica en Barrios Subnormales de los Municipios del Sistema Interconectado Nacional – PRONE,  Fondo de Energías no Convencionales y Gestión Eficiente de la Energía – FENOGE, entre otros.</w:t>
      </w:r>
    </w:p>
    <w:p w14:paraId="10289344" w14:textId="511CFC90" w:rsidR="00BC1C03" w:rsidRDefault="00BC1C03" w:rsidP="00BC1C03">
      <w:pPr>
        <w:pStyle w:val="Prrafodelista"/>
        <w:keepNext/>
        <w:keepLines/>
        <w:numPr>
          <w:ilvl w:val="2"/>
          <w:numId w:val="6"/>
        </w:numPr>
        <w:spacing w:before="200" w:after="0"/>
        <w:outlineLvl w:val="1"/>
        <w:rPr>
          <w:rFonts w:eastAsia="Calibri" w:cs="Arial"/>
          <w:b/>
          <w:bCs/>
        </w:rPr>
      </w:pPr>
      <w:bookmarkStart w:id="56" w:name="_Toc525652020"/>
      <w:r w:rsidRPr="00F75601">
        <w:rPr>
          <w:rFonts w:eastAsia="Calibri" w:cs="Arial"/>
          <w:b/>
          <w:bCs/>
        </w:rPr>
        <w:lastRenderedPageBreak/>
        <w:t>Ejecución reservas presupuestales en Inversión por proyecto</w:t>
      </w:r>
      <w:bookmarkEnd w:id="56"/>
    </w:p>
    <w:p w14:paraId="6C212E26" w14:textId="77777777" w:rsidR="00BC1C03" w:rsidRPr="00BC1C03" w:rsidRDefault="00BC1C03" w:rsidP="00BC1C03">
      <w:pPr>
        <w:shd w:val="clear" w:color="auto" w:fill="FFFFFF"/>
        <w:spacing w:after="0" w:line="240" w:lineRule="auto"/>
        <w:jc w:val="both"/>
        <w:rPr>
          <w:rFonts w:ascii="Arial" w:hAnsi="Arial" w:cs="Arial"/>
        </w:rPr>
      </w:pPr>
    </w:p>
    <w:p w14:paraId="69D2F125" w14:textId="77777777" w:rsidR="00BC1C03" w:rsidRDefault="00BC1C03" w:rsidP="00BC1C03">
      <w:pPr>
        <w:shd w:val="clear" w:color="auto" w:fill="FFFFFF"/>
        <w:spacing w:after="0" w:line="240" w:lineRule="auto"/>
        <w:jc w:val="both"/>
        <w:rPr>
          <w:rFonts w:ascii="Arial" w:hAnsi="Arial" w:cs="Arial"/>
        </w:rPr>
      </w:pPr>
      <w:r w:rsidRPr="00BC1C03">
        <w:rPr>
          <w:rFonts w:ascii="Arial" w:hAnsi="Arial" w:cs="Arial"/>
        </w:rPr>
        <w:t>Como se reflejó en los cuadros anteriores, las reservas presupuestales por concepto de inversión corresponden a $184.756 millones de pesos; por ende, a continuación, se relaciona las reservas de las áreas misionales del Ministerio de Minas y Energía con sus respectivos proyectos de inversión:</w:t>
      </w:r>
    </w:p>
    <w:p w14:paraId="77F3A443" w14:textId="77777777" w:rsidR="008B4625" w:rsidRDefault="008B4625" w:rsidP="00BC1C03">
      <w:pPr>
        <w:shd w:val="clear" w:color="auto" w:fill="FFFFFF"/>
        <w:spacing w:after="0" w:line="240" w:lineRule="auto"/>
        <w:jc w:val="both"/>
        <w:rPr>
          <w:rFonts w:ascii="Arial" w:hAnsi="Arial" w:cs="Arial"/>
        </w:rPr>
      </w:pPr>
    </w:p>
    <w:p w14:paraId="2C1C0DE6" w14:textId="77777777" w:rsidR="00C02282" w:rsidRPr="008B4625" w:rsidRDefault="00C02282" w:rsidP="007B6220">
      <w:pPr>
        <w:numPr>
          <w:ilvl w:val="0"/>
          <w:numId w:val="25"/>
        </w:numPr>
        <w:spacing w:after="0" w:line="240" w:lineRule="auto"/>
        <w:ind w:left="426"/>
        <w:jc w:val="both"/>
        <w:rPr>
          <w:rFonts w:ascii="Arial" w:eastAsia="Times New Roman" w:hAnsi="Arial" w:cs="Arial"/>
          <w:szCs w:val="16"/>
          <w:lang w:val="es-ES" w:eastAsia="es-ES"/>
        </w:rPr>
      </w:pPr>
      <w:r w:rsidRPr="008B4625">
        <w:rPr>
          <w:rFonts w:ascii="Arial" w:eastAsia="Times New Roman" w:hAnsi="Arial" w:cs="Arial"/>
          <w:b/>
          <w:szCs w:val="16"/>
          <w:u w:val="single"/>
          <w:lang w:val="es-ES" w:eastAsia="es-ES"/>
        </w:rPr>
        <w:t>Oficina de Asuntos Ambientales y Sociales</w:t>
      </w:r>
    </w:p>
    <w:p w14:paraId="06E41090" w14:textId="77777777" w:rsidR="00C02282" w:rsidRPr="008B4625" w:rsidRDefault="00C02282" w:rsidP="00C02282">
      <w:pPr>
        <w:spacing w:after="0" w:line="240" w:lineRule="auto"/>
        <w:ind w:left="7788"/>
        <w:jc w:val="both"/>
        <w:rPr>
          <w:rFonts w:ascii="Arial" w:eastAsia="Times New Roman" w:hAnsi="Arial" w:cs="Arial"/>
          <w:szCs w:val="16"/>
          <w:lang w:val="es-ES" w:eastAsia="es-ES"/>
        </w:rPr>
      </w:pPr>
    </w:p>
    <w:p w14:paraId="765C2460" w14:textId="3268953D" w:rsidR="00C02282" w:rsidRDefault="00C02282" w:rsidP="00C02282">
      <w:pPr>
        <w:pStyle w:val="Descripcin"/>
        <w:keepNext/>
        <w:jc w:val="center"/>
      </w:pPr>
      <w:bookmarkStart w:id="57" w:name="_Toc525652474"/>
      <w:r w:rsidRPr="008B4625">
        <w:t xml:space="preserve">Tabla </w:t>
      </w:r>
      <w:r w:rsidRPr="008B4625">
        <w:fldChar w:fldCharType="begin"/>
      </w:r>
      <w:r w:rsidRPr="008B4625">
        <w:instrText xml:space="preserve"> SEQ Tabla \* ARABIC </w:instrText>
      </w:r>
      <w:r w:rsidRPr="008B4625">
        <w:fldChar w:fldCharType="separate"/>
      </w:r>
      <w:r w:rsidR="008B4625">
        <w:rPr>
          <w:noProof/>
        </w:rPr>
        <w:t>28</w:t>
      </w:r>
      <w:r w:rsidRPr="008B4625">
        <w:fldChar w:fldCharType="end"/>
      </w:r>
      <w:r w:rsidRPr="008B4625">
        <w:t xml:space="preserve"> Ejecución Reservas Presupuestales Oficina de Asuntos Ambientales y Sociales MME</w:t>
      </w:r>
      <w:bookmarkEnd w:id="57"/>
    </w:p>
    <w:p w14:paraId="71320239" w14:textId="3017C51A" w:rsidR="0002281B" w:rsidRDefault="0002281B" w:rsidP="0002281B">
      <w:pPr>
        <w:rPr>
          <w:lang w:val="es-ES" w:eastAsia="es-ES"/>
        </w:rPr>
      </w:pPr>
    </w:p>
    <w:p w14:paraId="1AF14473" w14:textId="696009D5" w:rsidR="0002281B" w:rsidRPr="0002281B" w:rsidRDefault="0002281B" w:rsidP="0002281B">
      <w:pPr>
        <w:rPr>
          <w:lang w:val="es-ES" w:eastAsia="es-ES"/>
        </w:rPr>
      </w:pPr>
      <w:r>
        <w:rPr>
          <w:noProof/>
          <w:lang w:eastAsia="es-CO"/>
        </w:rPr>
        <w:drawing>
          <wp:inline distT="0" distB="0" distL="0" distR="0" wp14:anchorId="246622F2" wp14:editId="1417AE0F">
            <wp:extent cx="5971540" cy="180657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1540" cy="1806575"/>
                    </a:xfrm>
                    <a:prstGeom prst="rect">
                      <a:avLst/>
                    </a:prstGeom>
                  </pic:spPr>
                </pic:pic>
              </a:graphicData>
            </a:graphic>
          </wp:inline>
        </w:drawing>
      </w:r>
    </w:p>
    <w:p w14:paraId="49210F70" w14:textId="77777777" w:rsidR="008B4625" w:rsidRPr="00BC1C03" w:rsidRDefault="008B4625" w:rsidP="008B4625">
      <w:pPr>
        <w:spacing w:after="0" w:line="240" w:lineRule="auto"/>
        <w:jc w:val="center"/>
        <w:rPr>
          <w:rFonts w:ascii="Arial" w:eastAsia="Times New Roman" w:hAnsi="Arial" w:cs="Arial"/>
          <w:noProof/>
          <w:color w:val="002060"/>
          <w:sz w:val="18"/>
          <w:szCs w:val="18"/>
          <w:lang w:eastAsia="es-CO"/>
        </w:rPr>
      </w:pPr>
      <w:r w:rsidRPr="00BC1C03">
        <w:rPr>
          <w:rFonts w:ascii="Arial" w:eastAsia="Times New Roman" w:hAnsi="Arial" w:cs="Arial"/>
          <w:noProof/>
          <w:sz w:val="18"/>
          <w:szCs w:val="18"/>
          <w:lang w:eastAsia="es-CO"/>
        </w:rPr>
        <w:t>Cifras en millones de pesos</w:t>
      </w:r>
    </w:p>
    <w:p w14:paraId="145A269D" w14:textId="77777777" w:rsidR="008B4625" w:rsidRPr="00BC1C03" w:rsidRDefault="008B4625" w:rsidP="008B4625">
      <w:pPr>
        <w:spacing w:after="0" w:line="240" w:lineRule="auto"/>
        <w:jc w:val="center"/>
        <w:rPr>
          <w:rFonts w:ascii="Arial" w:eastAsia="Calibri" w:hAnsi="Arial" w:cs="Arial"/>
        </w:rPr>
      </w:pPr>
      <w:r w:rsidRPr="00BC1C03">
        <w:rPr>
          <w:rFonts w:ascii="Arial" w:eastAsia="Calibri" w:hAnsi="Arial" w:cs="Arial"/>
          <w:sz w:val="16"/>
          <w:szCs w:val="16"/>
        </w:rPr>
        <w:t>Fuente: SIIF Nación</w:t>
      </w:r>
    </w:p>
    <w:p w14:paraId="382E72B3" w14:textId="77777777" w:rsidR="00C02282" w:rsidRPr="006A67B4" w:rsidRDefault="00C02282" w:rsidP="00C02282">
      <w:pPr>
        <w:pStyle w:val="Prrafodelista"/>
        <w:spacing w:after="0" w:line="240" w:lineRule="auto"/>
        <w:ind w:left="360"/>
        <w:jc w:val="center"/>
        <w:rPr>
          <w:rFonts w:eastAsia="Calibri" w:cs="Arial"/>
          <w:sz w:val="16"/>
          <w:szCs w:val="16"/>
          <w:highlight w:val="yellow"/>
        </w:rPr>
      </w:pPr>
    </w:p>
    <w:p w14:paraId="3BE36DF1" w14:textId="21CBE09E" w:rsidR="008B4625" w:rsidRDefault="008B4625" w:rsidP="008B4625">
      <w:pPr>
        <w:spacing w:after="0" w:line="240" w:lineRule="auto"/>
        <w:jc w:val="both"/>
        <w:rPr>
          <w:rFonts w:ascii="Arial" w:eastAsia="Arial" w:hAnsi="Arial" w:cs="Arial"/>
        </w:rPr>
      </w:pPr>
      <w:r w:rsidRPr="00B922C1">
        <w:rPr>
          <w:rFonts w:ascii="Arial" w:eastAsia="Arial" w:hAnsi="Arial" w:cs="Arial"/>
          <w:szCs w:val="16"/>
        </w:rPr>
        <w:t>Como se puede evidenciar en el cuadro anterior la Oficina ha ejecutado en pagos un 97,90% de sus reservas constituidas con corte al cierre del segundo trimestre del año 2018; representado en sus cuatro proyectos.</w:t>
      </w:r>
      <w:r w:rsidRPr="00B922C1">
        <w:rPr>
          <w:rFonts w:ascii="Arial" w:eastAsia="Arial" w:hAnsi="Arial" w:cs="Arial"/>
        </w:rPr>
        <w:t xml:space="preserve"> </w:t>
      </w:r>
    </w:p>
    <w:p w14:paraId="2574BFAD" w14:textId="4892B491" w:rsidR="00E95757" w:rsidRDefault="00E95757" w:rsidP="008B4625">
      <w:pPr>
        <w:spacing w:after="0" w:line="240" w:lineRule="auto"/>
        <w:jc w:val="both"/>
        <w:rPr>
          <w:rFonts w:ascii="Arial" w:eastAsia="Arial" w:hAnsi="Arial" w:cs="Arial"/>
        </w:rPr>
      </w:pPr>
    </w:p>
    <w:p w14:paraId="3F25E8C8" w14:textId="2FAD356D" w:rsidR="00E95757" w:rsidRDefault="00E95757" w:rsidP="008B4625">
      <w:pPr>
        <w:spacing w:after="0" w:line="240" w:lineRule="auto"/>
        <w:jc w:val="both"/>
        <w:rPr>
          <w:rFonts w:ascii="Arial" w:eastAsia="Arial" w:hAnsi="Arial" w:cs="Arial"/>
        </w:rPr>
      </w:pPr>
    </w:p>
    <w:p w14:paraId="22E757DD" w14:textId="3E40F193" w:rsidR="00E95757" w:rsidRDefault="00E95757" w:rsidP="008B4625">
      <w:pPr>
        <w:spacing w:after="0" w:line="240" w:lineRule="auto"/>
        <w:jc w:val="both"/>
        <w:rPr>
          <w:rFonts w:ascii="Arial" w:eastAsia="Arial" w:hAnsi="Arial" w:cs="Arial"/>
        </w:rPr>
      </w:pPr>
    </w:p>
    <w:p w14:paraId="5C805BA8" w14:textId="5EB8924A" w:rsidR="00E95757" w:rsidRDefault="00E95757" w:rsidP="008B4625">
      <w:pPr>
        <w:spacing w:after="0" w:line="240" w:lineRule="auto"/>
        <w:jc w:val="both"/>
        <w:rPr>
          <w:rFonts w:ascii="Arial" w:eastAsia="Arial" w:hAnsi="Arial" w:cs="Arial"/>
        </w:rPr>
      </w:pPr>
    </w:p>
    <w:p w14:paraId="69D0F9E5" w14:textId="20EF5E11" w:rsidR="00E95757" w:rsidRDefault="00E95757" w:rsidP="008B4625">
      <w:pPr>
        <w:spacing w:after="0" w:line="240" w:lineRule="auto"/>
        <w:jc w:val="both"/>
        <w:rPr>
          <w:rFonts w:ascii="Arial" w:eastAsia="Arial" w:hAnsi="Arial" w:cs="Arial"/>
        </w:rPr>
      </w:pPr>
    </w:p>
    <w:p w14:paraId="19F8886C" w14:textId="6ED0AEFA" w:rsidR="00E95757" w:rsidRDefault="00E95757" w:rsidP="008B4625">
      <w:pPr>
        <w:spacing w:after="0" w:line="240" w:lineRule="auto"/>
        <w:jc w:val="both"/>
        <w:rPr>
          <w:rFonts w:ascii="Arial" w:eastAsia="Arial" w:hAnsi="Arial" w:cs="Arial"/>
        </w:rPr>
      </w:pPr>
    </w:p>
    <w:p w14:paraId="56D5AE12" w14:textId="5CABD440" w:rsidR="00E95757" w:rsidRDefault="00E95757" w:rsidP="008B4625">
      <w:pPr>
        <w:spacing w:after="0" w:line="240" w:lineRule="auto"/>
        <w:jc w:val="both"/>
        <w:rPr>
          <w:rFonts w:ascii="Arial" w:eastAsia="Arial" w:hAnsi="Arial" w:cs="Arial"/>
        </w:rPr>
      </w:pPr>
    </w:p>
    <w:p w14:paraId="46FA7B4F" w14:textId="3C57F0A4" w:rsidR="00E95757" w:rsidRDefault="00E95757" w:rsidP="008B4625">
      <w:pPr>
        <w:spacing w:after="0" w:line="240" w:lineRule="auto"/>
        <w:jc w:val="both"/>
        <w:rPr>
          <w:rFonts w:ascii="Arial" w:eastAsia="Arial" w:hAnsi="Arial" w:cs="Arial"/>
        </w:rPr>
      </w:pPr>
    </w:p>
    <w:p w14:paraId="14B79CF8" w14:textId="6CF772F0" w:rsidR="00E95757" w:rsidRDefault="00E95757" w:rsidP="008B4625">
      <w:pPr>
        <w:spacing w:after="0" w:line="240" w:lineRule="auto"/>
        <w:jc w:val="both"/>
        <w:rPr>
          <w:rFonts w:ascii="Arial" w:eastAsia="Arial" w:hAnsi="Arial" w:cs="Arial"/>
        </w:rPr>
      </w:pPr>
    </w:p>
    <w:p w14:paraId="6C01613D" w14:textId="5056632D" w:rsidR="00E95757" w:rsidRDefault="00E95757" w:rsidP="008B4625">
      <w:pPr>
        <w:spacing w:after="0" w:line="240" w:lineRule="auto"/>
        <w:jc w:val="both"/>
        <w:rPr>
          <w:rFonts w:ascii="Arial" w:eastAsia="Arial" w:hAnsi="Arial" w:cs="Arial"/>
        </w:rPr>
      </w:pPr>
    </w:p>
    <w:p w14:paraId="1D27A704" w14:textId="5A96C5FB" w:rsidR="00E95757" w:rsidRDefault="00E95757" w:rsidP="008B4625">
      <w:pPr>
        <w:spacing w:after="0" w:line="240" w:lineRule="auto"/>
        <w:jc w:val="both"/>
        <w:rPr>
          <w:rFonts w:ascii="Arial" w:eastAsia="Arial" w:hAnsi="Arial" w:cs="Arial"/>
        </w:rPr>
      </w:pPr>
    </w:p>
    <w:p w14:paraId="653604A6" w14:textId="50EFF1D5" w:rsidR="00E95757" w:rsidRDefault="00E95757" w:rsidP="008B4625">
      <w:pPr>
        <w:spacing w:after="0" w:line="240" w:lineRule="auto"/>
        <w:jc w:val="both"/>
        <w:rPr>
          <w:rFonts w:ascii="Arial" w:eastAsia="Arial" w:hAnsi="Arial" w:cs="Arial"/>
        </w:rPr>
      </w:pPr>
    </w:p>
    <w:p w14:paraId="201D4602" w14:textId="124C3E59" w:rsidR="00E95757" w:rsidRDefault="00E95757" w:rsidP="008B4625">
      <w:pPr>
        <w:spacing w:after="0" w:line="240" w:lineRule="auto"/>
        <w:jc w:val="both"/>
        <w:rPr>
          <w:rFonts w:ascii="Arial" w:eastAsia="Arial" w:hAnsi="Arial" w:cs="Arial"/>
        </w:rPr>
      </w:pPr>
    </w:p>
    <w:p w14:paraId="1200A012" w14:textId="22B6C8CF" w:rsidR="00E95757" w:rsidRDefault="00E95757" w:rsidP="008B4625">
      <w:pPr>
        <w:spacing w:after="0" w:line="240" w:lineRule="auto"/>
        <w:jc w:val="both"/>
        <w:rPr>
          <w:rFonts w:ascii="Arial" w:eastAsia="Arial" w:hAnsi="Arial" w:cs="Arial"/>
        </w:rPr>
      </w:pPr>
    </w:p>
    <w:p w14:paraId="594268EA" w14:textId="77777777" w:rsidR="00E95757" w:rsidRDefault="00E95757" w:rsidP="008B4625">
      <w:pPr>
        <w:spacing w:after="0" w:line="240" w:lineRule="auto"/>
        <w:jc w:val="both"/>
        <w:rPr>
          <w:rFonts w:ascii="Arial" w:eastAsia="Arial" w:hAnsi="Arial" w:cs="Arial"/>
        </w:rPr>
      </w:pPr>
    </w:p>
    <w:p w14:paraId="73FD4BDF" w14:textId="77777777" w:rsidR="0002281B" w:rsidRPr="008B4625" w:rsidRDefault="0002281B" w:rsidP="0002281B">
      <w:pPr>
        <w:numPr>
          <w:ilvl w:val="0"/>
          <w:numId w:val="25"/>
        </w:numPr>
        <w:spacing w:after="0" w:line="240" w:lineRule="auto"/>
        <w:jc w:val="both"/>
        <w:rPr>
          <w:rFonts w:ascii="Arial" w:eastAsia="Times New Roman" w:hAnsi="Arial" w:cs="Arial"/>
          <w:lang w:val="es-ES" w:eastAsia="es-ES"/>
        </w:rPr>
      </w:pPr>
      <w:r w:rsidRPr="008B4625">
        <w:rPr>
          <w:rFonts w:ascii="Arial" w:eastAsia="Times New Roman" w:hAnsi="Arial" w:cs="Arial"/>
          <w:b/>
          <w:u w:val="single"/>
          <w:lang w:val="es-ES" w:eastAsia="es-ES"/>
        </w:rPr>
        <w:lastRenderedPageBreak/>
        <w:t>Dirección de Energía Eléctrica</w:t>
      </w:r>
    </w:p>
    <w:p w14:paraId="5754AFD5" w14:textId="77777777" w:rsidR="0002281B" w:rsidRPr="008B4625" w:rsidRDefault="0002281B" w:rsidP="0002281B">
      <w:pPr>
        <w:spacing w:after="0" w:line="240" w:lineRule="auto"/>
        <w:jc w:val="both"/>
        <w:rPr>
          <w:rFonts w:ascii="Arial" w:eastAsia="Arial" w:hAnsi="Arial" w:cs="Arial"/>
          <w:color w:val="FF0000"/>
          <w:szCs w:val="16"/>
        </w:rPr>
      </w:pPr>
    </w:p>
    <w:p w14:paraId="66EA681A" w14:textId="77777777" w:rsidR="0002281B" w:rsidRPr="008B4625" w:rsidRDefault="0002281B" w:rsidP="0002281B">
      <w:pPr>
        <w:spacing w:after="0" w:line="240" w:lineRule="auto"/>
        <w:ind w:left="7788"/>
        <w:jc w:val="both"/>
        <w:rPr>
          <w:rFonts w:ascii="Arial" w:eastAsia="Times New Roman" w:hAnsi="Arial" w:cs="Arial"/>
          <w:b/>
          <w:sz w:val="20"/>
          <w:szCs w:val="16"/>
          <w:lang w:val="es-ES" w:eastAsia="es-ES"/>
        </w:rPr>
      </w:pPr>
    </w:p>
    <w:p w14:paraId="49A89299" w14:textId="77777777" w:rsidR="0002281B" w:rsidRDefault="0002281B" w:rsidP="0002281B">
      <w:pPr>
        <w:pStyle w:val="Descripcin"/>
        <w:keepNext/>
        <w:jc w:val="center"/>
      </w:pPr>
      <w:bookmarkStart w:id="58" w:name="_Toc525652475"/>
      <w:r w:rsidRPr="008B4625">
        <w:t xml:space="preserve">Tabla </w:t>
      </w:r>
      <w:r w:rsidRPr="008B4625">
        <w:fldChar w:fldCharType="begin"/>
      </w:r>
      <w:r w:rsidRPr="008B4625">
        <w:instrText xml:space="preserve"> SEQ Tabla \* ARABIC </w:instrText>
      </w:r>
      <w:r w:rsidRPr="008B4625">
        <w:fldChar w:fldCharType="separate"/>
      </w:r>
      <w:r>
        <w:rPr>
          <w:noProof/>
        </w:rPr>
        <w:t>29</w:t>
      </w:r>
      <w:r w:rsidRPr="008B4625">
        <w:fldChar w:fldCharType="end"/>
      </w:r>
      <w:r w:rsidRPr="008B4625">
        <w:t xml:space="preserve"> Ejecución de Reservas Presupuestales Dirección de Energía Eléctrica MME</w:t>
      </w:r>
      <w:bookmarkEnd w:id="58"/>
    </w:p>
    <w:tbl>
      <w:tblPr>
        <w:tblpPr w:leftFromText="141" w:rightFromText="141" w:vertAnchor="page" w:horzAnchor="margin" w:tblpY="3316"/>
        <w:tblW w:w="9362" w:type="dxa"/>
        <w:tblLayout w:type="fixed"/>
        <w:tblCellMar>
          <w:left w:w="70" w:type="dxa"/>
          <w:right w:w="70" w:type="dxa"/>
        </w:tblCellMar>
        <w:tblLook w:val="04A0" w:firstRow="1" w:lastRow="0" w:firstColumn="1" w:lastColumn="0" w:noHBand="0" w:noVBand="1"/>
      </w:tblPr>
      <w:tblGrid>
        <w:gridCol w:w="3251"/>
        <w:gridCol w:w="960"/>
        <w:gridCol w:w="174"/>
        <w:gridCol w:w="1063"/>
        <w:gridCol w:w="1417"/>
        <w:gridCol w:w="1080"/>
        <w:gridCol w:w="1417"/>
      </w:tblGrid>
      <w:tr w:rsidR="00E95757" w:rsidRPr="008B4625" w14:paraId="7C2FAE9D" w14:textId="77777777" w:rsidTr="001A3F28">
        <w:trPr>
          <w:trHeight w:val="540"/>
        </w:trPr>
        <w:tc>
          <w:tcPr>
            <w:tcW w:w="3251"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62D5A528" w14:textId="77777777" w:rsidR="00E95757" w:rsidRPr="008B4625" w:rsidRDefault="00E95757" w:rsidP="001A3F28">
            <w:pPr>
              <w:spacing w:after="0" w:line="240" w:lineRule="auto"/>
              <w:jc w:val="center"/>
              <w:rPr>
                <w:rFonts w:ascii="Arial" w:eastAsia="Times New Roman" w:hAnsi="Arial" w:cs="Arial"/>
                <w:b/>
                <w:bCs/>
                <w:color w:val="FFFFFF"/>
                <w:sz w:val="20"/>
                <w:szCs w:val="20"/>
                <w:lang w:eastAsia="es-CO"/>
              </w:rPr>
            </w:pPr>
            <w:r w:rsidRPr="008B4625">
              <w:rPr>
                <w:rFonts w:ascii="Arial" w:eastAsia="Times New Roman" w:hAnsi="Arial" w:cs="Arial"/>
                <w:b/>
                <w:bCs/>
                <w:color w:val="FFFFFF"/>
                <w:sz w:val="20"/>
                <w:szCs w:val="20"/>
                <w:lang w:eastAsia="es-CO"/>
              </w:rPr>
              <w:t>Proyecto</w:t>
            </w:r>
          </w:p>
        </w:tc>
        <w:tc>
          <w:tcPr>
            <w:tcW w:w="1134" w:type="dxa"/>
            <w:gridSpan w:val="2"/>
            <w:tcBorders>
              <w:top w:val="single" w:sz="8" w:space="0" w:color="auto"/>
              <w:left w:val="single" w:sz="8" w:space="0" w:color="auto"/>
              <w:bottom w:val="single" w:sz="8" w:space="0" w:color="auto"/>
              <w:right w:val="single" w:sz="4" w:space="0" w:color="auto"/>
            </w:tcBorders>
            <w:shd w:val="clear" w:color="000000" w:fill="16365C"/>
            <w:vAlign w:val="center"/>
            <w:hideMark/>
          </w:tcPr>
          <w:p w14:paraId="392DCB3F" w14:textId="77777777" w:rsidR="00E95757" w:rsidRPr="008B4625" w:rsidRDefault="00E95757" w:rsidP="001A3F28">
            <w:pPr>
              <w:spacing w:after="0" w:line="240" w:lineRule="auto"/>
              <w:jc w:val="center"/>
              <w:rPr>
                <w:rFonts w:ascii="Arial" w:eastAsia="Times New Roman" w:hAnsi="Arial" w:cs="Arial"/>
                <w:b/>
                <w:bCs/>
                <w:color w:val="FFFFFF"/>
                <w:sz w:val="20"/>
                <w:szCs w:val="20"/>
                <w:lang w:eastAsia="es-CO"/>
              </w:rPr>
            </w:pPr>
            <w:r w:rsidRPr="008B4625">
              <w:rPr>
                <w:rFonts w:ascii="Arial" w:eastAsia="Times New Roman" w:hAnsi="Arial" w:cs="Arial"/>
                <w:b/>
                <w:bCs/>
                <w:color w:val="FFFFFF"/>
                <w:sz w:val="20"/>
                <w:szCs w:val="20"/>
                <w:lang w:eastAsia="es-CO"/>
              </w:rPr>
              <w:t>Reservas</w:t>
            </w:r>
          </w:p>
        </w:tc>
        <w:tc>
          <w:tcPr>
            <w:tcW w:w="1063"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2CDAEFF4" w14:textId="77777777" w:rsidR="00E95757" w:rsidRPr="008B4625" w:rsidRDefault="00E95757" w:rsidP="001A3F28">
            <w:pPr>
              <w:spacing w:after="0" w:line="240" w:lineRule="auto"/>
              <w:jc w:val="center"/>
              <w:rPr>
                <w:rFonts w:ascii="Arial" w:eastAsia="Times New Roman" w:hAnsi="Arial" w:cs="Arial"/>
                <w:b/>
                <w:bCs/>
                <w:color w:val="FFFFFF"/>
                <w:sz w:val="20"/>
                <w:szCs w:val="20"/>
                <w:lang w:eastAsia="es-CO"/>
              </w:rPr>
            </w:pPr>
            <w:r w:rsidRPr="008B4625">
              <w:rPr>
                <w:rFonts w:ascii="Arial" w:eastAsia="Times New Roman" w:hAnsi="Arial" w:cs="Arial"/>
                <w:b/>
                <w:bCs/>
                <w:color w:val="FFFFFF"/>
                <w:sz w:val="20"/>
                <w:szCs w:val="20"/>
                <w:lang w:eastAsia="es-CO"/>
              </w:rPr>
              <w:t xml:space="preserve">Obligado </w:t>
            </w:r>
          </w:p>
        </w:tc>
        <w:tc>
          <w:tcPr>
            <w:tcW w:w="1417"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663422BA" w14:textId="77777777" w:rsidR="00E95757" w:rsidRPr="008B4625" w:rsidRDefault="00E95757" w:rsidP="001A3F28">
            <w:pPr>
              <w:spacing w:after="0" w:line="240" w:lineRule="auto"/>
              <w:jc w:val="center"/>
              <w:rPr>
                <w:rFonts w:ascii="Arial" w:eastAsia="Times New Roman" w:hAnsi="Arial" w:cs="Arial"/>
                <w:b/>
                <w:bCs/>
                <w:color w:val="FFFFFF"/>
                <w:sz w:val="20"/>
                <w:szCs w:val="20"/>
                <w:lang w:eastAsia="es-CO"/>
              </w:rPr>
            </w:pPr>
            <w:r w:rsidRPr="008B4625">
              <w:rPr>
                <w:rFonts w:ascii="Arial" w:eastAsia="Times New Roman" w:hAnsi="Arial" w:cs="Arial"/>
                <w:b/>
                <w:bCs/>
                <w:color w:val="FFFFFF"/>
                <w:sz w:val="20"/>
                <w:szCs w:val="20"/>
                <w:lang w:eastAsia="es-CO"/>
              </w:rPr>
              <w:t xml:space="preserve">% </w:t>
            </w:r>
            <w:proofErr w:type="spellStart"/>
            <w:r w:rsidRPr="008B4625">
              <w:rPr>
                <w:rFonts w:ascii="Arial" w:eastAsia="Times New Roman" w:hAnsi="Arial" w:cs="Arial"/>
                <w:b/>
                <w:bCs/>
                <w:color w:val="FFFFFF"/>
                <w:sz w:val="20"/>
                <w:szCs w:val="20"/>
                <w:lang w:eastAsia="es-CO"/>
              </w:rPr>
              <w:t>Oblig</w:t>
            </w:r>
            <w:proofErr w:type="spellEnd"/>
            <w:r w:rsidRPr="008B4625">
              <w:rPr>
                <w:rFonts w:ascii="Arial" w:eastAsia="Times New Roman" w:hAnsi="Arial" w:cs="Arial"/>
                <w:b/>
                <w:bCs/>
                <w:color w:val="FFFFFF"/>
                <w:sz w:val="20"/>
                <w:szCs w:val="20"/>
                <w:lang w:eastAsia="es-CO"/>
              </w:rPr>
              <w:t>.        /Reservas</w:t>
            </w:r>
          </w:p>
        </w:tc>
        <w:tc>
          <w:tcPr>
            <w:tcW w:w="1080"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9253786" w14:textId="77777777" w:rsidR="00E95757" w:rsidRPr="008B4625" w:rsidRDefault="00E95757" w:rsidP="001A3F28">
            <w:pPr>
              <w:spacing w:after="0" w:line="240" w:lineRule="auto"/>
              <w:jc w:val="center"/>
              <w:rPr>
                <w:rFonts w:ascii="Arial" w:eastAsia="Times New Roman" w:hAnsi="Arial" w:cs="Arial"/>
                <w:b/>
                <w:bCs/>
                <w:color w:val="FFFFFF"/>
                <w:sz w:val="20"/>
                <w:szCs w:val="20"/>
                <w:lang w:eastAsia="es-CO"/>
              </w:rPr>
            </w:pPr>
            <w:r w:rsidRPr="008B4625">
              <w:rPr>
                <w:rFonts w:ascii="Arial" w:eastAsia="Times New Roman" w:hAnsi="Arial" w:cs="Arial"/>
                <w:b/>
                <w:bCs/>
                <w:color w:val="FFFFFF"/>
                <w:sz w:val="20"/>
                <w:szCs w:val="20"/>
                <w:lang w:eastAsia="es-CO"/>
              </w:rPr>
              <w:t>Pagos</w:t>
            </w:r>
          </w:p>
        </w:tc>
        <w:tc>
          <w:tcPr>
            <w:tcW w:w="1417"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23CFF67C" w14:textId="77777777" w:rsidR="00E95757" w:rsidRPr="008B4625" w:rsidRDefault="00E95757" w:rsidP="001A3F28">
            <w:pPr>
              <w:spacing w:after="0" w:line="240" w:lineRule="auto"/>
              <w:jc w:val="center"/>
              <w:rPr>
                <w:rFonts w:ascii="Arial" w:eastAsia="Times New Roman" w:hAnsi="Arial" w:cs="Arial"/>
                <w:b/>
                <w:bCs/>
                <w:color w:val="FFFFFF"/>
                <w:sz w:val="20"/>
                <w:szCs w:val="20"/>
                <w:lang w:eastAsia="es-CO"/>
              </w:rPr>
            </w:pPr>
            <w:r w:rsidRPr="008B4625">
              <w:rPr>
                <w:rFonts w:ascii="Arial" w:eastAsia="Times New Roman" w:hAnsi="Arial" w:cs="Arial"/>
                <w:b/>
                <w:bCs/>
                <w:color w:val="FFFFFF"/>
                <w:sz w:val="20"/>
                <w:szCs w:val="20"/>
                <w:lang w:eastAsia="es-CO"/>
              </w:rPr>
              <w:t>% Pagos        /Reservas</w:t>
            </w:r>
          </w:p>
        </w:tc>
      </w:tr>
      <w:tr w:rsidR="00E95757" w:rsidRPr="008B4625" w14:paraId="32A5A9E8" w14:textId="77777777" w:rsidTr="001A3F28">
        <w:trPr>
          <w:trHeight w:val="735"/>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4C4AA662" w14:textId="77777777" w:rsidR="00E95757" w:rsidRPr="008B4625" w:rsidRDefault="00E95757" w:rsidP="001A3F28">
            <w:pPr>
              <w:spacing w:after="0" w:line="240" w:lineRule="auto"/>
              <w:jc w:val="both"/>
              <w:rPr>
                <w:rFonts w:ascii="Arial" w:eastAsia="Times New Roman" w:hAnsi="Arial" w:cs="Arial"/>
                <w:sz w:val="18"/>
                <w:szCs w:val="18"/>
                <w:lang w:eastAsia="es-CO"/>
              </w:rPr>
            </w:pPr>
            <w:r w:rsidRPr="008B4625">
              <w:rPr>
                <w:rFonts w:ascii="Arial" w:eastAsia="Times New Roman" w:hAnsi="Arial" w:cs="Arial"/>
                <w:sz w:val="18"/>
                <w:szCs w:val="18"/>
                <w:lang w:eastAsia="es-CO"/>
              </w:rPr>
              <w:t>DISTRIBUCION DE RECURSOS PARA PAGOS POR MENORES TARIFAS SECTOR ELECTRICO</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DE66D"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192</w:t>
            </w:r>
          </w:p>
        </w:tc>
        <w:tc>
          <w:tcPr>
            <w:tcW w:w="1063" w:type="dxa"/>
            <w:tcBorders>
              <w:top w:val="nil"/>
              <w:left w:val="nil"/>
              <w:bottom w:val="single" w:sz="4" w:space="0" w:color="auto"/>
              <w:right w:val="single" w:sz="4" w:space="0" w:color="auto"/>
            </w:tcBorders>
            <w:shd w:val="clear" w:color="auto" w:fill="auto"/>
            <w:noWrap/>
            <w:vAlign w:val="center"/>
            <w:hideMark/>
          </w:tcPr>
          <w:p w14:paraId="69DDC1DB"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192</w:t>
            </w:r>
          </w:p>
        </w:tc>
        <w:tc>
          <w:tcPr>
            <w:tcW w:w="1417" w:type="dxa"/>
            <w:tcBorders>
              <w:top w:val="nil"/>
              <w:left w:val="nil"/>
              <w:bottom w:val="single" w:sz="4" w:space="0" w:color="auto"/>
              <w:right w:val="single" w:sz="4" w:space="0" w:color="auto"/>
            </w:tcBorders>
            <w:shd w:val="clear" w:color="auto" w:fill="auto"/>
            <w:noWrap/>
            <w:vAlign w:val="center"/>
            <w:hideMark/>
          </w:tcPr>
          <w:p w14:paraId="7B62DBBA"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100,00%</w:t>
            </w:r>
          </w:p>
        </w:tc>
        <w:tc>
          <w:tcPr>
            <w:tcW w:w="1080" w:type="dxa"/>
            <w:tcBorders>
              <w:top w:val="nil"/>
              <w:left w:val="nil"/>
              <w:bottom w:val="single" w:sz="4" w:space="0" w:color="auto"/>
              <w:right w:val="single" w:sz="4" w:space="0" w:color="auto"/>
            </w:tcBorders>
            <w:shd w:val="clear" w:color="auto" w:fill="auto"/>
            <w:noWrap/>
            <w:vAlign w:val="center"/>
            <w:hideMark/>
          </w:tcPr>
          <w:p w14:paraId="1A94615D"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192</w:t>
            </w:r>
          </w:p>
        </w:tc>
        <w:tc>
          <w:tcPr>
            <w:tcW w:w="1417" w:type="dxa"/>
            <w:tcBorders>
              <w:top w:val="nil"/>
              <w:left w:val="nil"/>
              <w:bottom w:val="single" w:sz="4" w:space="0" w:color="auto"/>
              <w:right w:val="single" w:sz="8" w:space="0" w:color="auto"/>
            </w:tcBorders>
            <w:shd w:val="clear" w:color="auto" w:fill="auto"/>
            <w:noWrap/>
            <w:vAlign w:val="center"/>
            <w:hideMark/>
          </w:tcPr>
          <w:p w14:paraId="4967EAC0"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100,00%</w:t>
            </w:r>
          </w:p>
        </w:tc>
      </w:tr>
      <w:tr w:rsidR="00E95757" w:rsidRPr="008B4625" w14:paraId="013CD631" w14:textId="77777777" w:rsidTr="001A3F28">
        <w:trPr>
          <w:trHeight w:val="915"/>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874012D" w14:textId="77777777" w:rsidR="00E95757" w:rsidRPr="008B4625" w:rsidRDefault="00E95757" w:rsidP="001A3F28">
            <w:pPr>
              <w:spacing w:after="0" w:line="240" w:lineRule="auto"/>
              <w:jc w:val="both"/>
              <w:rPr>
                <w:rFonts w:ascii="Arial" w:eastAsia="Times New Roman" w:hAnsi="Arial" w:cs="Arial"/>
                <w:sz w:val="18"/>
                <w:szCs w:val="18"/>
                <w:lang w:eastAsia="es-CO"/>
              </w:rPr>
            </w:pPr>
            <w:r w:rsidRPr="008B4625">
              <w:rPr>
                <w:rFonts w:ascii="Arial" w:eastAsia="Times New Roman" w:hAnsi="Arial" w:cs="Arial"/>
                <w:sz w:val="18"/>
                <w:szCs w:val="18"/>
                <w:lang w:eastAsia="es-CO"/>
              </w:rPr>
              <w:t>APOYO PARA CONSTRUCCIÓN DE PROYECTO DE INFRAESTRUCTURA ELÉCTRICA EN  LAS ZONAS NO INTERCONECTADAS EN EL TERRITORIO NACIONAL</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5DD14C"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45.647</w:t>
            </w:r>
          </w:p>
        </w:tc>
        <w:tc>
          <w:tcPr>
            <w:tcW w:w="1063" w:type="dxa"/>
            <w:tcBorders>
              <w:top w:val="nil"/>
              <w:left w:val="nil"/>
              <w:bottom w:val="single" w:sz="4" w:space="0" w:color="auto"/>
              <w:right w:val="single" w:sz="4" w:space="0" w:color="auto"/>
            </w:tcBorders>
            <w:shd w:val="clear" w:color="auto" w:fill="auto"/>
            <w:noWrap/>
            <w:vAlign w:val="center"/>
            <w:hideMark/>
          </w:tcPr>
          <w:p w14:paraId="6B33220E"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16.096</w:t>
            </w:r>
          </w:p>
        </w:tc>
        <w:tc>
          <w:tcPr>
            <w:tcW w:w="1417" w:type="dxa"/>
            <w:tcBorders>
              <w:top w:val="nil"/>
              <w:left w:val="nil"/>
              <w:bottom w:val="single" w:sz="4" w:space="0" w:color="auto"/>
              <w:right w:val="single" w:sz="4" w:space="0" w:color="auto"/>
            </w:tcBorders>
            <w:shd w:val="clear" w:color="auto" w:fill="auto"/>
            <w:noWrap/>
            <w:vAlign w:val="center"/>
            <w:hideMark/>
          </w:tcPr>
          <w:p w14:paraId="23AE5DF0"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35,26%</w:t>
            </w:r>
          </w:p>
        </w:tc>
        <w:tc>
          <w:tcPr>
            <w:tcW w:w="1080" w:type="dxa"/>
            <w:tcBorders>
              <w:top w:val="nil"/>
              <w:left w:val="nil"/>
              <w:bottom w:val="single" w:sz="4" w:space="0" w:color="auto"/>
              <w:right w:val="single" w:sz="4" w:space="0" w:color="auto"/>
            </w:tcBorders>
            <w:shd w:val="clear" w:color="auto" w:fill="auto"/>
            <w:noWrap/>
            <w:vAlign w:val="center"/>
            <w:hideMark/>
          </w:tcPr>
          <w:p w14:paraId="7356748F"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16.096</w:t>
            </w:r>
          </w:p>
        </w:tc>
        <w:tc>
          <w:tcPr>
            <w:tcW w:w="1417" w:type="dxa"/>
            <w:tcBorders>
              <w:top w:val="nil"/>
              <w:left w:val="nil"/>
              <w:bottom w:val="single" w:sz="4" w:space="0" w:color="auto"/>
              <w:right w:val="single" w:sz="8" w:space="0" w:color="auto"/>
            </w:tcBorders>
            <w:shd w:val="clear" w:color="auto" w:fill="auto"/>
            <w:noWrap/>
            <w:vAlign w:val="center"/>
            <w:hideMark/>
          </w:tcPr>
          <w:p w14:paraId="56C290E0"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35,26%</w:t>
            </w:r>
          </w:p>
        </w:tc>
      </w:tr>
      <w:tr w:rsidR="00E95757" w:rsidRPr="008B4625" w14:paraId="6553F97A" w14:textId="77777777" w:rsidTr="001A3F28">
        <w:trPr>
          <w:trHeight w:val="915"/>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15F1D019" w14:textId="77777777" w:rsidR="00E95757" w:rsidRPr="008B4625" w:rsidRDefault="00E95757" w:rsidP="001A3F28">
            <w:pPr>
              <w:spacing w:after="0" w:line="240" w:lineRule="auto"/>
              <w:jc w:val="both"/>
              <w:rPr>
                <w:rFonts w:ascii="Arial" w:eastAsia="Times New Roman" w:hAnsi="Arial" w:cs="Arial"/>
                <w:sz w:val="18"/>
                <w:szCs w:val="18"/>
                <w:lang w:eastAsia="es-CO"/>
              </w:rPr>
            </w:pPr>
            <w:r w:rsidRPr="008B4625">
              <w:rPr>
                <w:rFonts w:ascii="Arial" w:eastAsia="Times New Roman" w:hAnsi="Arial" w:cs="Arial"/>
                <w:sz w:val="18"/>
                <w:szCs w:val="18"/>
                <w:lang w:eastAsia="es-CO"/>
              </w:rPr>
              <w:t>APOYO Y FINACIACIÓN DE PROGRAMAS DE FUENTES NO CONVENCIONALES DE ENERGÍA Y GESTIÓN EFICIENTE DE ENERGÍA A NIVEL NACIONAL</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8C90EB2"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34.000</w:t>
            </w:r>
          </w:p>
        </w:tc>
        <w:tc>
          <w:tcPr>
            <w:tcW w:w="1063" w:type="dxa"/>
            <w:tcBorders>
              <w:top w:val="nil"/>
              <w:left w:val="nil"/>
              <w:bottom w:val="single" w:sz="4" w:space="0" w:color="auto"/>
              <w:right w:val="single" w:sz="4" w:space="0" w:color="auto"/>
            </w:tcBorders>
            <w:shd w:val="clear" w:color="auto" w:fill="auto"/>
            <w:noWrap/>
            <w:vAlign w:val="center"/>
            <w:hideMark/>
          </w:tcPr>
          <w:p w14:paraId="5445B02C"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34.000</w:t>
            </w:r>
          </w:p>
        </w:tc>
        <w:tc>
          <w:tcPr>
            <w:tcW w:w="1417" w:type="dxa"/>
            <w:tcBorders>
              <w:top w:val="nil"/>
              <w:left w:val="nil"/>
              <w:bottom w:val="single" w:sz="4" w:space="0" w:color="auto"/>
              <w:right w:val="single" w:sz="4" w:space="0" w:color="auto"/>
            </w:tcBorders>
            <w:shd w:val="clear" w:color="auto" w:fill="auto"/>
            <w:noWrap/>
            <w:vAlign w:val="center"/>
            <w:hideMark/>
          </w:tcPr>
          <w:p w14:paraId="108460A1"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100,00%</w:t>
            </w:r>
          </w:p>
        </w:tc>
        <w:tc>
          <w:tcPr>
            <w:tcW w:w="1080" w:type="dxa"/>
            <w:tcBorders>
              <w:top w:val="nil"/>
              <w:left w:val="nil"/>
              <w:bottom w:val="single" w:sz="4" w:space="0" w:color="auto"/>
              <w:right w:val="single" w:sz="4" w:space="0" w:color="auto"/>
            </w:tcBorders>
            <w:shd w:val="clear" w:color="auto" w:fill="auto"/>
            <w:noWrap/>
            <w:vAlign w:val="center"/>
            <w:hideMark/>
          </w:tcPr>
          <w:p w14:paraId="417BAF65"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34.000</w:t>
            </w:r>
          </w:p>
        </w:tc>
        <w:tc>
          <w:tcPr>
            <w:tcW w:w="1417" w:type="dxa"/>
            <w:tcBorders>
              <w:top w:val="nil"/>
              <w:left w:val="nil"/>
              <w:bottom w:val="single" w:sz="4" w:space="0" w:color="auto"/>
              <w:right w:val="single" w:sz="8" w:space="0" w:color="auto"/>
            </w:tcBorders>
            <w:shd w:val="clear" w:color="auto" w:fill="auto"/>
            <w:noWrap/>
            <w:vAlign w:val="center"/>
            <w:hideMark/>
          </w:tcPr>
          <w:p w14:paraId="4104844B"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100,00%</w:t>
            </w:r>
          </w:p>
        </w:tc>
      </w:tr>
      <w:tr w:rsidR="00E95757" w:rsidRPr="008B4625" w14:paraId="42DD2348" w14:textId="77777777" w:rsidTr="001A3F28">
        <w:trPr>
          <w:trHeight w:val="93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61969B0E" w14:textId="77777777" w:rsidR="00E95757" w:rsidRPr="008B4625" w:rsidRDefault="00E95757" w:rsidP="001A3F28">
            <w:pPr>
              <w:spacing w:after="0" w:line="240" w:lineRule="auto"/>
              <w:jc w:val="both"/>
              <w:rPr>
                <w:rFonts w:ascii="Arial" w:eastAsia="Times New Roman" w:hAnsi="Arial" w:cs="Arial"/>
                <w:sz w:val="18"/>
                <w:szCs w:val="18"/>
                <w:lang w:eastAsia="es-CO"/>
              </w:rPr>
            </w:pPr>
            <w:r w:rsidRPr="008B4625">
              <w:rPr>
                <w:rFonts w:ascii="Arial" w:eastAsia="Times New Roman" w:hAnsi="Arial" w:cs="Arial"/>
                <w:sz w:val="18"/>
                <w:szCs w:val="18"/>
                <w:lang w:eastAsia="es-CO"/>
              </w:rPr>
              <w:t>APOYO ELECTRIFICACIÓN RURAL EN ZONAS INTERCONECTADAS EN EL TERRITORIO NACIONAL</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9C74AD7"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62.752</w:t>
            </w:r>
          </w:p>
        </w:tc>
        <w:tc>
          <w:tcPr>
            <w:tcW w:w="1063" w:type="dxa"/>
            <w:tcBorders>
              <w:top w:val="nil"/>
              <w:left w:val="nil"/>
              <w:bottom w:val="single" w:sz="4" w:space="0" w:color="auto"/>
              <w:right w:val="single" w:sz="4" w:space="0" w:color="auto"/>
            </w:tcBorders>
            <w:shd w:val="clear" w:color="auto" w:fill="auto"/>
            <w:noWrap/>
            <w:vAlign w:val="center"/>
            <w:hideMark/>
          </w:tcPr>
          <w:p w14:paraId="1D8F0362"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30.292</w:t>
            </w:r>
          </w:p>
        </w:tc>
        <w:tc>
          <w:tcPr>
            <w:tcW w:w="1417" w:type="dxa"/>
            <w:tcBorders>
              <w:top w:val="nil"/>
              <w:left w:val="nil"/>
              <w:bottom w:val="single" w:sz="4" w:space="0" w:color="auto"/>
              <w:right w:val="single" w:sz="4" w:space="0" w:color="auto"/>
            </w:tcBorders>
            <w:shd w:val="clear" w:color="auto" w:fill="auto"/>
            <w:noWrap/>
            <w:vAlign w:val="center"/>
            <w:hideMark/>
          </w:tcPr>
          <w:p w14:paraId="128181F3"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48,27%</w:t>
            </w:r>
          </w:p>
        </w:tc>
        <w:tc>
          <w:tcPr>
            <w:tcW w:w="1080" w:type="dxa"/>
            <w:tcBorders>
              <w:top w:val="nil"/>
              <w:left w:val="nil"/>
              <w:bottom w:val="single" w:sz="4" w:space="0" w:color="auto"/>
              <w:right w:val="single" w:sz="4" w:space="0" w:color="auto"/>
            </w:tcBorders>
            <w:shd w:val="clear" w:color="auto" w:fill="auto"/>
            <w:noWrap/>
            <w:vAlign w:val="center"/>
            <w:hideMark/>
          </w:tcPr>
          <w:p w14:paraId="0D62F55D"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28.895</w:t>
            </w:r>
          </w:p>
        </w:tc>
        <w:tc>
          <w:tcPr>
            <w:tcW w:w="1417" w:type="dxa"/>
            <w:tcBorders>
              <w:top w:val="nil"/>
              <w:left w:val="nil"/>
              <w:bottom w:val="single" w:sz="4" w:space="0" w:color="auto"/>
              <w:right w:val="single" w:sz="8" w:space="0" w:color="auto"/>
            </w:tcBorders>
            <w:shd w:val="clear" w:color="auto" w:fill="auto"/>
            <w:noWrap/>
            <w:vAlign w:val="center"/>
            <w:hideMark/>
          </w:tcPr>
          <w:p w14:paraId="286B9919"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46,05%</w:t>
            </w:r>
          </w:p>
        </w:tc>
      </w:tr>
      <w:tr w:rsidR="00E95757" w:rsidRPr="008B4625" w14:paraId="368EDAAF" w14:textId="77777777" w:rsidTr="001A3F28">
        <w:trPr>
          <w:trHeight w:val="900"/>
        </w:trPr>
        <w:tc>
          <w:tcPr>
            <w:tcW w:w="3251" w:type="dxa"/>
            <w:tcBorders>
              <w:top w:val="nil"/>
              <w:left w:val="single" w:sz="8" w:space="0" w:color="auto"/>
              <w:bottom w:val="single" w:sz="4" w:space="0" w:color="auto"/>
              <w:right w:val="single" w:sz="8" w:space="0" w:color="auto"/>
            </w:tcBorders>
            <w:shd w:val="clear" w:color="000000" w:fill="FFFFFF"/>
            <w:noWrap/>
            <w:vAlign w:val="center"/>
            <w:hideMark/>
          </w:tcPr>
          <w:p w14:paraId="389F5AC5" w14:textId="77777777" w:rsidR="00E95757" w:rsidRPr="008B4625" w:rsidRDefault="00E95757" w:rsidP="001A3F28">
            <w:pPr>
              <w:spacing w:after="0" w:line="240" w:lineRule="auto"/>
              <w:jc w:val="both"/>
              <w:rPr>
                <w:rFonts w:ascii="Arial" w:eastAsia="Times New Roman" w:hAnsi="Arial" w:cs="Arial"/>
                <w:sz w:val="18"/>
                <w:szCs w:val="18"/>
                <w:lang w:eastAsia="es-CO"/>
              </w:rPr>
            </w:pPr>
            <w:r w:rsidRPr="008B4625">
              <w:rPr>
                <w:rFonts w:ascii="Arial" w:eastAsia="Times New Roman" w:hAnsi="Arial" w:cs="Arial"/>
                <w:sz w:val="18"/>
                <w:szCs w:val="18"/>
                <w:lang w:eastAsia="es-CO"/>
              </w:rPr>
              <w:t>NORMALIZACIÓN DEL SERVICIO DE ENERGÍA ELÉCTRICA EN BARRIOS SUBNORMALES DE LOS MUNICIPIOS DEL SISTEMA INTERCONECTADO NACIONAL</w:t>
            </w:r>
          </w:p>
        </w:tc>
        <w:tc>
          <w:tcPr>
            <w:tcW w:w="113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46A1AB2"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10.753</w:t>
            </w:r>
          </w:p>
        </w:tc>
        <w:tc>
          <w:tcPr>
            <w:tcW w:w="1063" w:type="dxa"/>
            <w:tcBorders>
              <w:top w:val="nil"/>
              <w:left w:val="nil"/>
              <w:bottom w:val="single" w:sz="4" w:space="0" w:color="auto"/>
              <w:right w:val="single" w:sz="4" w:space="0" w:color="auto"/>
            </w:tcBorders>
            <w:shd w:val="clear" w:color="auto" w:fill="auto"/>
            <w:noWrap/>
            <w:vAlign w:val="center"/>
            <w:hideMark/>
          </w:tcPr>
          <w:p w14:paraId="058F046C"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1.800</w:t>
            </w:r>
          </w:p>
        </w:tc>
        <w:tc>
          <w:tcPr>
            <w:tcW w:w="1417" w:type="dxa"/>
            <w:tcBorders>
              <w:top w:val="nil"/>
              <w:left w:val="nil"/>
              <w:bottom w:val="single" w:sz="4" w:space="0" w:color="auto"/>
              <w:right w:val="single" w:sz="4" w:space="0" w:color="auto"/>
            </w:tcBorders>
            <w:shd w:val="clear" w:color="auto" w:fill="auto"/>
            <w:noWrap/>
            <w:vAlign w:val="center"/>
            <w:hideMark/>
          </w:tcPr>
          <w:p w14:paraId="5AA949F9"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16,74%</w:t>
            </w:r>
          </w:p>
        </w:tc>
        <w:tc>
          <w:tcPr>
            <w:tcW w:w="1080" w:type="dxa"/>
            <w:tcBorders>
              <w:top w:val="nil"/>
              <w:left w:val="nil"/>
              <w:bottom w:val="single" w:sz="4" w:space="0" w:color="auto"/>
              <w:right w:val="single" w:sz="4" w:space="0" w:color="auto"/>
            </w:tcBorders>
            <w:shd w:val="clear" w:color="auto" w:fill="auto"/>
            <w:noWrap/>
            <w:vAlign w:val="center"/>
            <w:hideMark/>
          </w:tcPr>
          <w:p w14:paraId="2B87ABC7"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1.633</w:t>
            </w:r>
          </w:p>
        </w:tc>
        <w:tc>
          <w:tcPr>
            <w:tcW w:w="1417" w:type="dxa"/>
            <w:tcBorders>
              <w:top w:val="nil"/>
              <w:left w:val="nil"/>
              <w:bottom w:val="single" w:sz="4" w:space="0" w:color="auto"/>
              <w:right w:val="single" w:sz="8" w:space="0" w:color="auto"/>
            </w:tcBorders>
            <w:shd w:val="clear" w:color="auto" w:fill="auto"/>
            <w:noWrap/>
            <w:vAlign w:val="center"/>
            <w:hideMark/>
          </w:tcPr>
          <w:p w14:paraId="0ED5AE5D" w14:textId="77777777" w:rsidR="00E95757" w:rsidRPr="008B4625" w:rsidRDefault="00E95757" w:rsidP="001A3F28">
            <w:pPr>
              <w:spacing w:after="0" w:line="240" w:lineRule="auto"/>
              <w:jc w:val="center"/>
              <w:rPr>
                <w:rFonts w:ascii="Arial" w:eastAsia="Times New Roman" w:hAnsi="Arial" w:cs="Arial"/>
                <w:sz w:val="18"/>
                <w:szCs w:val="18"/>
                <w:lang w:eastAsia="es-CO"/>
              </w:rPr>
            </w:pPr>
            <w:r w:rsidRPr="008B4625">
              <w:rPr>
                <w:rFonts w:ascii="Arial" w:eastAsia="Times New Roman" w:hAnsi="Arial" w:cs="Arial"/>
                <w:sz w:val="18"/>
                <w:szCs w:val="18"/>
                <w:lang w:eastAsia="es-CO"/>
              </w:rPr>
              <w:t>15,19%</w:t>
            </w:r>
          </w:p>
        </w:tc>
      </w:tr>
      <w:tr w:rsidR="00E95757" w:rsidRPr="008B4625" w14:paraId="33EA5639" w14:textId="77777777" w:rsidTr="001A3F28">
        <w:trPr>
          <w:trHeight w:val="510"/>
        </w:trPr>
        <w:tc>
          <w:tcPr>
            <w:tcW w:w="3251" w:type="dxa"/>
            <w:tcBorders>
              <w:top w:val="nil"/>
              <w:left w:val="single" w:sz="8" w:space="0" w:color="auto"/>
              <w:bottom w:val="single" w:sz="8" w:space="0" w:color="auto"/>
              <w:right w:val="single" w:sz="8" w:space="0" w:color="auto"/>
            </w:tcBorders>
            <w:shd w:val="clear" w:color="000000" w:fill="16365C"/>
            <w:vAlign w:val="center"/>
            <w:hideMark/>
          </w:tcPr>
          <w:p w14:paraId="21684E8F" w14:textId="77777777" w:rsidR="00E95757" w:rsidRPr="008B4625" w:rsidRDefault="00E95757" w:rsidP="001A3F28">
            <w:pPr>
              <w:spacing w:after="0" w:line="240" w:lineRule="auto"/>
              <w:jc w:val="center"/>
              <w:rPr>
                <w:rFonts w:ascii="Arial" w:eastAsia="Times New Roman" w:hAnsi="Arial" w:cs="Arial"/>
                <w:b/>
                <w:bCs/>
                <w:color w:val="FFFFFF"/>
                <w:lang w:eastAsia="es-CO"/>
              </w:rPr>
            </w:pPr>
            <w:r w:rsidRPr="008B4625">
              <w:rPr>
                <w:rFonts w:ascii="Arial" w:eastAsia="Times New Roman" w:hAnsi="Arial" w:cs="Arial"/>
                <w:b/>
                <w:bCs/>
                <w:color w:val="FFFFFF"/>
                <w:lang w:eastAsia="es-CO"/>
              </w:rPr>
              <w:t>Subtotal Energía</w:t>
            </w:r>
          </w:p>
        </w:tc>
        <w:tc>
          <w:tcPr>
            <w:tcW w:w="960" w:type="dxa"/>
            <w:tcBorders>
              <w:top w:val="nil"/>
              <w:left w:val="nil"/>
              <w:bottom w:val="single" w:sz="8" w:space="0" w:color="auto"/>
              <w:right w:val="single" w:sz="4" w:space="0" w:color="auto"/>
            </w:tcBorders>
            <w:shd w:val="clear" w:color="000000" w:fill="16365C"/>
            <w:noWrap/>
            <w:vAlign w:val="center"/>
            <w:hideMark/>
          </w:tcPr>
          <w:p w14:paraId="399A7567" w14:textId="77777777" w:rsidR="00E95757" w:rsidRPr="008B4625" w:rsidRDefault="00E95757" w:rsidP="001A3F28">
            <w:pPr>
              <w:spacing w:after="0" w:line="240" w:lineRule="auto"/>
              <w:jc w:val="center"/>
              <w:rPr>
                <w:rFonts w:ascii="Arial" w:eastAsia="Times New Roman" w:hAnsi="Arial" w:cs="Arial"/>
                <w:b/>
                <w:bCs/>
                <w:color w:val="FFFFFF"/>
                <w:lang w:eastAsia="es-CO"/>
              </w:rPr>
            </w:pPr>
            <w:r w:rsidRPr="008B4625">
              <w:rPr>
                <w:rFonts w:ascii="Arial" w:eastAsia="Times New Roman" w:hAnsi="Arial" w:cs="Arial"/>
                <w:b/>
                <w:bCs/>
                <w:color w:val="FFFFFF"/>
                <w:lang w:eastAsia="es-CO"/>
              </w:rPr>
              <w:t>153.343</w:t>
            </w:r>
          </w:p>
        </w:tc>
        <w:tc>
          <w:tcPr>
            <w:tcW w:w="1237" w:type="dxa"/>
            <w:gridSpan w:val="2"/>
            <w:tcBorders>
              <w:top w:val="nil"/>
              <w:left w:val="nil"/>
              <w:bottom w:val="single" w:sz="8" w:space="0" w:color="auto"/>
              <w:right w:val="single" w:sz="4" w:space="0" w:color="auto"/>
            </w:tcBorders>
            <w:shd w:val="clear" w:color="000000" w:fill="16365C"/>
            <w:noWrap/>
            <w:vAlign w:val="center"/>
            <w:hideMark/>
          </w:tcPr>
          <w:p w14:paraId="7596C5C2" w14:textId="77777777" w:rsidR="00E95757" w:rsidRPr="008B4625" w:rsidRDefault="00E95757" w:rsidP="001A3F28">
            <w:pPr>
              <w:spacing w:after="0" w:line="240" w:lineRule="auto"/>
              <w:jc w:val="center"/>
              <w:rPr>
                <w:rFonts w:ascii="Arial" w:eastAsia="Times New Roman" w:hAnsi="Arial" w:cs="Arial"/>
                <w:b/>
                <w:bCs/>
                <w:color w:val="FFFFFF"/>
                <w:lang w:eastAsia="es-CO"/>
              </w:rPr>
            </w:pPr>
            <w:r w:rsidRPr="008B4625">
              <w:rPr>
                <w:rFonts w:ascii="Arial" w:eastAsia="Times New Roman" w:hAnsi="Arial" w:cs="Arial"/>
                <w:b/>
                <w:bCs/>
                <w:color w:val="FFFFFF"/>
                <w:lang w:eastAsia="es-CO"/>
              </w:rPr>
              <w:t>82.379</w:t>
            </w:r>
          </w:p>
        </w:tc>
        <w:tc>
          <w:tcPr>
            <w:tcW w:w="1417" w:type="dxa"/>
            <w:tcBorders>
              <w:top w:val="nil"/>
              <w:left w:val="nil"/>
              <w:bottom w:val="single" w:sz="8" w:space="0" w:color="auto"/>
              <w:right w:val="single" w:sz="4" w:space="0" w:color="auto"/>
            </w:tcBorders>
            <w:shd w:val="clear" w:color="000000" w:fill="16365C"/>
            <w:vAlign w:val="center"/>
            <w:hideMark/>
          </w:tcPr>
          <w:p w14:paraId="342D9F69" w14:textId="77777777" w:rsidR="00E95757" w:rsidRPr="008B4625" w:rsidRDefault="00E95757" w:rsidP="001A3F28">
            <w:pPr>
              <w:spacing w:after="0" w:line="240" w:lineRule="auto"/>
              <w:jc w:val="center"/>
              <w:rPr>
                <w:rFonts w:ascii="Arial" w:eastAsia="Times New Roman" w:hAnsi="Arial" w:cs="Arial"/>
                <w:b/>
                <w:bCs/>
                <w:color w:val="FFFFFF"/>
                <w:lang w:eastAsia="es-CO"/>
              </w:rPr>
            </w:pPr>
            <w:r w:rsidRPr="008B4625">
              <w:rPr>
                <w:rFonts w:ascii="Arial" w:eastAsia="Times New Roman" w:hAnsi="Arial" w:cs="Arial"/>
                <w:b/>
                <w:bCs/>
                <w:color w:val="FFFFFF"/>
                <w:lang w:eastAsia="es-CO"/>
              </w:rPr>
              <w:t>53,72%</w:t>
            </w:r>
          </w:p>
        </w:tc>
        <w:tc>
          <w:tcPr>
            <w:tcW w:w="1080" w:type="dxa"/>
            <w:tcBorders>
              <w:top w:val="nil"/>
              <w:left w:val="nil"/>
              <w:bottom w:val="single" w:sz="8" w:space="0" w:color="auto"/>
              <w:right w:val="single" w:sz="4" w:space="0" w:color="auto"/>
            </w:tcBorders>
            <w:shd w:val="clear" w:color="000000" w:fill="16365C"/>
            <w:noWrap/>
            <w:vAlign w:val="center"/>
            <w:hideMark/>
          </w:tcPr>
          <w:p w14:paraId="55494367" w14:textId="77777777" w:rsidR="00E95757" w:rsidRPr="008B4625" w:rsidRDefault="00E95757" w:rsidP="001A3F28">
            <w:pPr>
              <w:spacing w:after="0" w:line="240" w:lineRule="auto"/>
              <w:jc w:val="center"/>
              <w:rPr>
                <w:rFonts w:ascii="Arial" w:eastAsia="Times New Roman" w:hAnsi="Arial" w:cs="Arial"/>
                <w:b/>
                <w:bCs/>
                <w:color w:val="FFFFFF"/>
                <w:lang w:eastAsia="es-CO"/>
              </w:rPr>
            </w:pPr>
            <w:r w:rsidRPr="008B4625">
              <w:rPr>
                <w:rFonts w:ascii="Arial" w:eastAsia="Times New Roman" w:hAnsi="Arial" w:cs="Arial"/>
                <w:b/>
                <w:bCs/>
                <w:color w:val="FFFFFF"/>
                <w:lang w:eastAsia="es-CO"/>
              </w:rPr>
              <w:t>80.816</w:t>
            </w:r>
          </w:p>
        </w:tc>
        <w:tc>
          <w:tcPr>
            <w:tcW w:w="1417" w:type="dxa"/>
            <w:tcBorders>
              <w:top w:val="nil"/>
              <w:left w:val="nil"/>
              <w:bottom w:val="single" w:sz="8" w:space="0" w:color="auto"/>
              <w:right w:val="single" w:sz="4" w:space="0" w:color="auto"/>
            </w:tcBorders>
            <w:shd w:val="clear" w:color="000000" w:fill="16365C"/>
            <w:vAlign w:val="center"/>
            <w:hideMark/>
          </w:tcPr>
          <w:p w14:paraId="76ABB276" w14:textId="77777777" w:rsidR="00E95757" w:rsidRPr="008B4625" w:rsidRDefault="00E95757" w:rsidP="001A3F28">
            <w:pPr>
              <w:spacing w:after="0" w:line="240" w:lineRule="auto"/>
              <w:jc w:val="center"/>
              <w:rPr>
                <w:rFonts w:ascii="Arial" w:eastAsia="Times New Roman" w:hAnsi="Arial" w:cs="Arial"/>
                <w:b/>
                <w:bCs/>
                <w:color w:val="FFFFFF"/>
                <w:lang w:eastAsia="es-CO"/>
              </w:rPr>
            </w:pPr>
            <w:r w:rsidRPr="008B4625">
              <w:rPr>
                <w:rFonts w:ascii="Arial" w:eastAsia="Times New Roman" w:hAnsi="Arial" w:cs="Arial"/>
                <w:b/>
                <w:bCs/>
                <w:color w:val="FFFFFF"/>
                <w:lang w:eastAsia="es-CO"/>
              </w:rPr>
              <w:t>52,70%</w:t>
            </w:r>
          </w:p>
        </w:tc>
      </w:tr>
    </w:tbl>
    <w:p w14:paraId="54A61D44" w14:textId="5C069705" w:rsidR="008B4625" w:rsidRPr="008B4625" w:rsidRDefault="008B4625" w:rsidP="00E84C6B">
      <w:pPr>
        <w:spacing w:after="0" w:line="240" w:lineRule="auto"/>
        <w:jc w:val="center"/>
        <w:rPr>
          <w:rFonts w:ascii="Arial" w:eastAsia="Times New Roman" w:hAnsi="Arial" w:cs="Arial"/>
          <w:noProof/>
          <w:color w:val="002060"/>
          <w:sz w:val="18"/>
          <w:szCs w:val="18"/>
          <w:lang w:eastAsia="es-CO"/>
        </w:rPr>
      </w:pPr>
      <w:r w:rsidRPr="008B4625">
        <w:rPr>
          <w:rFonts w:ascii="Arial" w:eastAsia="Times New Roman" w:hAnsi="Arial" w:cs="Arial"/>
          <w:noProof/>
          <w:sz w:val="18"/>
          <w:szCs w:val="18"/>
          <w:lang w:eastAsia="es-CO"/>
        </w:rPr>
        <w:t>Cifras en millones de pesos</w:t>
      </w:r>
    </w:p>
    <w:p w14:paraId="03BD9DF6" w14:textId="77777777" w:rsidR="008B4625" w:rsidRPr="008B4625" w:rsidRDefault="008B4625" w:rsidP="008B4625">
      <w:pPr>
        <w:spacing w:after="0" w:line="240" w:lineRule="auto"/>
        <w:jc w:val="center"/>
        <w:rPr>
          <w:rFonts w:ascii="Arial" w:eastAsia="Calibri" w:hAnsi="Arial" w:cs="Arial"/>
        </w:rPr>
      </w:pPr>
      <w:r w:rsidRPr="008B4625">
        <w:rPr>
          <w:rFonts w:ascii="Arial" w:eastAsia="Calibri" w:hAnsi="Arial" w:cs="Arial"/>
          <w:sz w:val="16"/>
          <w:szCs w:val="16"/>
        </w:rPr>
        <w:t>Fuente: SIIF Nación</w:t>
      </w:r>
    </w:p>
    <w:p w14:paraId="6A2A6C01" w14:textId="77777777" w:rsidR="00C02282" w:rsidRPr="008B4625" w:rsidRDefault="00C02282" w:rsidP="00C02282">
      <w:pPr>
        <w:pStyle w:val="Prrafodelista"/>
        <w:spacing w:after="0" w:line="240" w:lineRule="auto"/>
        <w:ind w:left="360"/>
        <w:jc w:val="center"/>
        <w:rPr>
          <w:rFonts w:eastAsia="Calibri" w:cs="Arial"/>
          <w:sz w:val="16"/>
          <w:szCs w:val="16"/>
        </w:rPr>
      </w:pPr>
    </w:p>
    <w:p w14:paraId="678B82D0" w14:textId="77777777" w:rsidR="008B4625" w:rsidRPr="00B922C1" w:rsidRDefault="008B4625" w:rsidP="008B4625">
      <w:pPr>
        <w:spacing w:after="0" w:line="240" w:lineRule="auto"/>
        <w:rPr>
          <w:rFonts w:ascii="Arial" w:eastAsia="Arial" w:hAnsi="Arial" w:cs="Arial"/>
          <w:szCs w:val="16"/>
        </w:rPr>
      </w:pPr>
      <w:r w:rsidRPr="008B4625">
        <w:rPr>
          <w:rFonts w:ascii="Arial" w:eastAsia="Arial" w:hAnsi="Arial" w:cs="Arial"/>
          <w:szCs w:val="16"/>
        </w:rPr>
        <w:t>Como se puede evidenciar en el cuadro anterior la Dirección de Energía Eléctrica, ejecutó al cierre del segundo semestre un 52,70% de sus reservas.</w:t>
      </w:r>
    </w:p>
    <w:p w14:paraId="21310207"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7027791E"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355E650B"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0157151E"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04D1C345"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7E3CD759"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7F1E8041"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502B3D11"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25D28DF8"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199D1FF0"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3BDF008C"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7524C3D6"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1E79E5CD"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4571A318"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338A9D58" w14:textId="77777777" w:rsidR="00C02282" w:rsidRPr="008B4625" w:rsidRDefault="00C02282" w:rsidP="007B6220">
      <w:pPr>
        <w:numPr>
          <w:ilvl w:val="0"/>
          <w:numId w:val="25"/>
        </w:numPr>
        <w:spacing w:after="0" w:line="240" w:lineRule="auto"/>
        <w:rPr>
          <w:rFonts w:ascii="Arial" w:eastAsia="Times New Roman" w:hAnsi="Arial" w:cs="Arial"/>
          <w:b/>
          <w:szCs w:val="16"/>
          <w:u w:val="single"/>
          <w:lang w:val="es-ES" w:eastAsia="es-ES"/>
        </w:rPr>
      </w:pPr>
      <w:r w:rsidRPr="008B4625">
        <w:rPr>
          <w:rFonts w:ascii="Arial" w:eastAsia="Times New Roman" w:hAnsi="Arial" w:cs="Arial"/>
          <w:b/>
          <w:szCs w:val="16"/>
          <w:u w:val="single"/>
          <w:lang w:val="es-ES" w:eastAsia="es-ES"/>
        </w:rPr>
        <w:lastRenderedPageBreak/>
        <w:t>Dirección de Hidrocarburos</w:t>
      </w:r>
    </w:p>
    <w:p w14:paraId="67C319B3" w14:textId="77777777" w:rsidR="00C02282" w:rsidRPr="008B4625" w:rsidRDefault="00C02282" w:rsidP="00C02282">
      <w:pPr>
        <w:spacing w:after="0" w:line="240" w:lineRule="auto"/>
        <w:ind w:left="720"/>
        <w:rPr>
          <w:rFonts w:ascii="Arial" w:eastAsia="Times New Roman" w:hAnsi="Arial" w:cs="Arial"/>
          <w:b/>
          <w:sz w:val="20"/>
          <w:szCs w:val="16"/>
          <w:u w:val="single"/>
          <w:lang w:val="es-ES" w:eastAsia="es-ES"/>
        </w:rPr>
      </w:pPr>
    </w:p>
    <w:p w14:paraId="42BDD4F9" w14:textId="77777777" w:rsidR="00C02282" w:rsidRPr="008B4625" w:rsidRDefault="00C02282" w:rsidP="00C02282">
      <w:pPr>
        <w:spacing w:after="0" w:line="240" w:lineRule="auto"/>
        <w:ind w:left="7788"/>
        <w:jc w:val="both"/>
        <w:rPr>
          <w:rFonts w:ascii="Arial" w:eastAsia="Times New Roman" w:hAnsi="Arial" w:cs="Arial"/>
          <w:b/>
          <w:sz w:val="20"/>
          <w:szCs w:val="16"/>
          <w:lang w:val="es-ES" w:eastAsia="es-ES"/>
        </w:rPr>
      </w:pPr>
    </w:p>
    <w:p w14:paraId="07A03259" w14:textId="77777777" w:rsidR="00C02282" w:rsidRDefault="00C02282" w:rsidP="00C02282">
      <w:pPr>
        <w:pStyle w:val="Descripcin"/>
        <w:keepNext/>
        <w:jc w:val="center"/>
      </w:pPr>
      <w:bookmarkStart w:id="59" w:name="_Toc525652476"/>
      <w:r w:rsidRPr="008B4625">
        <w:t xml:space="preserve">Tabla </w:t>
      </w:r>
      <w:r w:rsidRPr="008B4625">
        <w:fldChar w:fldCharType="begin"/>
      </w:r>
      <w:r w:rsidRPr="008B4625">
        <w:instrText xml:space="preserve"> SEQ Tabla \* ARABIC </w:instrText>
      </w:r>
      <w:r w:rsidRPr="008B4625">
        <w:fldChar w:fldCharType="separate"/>
      </w:r>
      <w:r w:rsidR="008B4625">
        <w:rPr>
          <w:noProof/>
        </w:rPr>
        <w:t>30</w:t>
      </w:r>
      <w:r w:rsidRPr="008B4625">
        <w:fldChar w:fldCharType="end"/>
      </w:r>
      <w:r w:rsidRPr="008B4625">
        <w:t xml:space="preserve"> Ejecución de Reservas Presupuestales Dirección de Hidrocarburos MME</w:t>
      </w:r>
      <w:bookmarkEnd w:id="59"/>
    </w:p>
    <w:tbl>
      <w:tblPr>
        <w:tblW w:w="9498" w:type="dxa"/>
        <w:tblInd w:w="-10" w:type="dxa"/>
        <w:tblCellMar>
          <w:left w:w="70" w:type="dxa"/>
          <w:right w:w="70" w:type="dxa"/>
        </w:tblCellMar>
        <w:tblLook w:val="04A0" w:firstRow="1" w:lastRow="0" w:firstColumn="1" w:lastColumn="0" w:noHBand="0" w:noVBand="1"/>
      </w:tblPr>
      <w:tblGrid>
        <w:gridCol w:w="4111"/>
        <w:gridCol w:w="1134"/>
        <w:gridCol w:w="1007"/>
        <w:gridCol w:w="1119"/>
        <w:gridCol w:w="851"/>
        <w:gridCol w:w="1276"/>
      </w:tblGrid>
      <w:tr w:rsidR="008B4625" w:rsidRPr="000E4CAF" w14:paraId="6D5ADD03" w14:textId="77777777" w:rsidTr="008F6E8C">
        <w:trPr>
          <w:trHeight w:val="540"/>
        </w:trPr>
        <w:tc>
          <w:tcPr>
            <w:tcW w:w="4111"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34BC37C2"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Proyecto</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33B3DA47"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Reservas</w:t>
            </w:r>
          </w:p>
        </w:tc>
        <w:tc>
          <w:tcPr>
            <w:tcW w:w="1007"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15C9B69A"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 xml:space="preserve">Obligado </w:t>
            </w:r>
          </w:p>
        </w:tc>
        <w:tc>
          <w:tcPr>
            <w:tcW w:w="1119"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66EFF7E"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 xml:space="preserve">% </w:t>
            </w:r>
            <w:proofErr w:type="spellStart"/>
            <w:r w:rsidRPr="00B922C1">
              <w:rPr>
                <w:rFonts w:ascii="Arial" w:eastAsia="Times New Roman" w:hAnsi="Arial" w:cs="Arial"/>
                <w:b/>
                <w:bCs/>
                <w:color w:val="FFFFFF"/>
                <w:sz w:val="20"/>
                <w:szCs w:val="20"/>
                <w:lang w:eastAsia="es-CO"/>
              </w:rPr>
              <w:t>Oblig</w:t>
            </w:r>
            <w:proofErr w:type="spellEnd"/>
            <w:r w:rsidRPr="00B922C1">
              <w:rPr>
                <w:rFonts w:ascii="Arial" w:eastAsia="Times New Roman" w:hAnsi="Arial" w:cs="Arial"/>
                <w:b/>
                <w:bCs/>
                <w:color w:val="FFFFFF"/>
                <w:sz w:val="20"/>
                <w:szCs w:val="20"/>
                <w:lang w:eastAsia="es-CO"/>
              </w:rPr>
              <w:t>.        /Reservas</w:t>
            </w:r>
          </w:p>
        </w:tc>
        <w:tc>
          <w:tcPr>
            <w:tcW w:w="851"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1B4C84E7"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Pagos</w:t>
            </w:r>
          </w:p>
        </w:tc>
        <w:tc>
          <w:tcPr>
            <w:tcW w:w="1276"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61935CC5"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 Pagos        /Reservas</w:t>
            </w:r>
          </w:p>
        </w:tc>
      </w:tr>
      <w:tr w:rsidR="008B4625" w:rsidRPr="000E4CAF" w14:paraId="51385EAA" w14:textId="77777777" w:rsidTr="008F6E8C">
        <w:trPr>
          <w:trHeight w:val="1125"/>
        </w:trPr>
        <w:tc>
          <w:tcPr>
            <w:tcW w:w="4111"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1DDA810"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CONTROL OPERATIVO A LA DISTRIBUCIÓN DE COMBUSTIBLE LÍQUIDOS DERIVADOS DEL PETRÓLEO, AL CONTRABANDO Y A LA DESTINACIÓN ILÍCITA DE ESTOS PRODUCTOS EN ZONAS DE FRONTERA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53DE9"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40</w:t>
            </w:r>
          </w:p>
        </w:tc>
        <w:tc>
          <w:tcPr>
            <w:tcW w:w="1007" w:type="dxa"/>
            <w:tcBorders>
              <w:top w:val="nil"/>
              <w:left w:val="nil"/>
              <w:bottom w:val="single" w:sz="4" w:space="0" w:color="auto"/>
              <w:right w:val="single" w:sz="4" w:space="0" w:color="auto"/>
            </w:tcBorders>
            <w:shd w:val="clear" w:color="auto" w:fill="auto"/>
            <w:noWrap/>
            <w:vAlign w:val="center"/>
            <w:hideMark/>
          </w:tcPr>
          <w:p w14:paraId="75A4F426"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27</w:t>
            </w:r>
          </w:p>
        </w:tc>
        <w:tc>
          <w:tcPr>
            <w:tcW w:w="1119" w:type="dxa"/>
            <w:tcBorders>
              <w:top w:val="nil"/>
              <w:left w:val="nil"/>
              <w:bottom w:val="nil"/>
              <w:right w:val="single" w:sz="4" w:space="0" w:color="auto"/>
            </w:tcBorders>
            <w:shd w:val="clear" w:color="auto" w:fill="auto"/>
            <w:noWrap/>
            <w:vAlign w:val="center"/>
            <w:hideMark/>
          </w:tcPr>
          <w:p w14:paraId="54375435"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66,11%</w:t>
            </w:r>
          </w:p>
        </w:tc>
        <w:tc>
          <w:tcPr>
            <w:tcW w:w="851" w:type="dxa"/>
            <w:tcBorders>
              <w:top w:val="nil"/>
              <w:left w:val="nil"/>
              <w:bottom w:val="single" w:sz="4" w:space="0" w:color="auto"/>
              <w:right w:val="single" w:sz="4" w:space="0" w:color="auto"/>
            </w:tcBorders>
            <w:shd w:val="clear" w:color="auto" w:fill="auto"/>
            <w:noWrap/>
            <w:vAlign w:val="center"/>
            <w:hideMark/>
          </w:tcPr>
          <w:p w14:paraId="69A65F93"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25</w:t>
            </w:r>
          </w:p>
        </w:tc>
        <w:tc>
          <w:tcPr>
            <w:tcW w:w="1276" w:type="dxa"/>
            <w:tcBorders>
              <w:top w:val="nil"/>
              <w:left w:val="nil"/>
              <w:bottom w:val="nil"/>
              <w:right w:val="single" w:sz="8" w:space="0" w:color="auto"/>
            </w:tcBorders>
            <w:shd w:val="clear" w:color="auto" w:fill="auto"/>
            <w:noWrap/>
            <w:vAlign w:val="center"/>
            <w:hideMark/>
          </w:tcPr>
          <w:p w14:paraId="2EAD80F1"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62,35%</w:t>
            </w:r>
          </w:p>
        </w:tc>
      </w:tr>
      <w:tr w:rsidR="008B4625" w:rsidRPr="000E4CAF" w14:paraId="6AD5C35A" w14:textId="77777777" w:rsidTr="008F6E8C">
        <w:trPr>
          <w:trHeight w:val="653"/>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7A9473AD"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ASESORIA PARA EL ANALISIS Y FORMULACION DEL DESARROLLO DEL SUBSECTOR DE HIDROCARBUROS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C269E79"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721</w:t>
            </w:r>
          </w:p>
        </w:tc>
        <w:tc>
          <w:tcPr>
            <w:tcW w:w="1007" w:type="dxa"/>
            <w:tcBorders>
              <w:top w:val="nil"/>
              <w:left w:val="nil"/>
              <w:bottom w:val="single" w:sz="4" w:space="0" w:color="auto"/>
              <w:right w:val="single" w:sz="4" w:space="0" w:color="auto"/>
            </w:tcBorders>
            <w:shd w:val="clear" w:color="auto" w:fill="auto"/>
            <w:noWrap/>
            <w:vAlign w:val="center"/>
            <w:hideMark/>
          </w:tcPr>
          <w:p w14:paraId="609A4DB7"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151</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1AA44371"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20,89%</w:t>
            </w:r>
          </w:p>
        </w:tc>
        <w:tc>
          <w:tcPr>
            <w:tcW w:w="851" w:type="dxa"/>
            <w:tcBorders>
              <w:top w:val="nil"/>
              <w:left w:val="nil"/>
              <w:bottom w:val="single" w:sz="4" w:space="0" w:color="auto"/>
              <w:right w:val="single" w:sz="4" w:space="0" w:color="auto"/>
            </w:tcBorders>
            <w:shd w:val="clear" w:color="auto" w:fill="auto"/>
            <w:noWrap/>
            <w:vAlign w:val="center"/>
            <w:hideMark/>
          </w:tcPr>
          <w:p w14:paraId="2ABC1759"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149</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14:paraId="0CD88E3F"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20,65%</w:t>
            </w:r>
          </w:p>
        </w:tc>
      </w:tr>
      <w:tr w:rsidR="008B4625" w:rsidRPr="000E4CAF" w14:paraId="65A0CA3B" w14:textId="77777777" w:rsidTr="008F6E8C">
        <w:trPr>
          <w:trHeight w:val="900"/>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25B443F1"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IMPLEMENTACION COMPENSACION POR EL TRANSPORTE DE COMBUSTIBLES LIQUIDOS DERIVADOS DEL PETROLEO ENTRE YUMBO Y LA CIUDAD DE PASTO</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0F9F2BED"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75</w:t>
            </w:r>
          </w:p>
        </w:tc>
        <w:tc>
          <w:tcPr>
            <w:tcW w:w="1007" w:type="dxa"/>
            <w:tcBorders>
              <w:top w:val="nil"/>
              <w:left w:val="nil"/>
              <w:bottom w:val="single" w:sz="4" w:space="0" w:color="auto"/>
              <w:right w:val="single" w:sz="4" w:space="0" w:color="auto"/>
            </w:tcBorders>
            <w:shd w:val="clear" w:color="auto" w:fill="auto"/>
            <w:noWrap/>
            <w:vAlign w:val="center"/>
            <w:hideMark/>
          </w:tcPr>
          <w:p w14:paraId="6864DF7D"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55</w:t>
            </w:r>
          </w:p>
        </w:tc>
        <w:tc>
          <w:tcPr>
            <w:tcW w:w="1119" w:type="dxa"/>
            <w:tcBorders>
              <w:top w:val="nil"/>
              <w:left w:val="nil"/>
              <w:bottom w:val="single" w:sz="4" w:space="0" w:color="auto"/>
              <w:right w:val="single" w:sz="4" w:space="0" w:color="auto"/>
            </w:tcBorders>
            <w:shd w:val="clear" w:color="auto" w:fill="auto"/>
            <w:vAlign w:val="center"/>
            <w:hideMark/>
          </w:tcPr>
          <w:p w14:paraId="00DEA7B0"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73,08%</w:t>
            </w:r>
          </w:p>
        </w:tc>
        <w:tc>
          <w:tcPr>
            <w:tcW w:w="851" w:type="dxa"/>
            <w:tcBorders>
              <w:top w:val="nil"/>
              <w:left w:val="nil"/>
              <w:bottom w:val="single" w:sz="4" w:space="0" w:color="auto"/>
              <w:right w:val="single" w:sz="4" w:space="0" w:color="auto"/>
            </w:tcBorders>
            <w:shd w:val="clear" w:color="auto" w:fill="auto"/>
            <w:noWrap/>
            <w:vAlign w:val="center"/>
            <w:hideMark/>
          </w:tcPr>
          <w:p w14:paraId="78D3C647"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55</w:t>
            </w:r>
          </w:p>
        </w:tc>
        <w:tc>
          <w:tcPr>
            <w:tcW w:w="1276" w:type="dxa"/>
            <w:tcBorders>
              <w:top w:val="nil"/>
              <w:left w:val="nil"/>
              <w:bottom w:val="single" w:sz="4" w:space="0" w:color="auto"/>
              <w:right w:val="single" w:sz="8" w:space="0" w:color="auto"/>
            </w:tcBorders>
            <w:shd w:val="clear" w:color="auto" w:fill="auto"/>
            <w:vAlign w:val="center"/>
            <w:hideMark/>
          </w:tcPr>
          <w:p w14:paraId="6F6A8C99"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73,08%</w:t>
            </w:r>
          </w:p>
        </w:tc>
      </w:tr>
      <w:tr w:rsidR="008B4625" w:rsidRPr="000E4CAF" w14:paraId="21588F97" w14:textId="77777777" w:rsidTr="008F6E8C">
        <w:trPr>
          <w:trHeight w:val="1350"/>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647B34FD"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ASESORIA ,  DISEÑO, ADQUISICION, MANTENIMIENTO Y CONSTRUCCION DEL SISTEMA DE INFORMACION DE LA CADENA DE DISTRIBUCION DE COMBUSTIBLES LIQUIDIOS DEREIVADOS DEL PETROLEO - SICOM - REGION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5ACBBE7"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57</w:t>
            </w:r>
          </w:p>
        </w:tc>
        <w:tc>
          <w:tcPr>
            <w:tcW w:w="1007" w:type="dxa"/>
            <w:tcBorders>
              <w:top w:val="nil"/>
              <w:left w:val="nil"/>
              <w:bottom w:val="single" w:sz="4" w:space="0" w:color="auto"/>
              <w:right w:val="single" w:sz="4" w:space="0" w:color="auto"/>
            </w:tcBorders>
            <w:shd w:val="clear" w:color="auto" w:fill="auto"/>
            <w:noWrap/>
            <w:vAlign w:val="center"/>
            <w:hideMark/>
          </w:tcPr>
          <w:p w14:paraId="2EB17FA2"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57</w:t>
            </w:r>
          </w:p>
        </w:tc>
        <w:tc>
          <w:tcPr>
            <w:tcW w:w="1119" w:type="dxa"/>
            <w:tcBorders>
              <w:top w:val="nil"/>
              <w:left w:val="nil"/>
              <w:bottom w:val="single" w:sz="4" w:space="0" w:color="auto"/>
              <w:right w:val="single" w:sz="4" w:space="0" w:color="auto"/>
            </w:tcBorders>
            <w:shd w:val="clear" w:color="auto" w:fill="auto"/>
            <w:vAlign w:val="center"/>
            <w:hideMark/>
          </w:tcPr>
          <w:p w14:paraId="6A7A4736"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100,00%</w:t>
            </w:r>
          </w:p>
        </w:tc>
        <w:tc>
          <w:tcPr>
            <w:tcW w:w="851" w:type="dxa"/>
            <w:tcBorders>
              <w:top w:val="nil"/>
              <w:left w:val="nil"/>
              <w:bottom w:val="single" w:sz="4" w:space="0" w:color="auto"/>
              <w:right w:val="single" w:sz="4" w:space="0" w:color="auto"/>
            </w:tcBorders>
            <w:shd w:val="clear" w:color="auto" w:fill="auto"/>
            <w:noWrap/>
            <w:vAlign w:val="center"/>
            <w:hideMark/>
          </w:tcPr>
          <w:p w14:paraId="700AC8E4"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57</w:t>
            </w:r>
          </w:p>
        </w:tc>
        <w:tc>
          <w:tcPr>
            <w:tcW w:w="1276" w:type="dxa"/>
            <w:tcBorders>
              <w:top w:val="nil"/>
              <w:left w:val="nil"/>
              <w:bottom w:val="single" w:sz="4" w:space="0" w:color="auto"/>
              <w:right w:val="single" w:sz="8" w:space="0" w:color="auto"/>
            </w:tcBorders>
            <w:shd w:val="clear" w:color="auto" w:fill="auto"/>
            <w:vAlign w:val="center"/>
            <w:hideMark/>
          </w:tcPr>
          <w:p w14:paraId="68C9D0B5"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100,00%</w:t>
            </w:r>
          </w:p>
        </w:tc>
      </w:tr>
      <w:tr w:rsidR="008B4625" w:rsidRPr="000E4CAF" w14:paraId="018F68CD" w14:textId="77777777" w:rsidTr="008F6E8C">
        <w:trPr>
          <w:trHeight w:val="675"/>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5D89538B"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ASESORIA TÉCNICA PARA EL SEGUIMIENTO A LOS CONTRATOS Y CONVENIOS DEL SUBSECTOR GAS COMBUSTIBLE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856E478"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17</w:t>
            </w:r>
          </w:p>
        </w:tc>
        <w:tc>
          <w:tcPr>
            <w:tcW w:w="1007" w:type="dxa"/>
            <w:tcBorders>
              <w:top w:val="nil"/>
              <w:left w:val="nil"/>
              <w:bottom w:val="single" w:sz="4" w:space="0" w:color="auto"/>
              <w:right w:val="single" w:sz="4" w:space="0" w:color="auto"/>
            </w:tcBorders>
            <w:shd w:val="clear" w:color="auto" w:fill="auto"/>
            <w:noWrap/>
            <w:vAlign w:val="center"/>
            <w:hideMark/>
          </w:tcPr>
          <w:p w14:paraId="3887BBCA"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10</w:t>
            </w:r>
          </w:p>
        </w:tc>
        <w:tc>
          <w:tcPr>
            <w:tcW w:w="1119" w:type="dxa"/>
            <w:tcBorders>
              <w:top w:val="nil"/>
              <w:left w:val="nil"/>
              <w:bottom w:val="single" w:sz="4" w:space="0" w:color="auto"/>
              <w:right w:val="single" w:sz="4" w:space="0" w:color="auto"/>
            </w:tcBorders>
            <w:shd w:val="clear" w:color="auto" w:fill="auto"/>
            <w:vAlign w:val="center"/>
            <w:hideMark/>
          </w:tcPr>
          <w:p w14:paraId="4A3C1950"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57,09%</w:t>
            </w:r>
          </w:p>
        </w:tc>
        <w:tc>
          <w:tcPr>
            <w:tcW w:w="851" w:type="dxa"/>
            <w:tcBorders>
              <w:top w:val="nil"/>
              <w:left w:val="nil"/>
              <w:bottom w:val="single" w:sz="4" w:space="0" w:color="auto"/>
              <w:right w:val="single" w:sz="4" w:space="0" w:color="auto"/>
            </w:tcBorders>
            <w:shd w:val="clear" w:color="auto" w:fill="auto"/>
            <w:noWrap/>
            <w:vAlign w:val="center"/>
            <w:hideMark/>
          </w:tcPr>
          <w:p w14:paraId="7EA3DF3C"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10</w:t>
            </w:r>
          </w:p>
        </w:tc>
        <w:tc>
          <w:tcPr>
            <w:tcW w:w="1276" w:type="dxa"/>
            <w:tcBorders>
              <w:top w:val="nil"/>
              <w:left w:val="nil"/>
              <w:bottom w:val="single" w:sz="4" w:space="0" w:color="auto"/>
              <w:right w:val="single" w:sz="8" w:space="0" w:color="auto"/>
            </w:tcBorders>
            <w:shd w:val="clear" w:color="auto" w:fill="auto"/>
            <w:vAlign w:val="center"/>
            <w:hideMark/>
          </w:tcPr>
          <w:p w14:paraId="6FB80471"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57,09%</w:t>
            </w:r>
          </w:p>
        </w:tc>
      </w:tr>
      <w:tr w:rsidR="008B4625" w:rsidRPr="000E4CAF" w14:paraId="6E32AC06" w14:textId="77777777" w:rsidTr="008F6E8C">
        <w:trPr>
          <w:trHeight w:val="860"/>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75B43CC9"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ADMINISTRACION MANEJO Y EJECUCION DEL FONDO ESPECIAL CUOTA DE FOMENTO POR PARTE DEL MINISTERIO DE MINAS Y ENERGIA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E8CF3B1"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8</w:t>
            </w:r>
          </w:p>
        </w:tc>
        <w:tc>
          <w:tcPr>
            <w:tcW w:w="1007" w:type="dxa"/>
            <w:tcBorders>
              <w:top w:val="nil"/>
              <w:left w:val="nil"/>
              <w:bottom w:val="single" w:sz="4" w:space="0" w:color="auto"/>
              <w:right w:val="single" w:sz="4" w:space="0" w:color="auto"/>
            </w:tcBorders>
            <w:shd w:val="clear" w:color="auto" w:fill="auto"/>
            <w:noWrap/>
            <w:vAlign w:val="center"/>
            <w:hideMark/>
          </w:tcPr>
          <w:p w14:paraId="206D984E"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14:paraId="2778BB5C"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0,00%</w:t>
            </w:r>
          </w:p>
        </w:tc>
        <w:tc>
          <w:tcPr>
            <w:tcW w:w="851" w:type="dxa"/>
            <w:tcBorders>
              <w:top w:val="nil"/>
              <w:left w:val="nil"/>
              <w:bottom w:val="single" w:sz="4" w:space="0" w:color="auto"/>
              <w:right w:val="single" w:sz="4" w:space="0" w:color="auto"/>
            </w:tcBorders>
            <w:shd w:val="clear" w:color="auto" w:fill="auto"/>
            <w:noWrap/>
            <w:vAlign w:val="center"/>
            <w:hideMark/>
          </w:tcPr>
          <w:p w14:paraId="5DB875C9"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w:t>
            </w:r>
          </w:p>
        </w:tc>
        <w:tc>
          <w:tcPr>
            <w:tcW w:w="1276" w:type="dxa"/>
            <w:tcBorders>
              <w:top w:val="nil"/>
              <w:left w:val="nil"/>
              <w:bottom w:val="single" w:sz="4" w:space="0" w:color="auto"/>
              <w:right w:val="single" w:sz="8" w:space="0" w:color="auto"/>
            </w:tcBorders>
            <w:shd w:val="clear" w:color="auto" w:fill="auto"/>
            <w:noWrap/>
            <w:vAlign w:val="center"/>
            <w:hideMark/>
          </w:tcPr>
          <w:p w14:paraId="088B9729"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0,00%</w:t>
            </w:r>
          </w:p>
        </w:tc>
      </w:tr>
      <w:tr w:rsidR="008B4625" w:rsidRPr="000E4CAF" w14:paraId="33F302D0" w14:textId="77777777" w:rsidTr="008F6E8C">
        <w:trPr>
          <w:trHeight w:val="860"/>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28FE61DC"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DESARROLLO DE INFRAESTRUCTURA DE TRANSPORTE, DISTRIBUCIÓN Y CONEXIÓN DEL SERVICIO PÚBLICO DE GAS NATURAL A NIVEL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1FCFC2E"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3.307</w:t>
            </w:r>
          </w:p>
        </w:tc>
        <w:tc>
          <w:tcPr>
            <w:tcW w:w="1007" w:type="dxa"/>
            <w:tcBorders>
              <w:top w:val="nil"/>
              <w:left w:val="nil"/>
              <w:bottom w:val="single" w:sz="4" w:space="0" w:color="auto"/>
              <w:right w:val="single" w:sz="4" w:space="0" w:color="auto"/>
            </w:tcBorders>
            <w:shd w:val="clear" w:color="auto" w:fill="auto"/>
            <w:noWrap/>
            <w:vAlign w:val="center"/>
            <w:hideMark/>
          </w:tcPr>
          <w:p w14:paraId="21634096"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302</w:t>
            </w:r>
          </w:p>
        </w:tc>
        <w:tc>
          <w:tcPr>
            <w:tcW w:w="1119" w:type="dxa"/>
            <w:tcBorders>
              <w:top w:val="nil"/>
              <w:left w:val="nil"/>
              <w:bottom w:val="single" w:sz="4" w:space="0" w:color="auto"/>
              <w:right w:val="single" w:sz="4" w:space="0" w:color="auto"/>
            </w:tcBorders>
            <w:shd w:val="clear" w:color="auto" w:fill="auto"/>
            <w:noWrap/>
            <w:vAlign w:val="center"/>
            <w:hideMark/>
          </w:tcPr>
          <w:p w14:paraId="77B18617"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9,14%</w:t>
            </w:r>
          </w:p>
        </w:tc>
        <w:tc>
          <w:tcPr>
            <w:tcW w:w="851" w:type="dxa"/>
            <w:tcBorders>
              <w:top w:val="nil"/>
              <w:left w:val="nil"/>
              <w:bottom w:val="single" w:sz="4" w:space="0" w:color="auto"/>
              <w:right w:val="single" w:sz="4" w:space="0" w:color="auto"/>
            </w:tcBorders>
            <w:shd w:val="clear" w:color="auto" w:fill="auto"/>
            <w:noWrap/>
            <w:vAlign w:val="center"/>
            <w:hideMark/>
          </w:tcPr>
          <w:p w14:paraId="70722B1F"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302</w:t>
            </w:r>
          </w:p>
        </w:tc>
        <w:tc>
          <w:tcPr>
            <w:tcW w:w="1276" w:type="dxa"/>
            <w:tcBorders>
              <w:top w:val="nil"/>
              <w:left w:val="nil"/>
              <w:bottom w:val="single" w:sz="4" w:space="0" w:color="auto"/>
              <w:right w:val="single" w:sz="8" w:space="0" w:color="auto"/>
            </w:tcBorders>
            <w:shd w:val="clear" w:color="auto" w:fill="auto"/>
            <w:noWrap/>
            <w:vAlign w:val="center"/>
            <w:hideMark/>
          </w:tcPr>
          <w:p w14:paraId="66ED2D62"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9,14%</w:t>
            </w:r>
          </w:p>
        </w:tc>
      </w:tr>
      <w:tr w:rsidR="008B4625" w:rsidRPr="000E4CAF" w14:paraId="0CB16E76" w14:textId="77777777" w:rsidTr="008F6E8C">
        <w:trPr>
          <w:trHeight w:val="874"/>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0CBFA2DB"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DISTRIBUCIÓN DE RECURSOS PARA PAGOS POR MENORES TARIFAS SECTOR GAS COMBUSTIBLE DOMICILIARIO POR RED A NIVEL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2ED7755D"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w:t>
            </w:r>
          </w:p>
        </w:tc>
        <w:tc>
          <w:tcPr>
            <w:tcW w:w="1007" w:type="dxa"/>
            <w:tcBorders>
              <w:top w:val="nil"/>
              <w:left w:val="nil"/>
              <w:bottom w:val="single" w:sz="4" w:space="0" w:color="auto"/>
              <w:right w:val="single" w:sz="4" w:space="0" w:color="auto"/>
            </w:tcBorders>
            <w:shd w:val="clear" w:color="auto" w:fill="auto"/>
            <w:noWrap/>
            <w:vAlign w:val="center"/>
            <w:hideMark/>
          </w:tcPr>
          <w:p w14:paraId="1ABE4768"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w:t>
            </w:r>
          </w:p>
        </w:tc>
        <w:tc>
          <w:tcPr>
            <w:tcW w:w="1119" w:type="dxa"/>
            <w:tcBorders>
              <w:top w:val="nil"/>
              <w:left w:val="nil"/>
              <w:bottom w:val="single" w:sz="4" w:space="0" w:color="auto"/>
              <w:right w:val="single" w:sz="4" w:space="0" w:color="auto"/>
            </w:tcBorders>
            <w:shd w:val="clear" w:color="auto" w:fill="auto"/>
            <w:noWrap/>
            <w:vAlign w:val="center"/>
            <w:hideMark/>
          </w:tcPr>
          <w:p w14:paraId="10C6135C"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0,00%</w:t>
            </w:r>
          </w:p>
        </w:tc>
        <w:tc>
          <w:tcPr>
            <w:tcW w:w="851" w:type="dxa"/>
            <w:tcBorders>
              <w:top w:val="nil"/>
              <w:left w:val="nil"/>
              <w:bottom w:val="single" w:sz="4" w:space="0" w:color="auto"/>
              <w:right w:val="single" w:sz="4" w:space="0" w:color="auto"/>
            </w:tcBorders>
            <w:shd w:val="clear" w:color="auto" w:fill="auto"/>
            <w:noWrap/>
            <w:vAlign w:val="center"/>
            <w:hideMark/>
          </w:tcPr>
          <w:p w14:paraId="19E17B34"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0</w:t>
            </w:r>
          </w:p>
        </w:tc>
        <w:tc>
          <w:tcPr>
            <w:tcW w:w="1276" w:type="dxa"/>
            <w:tcBorders>
              <w:top w:val="nil"/>
              <w:left w:val="nil"/>
              <w:bottom w:val="single" w:sz="4" w:space="0" w:color="auto"/>
              <w:right w:val="single" w:sz="8" w:space="0" w:color="auto"/>
            </w:tcBorders>
            <w:shd w:val="clear" w:color="auto" w:fill="auto"/>
            <w:noWrap/>
            <w:vAlign w:val="center"/>
            <w:hideMark/>
          </w:tcPr>
          <w:p w14:paraId="7A403801"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0,00%</w:t>
            </w:r>
          </w:p>
        </w:tc>
      </w:tr>
      <w:tr w:rsidR="008B4625" w:rsidRPr="000E4CAF" w14:paraId="2530640A" w14:textId="77777777" w:rsidTr="008F6E8C">
        <w:trPr>
          <w:trHeight w:val="972"/>
        </w:trPr>
        <w:tc>
          <w:tcPr>
            <w:tcW w:w="4111" w:type="dxa"/>
            <w:tcBorders>
              <w:top w:val="nil"/>
              <w:left w:val="single" w:sz="8" w:space="0" w:color="auto"/>
              <w:bottom w:val="single" w:sz="8" w:space="0" w:color="auto"/>
              <w:right w:val="single" w:sz="8" w:space="0" w:color="auto"/>
            </w:tcBorders>
            <w:shd w:val="clear" w:color="000000" w:fill="FFFFFF"/>
            <w:vAlign w:val="center"/>
            <w:hideMark/>
          </w:tcPr>
          <w:p w14:paraId="0DE74E28" w14:textId="77777777" w:rsidR="008B4625" w:rsidRPr="00B922C1" w:rsidRDefault="008B4625" w:rsidP="008F6E8C">
            <w:pPr>
              <w:spacing w:after="0" w:line="240" w:lineRule="auto"/>
              <w:jc w:val="both"/>
              <w:rPr>
                <w:rFonts w:ascii="Arial" w:eastAsia="Times New Roman" w:hAnsi="Arial" w:cs="Arial"/>
                <w:sz w:val="18"/>
                <w:szCs w:val="18"/>
                <w:lang w:eastAsia="es-CO"/>
              </w:rPr>
            </w:pPr>
            <w:r w:rsidRPr="00B922C1">
              <w:rPr>
                <w:rFonts w:ascii="Arial" w:eastAsia="Times New Roman" w:hAnsi="Arial" w:cs="Arial"/>
                <w:sz w:val="18"/>
                <w:szCs w:val="18"/>
                <w:lang w:eastAsia="es-CO"/>
              </w:rPr>
              <w:t>DISTRIBUCIÓN DE RECURSOS PARA PAGOS POR MENORES TARIFAS SECTOR GLP DISTRIBUIDO EN CILINDROS Y TANQUES ESTACIONARIOS A NIVEL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7DAE0B3A"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4</w:t>
            </w:r>
          </w:p>
        </w:tc>
        <w:tc>
          <w:tcPr>
            <w:tcW w:w="1007" w:type="dxa"/>
            <w:tcBorders>
              <w:top w:val="nil"/>
              <w:left w:val="nil"/>
              <w:bottom w:val="single" w:sz="8" w:space="0" w:color="auto"/>
              <w:right w:val="single" w:sz="4" w:space="0" w:color="auto"/>
            </w:tcBorders>
            <w:shd w:val="clear" w:color="auto" w:fill="auto"/>
            <w:noWrap/>
            <w:vAlign w:val="center"/>
            <w:hideMark/>
          </w:tcPr>
          <w:p w14:paraId="18F1A0D7"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4</w:t>
            </w:r>
          </w:p>
        </w:tc>
        <w:tc>
          <w:tcPr>
            <w:tcW w:w="1119" w:type="dxa"/>
            <w:tcBorders>
              <w:top w:val="nil"/>
              <w:left w:val="nil"/>
              <w:bottom w:val="single" w:sz="8" w:space="0" w:color="auto"/>
              <w:right w:val="single" w:sz="4" w:space="0" w:color="auto"/>
            </w:tcBorders>
            <w:shd w:val="clear" w:color="auto" w:fill="auto"/>
            <w:noWrap/>
            <w:vAlign w:val="center"/>
            <w:hideMark/>
          </w:tcPr>
          <w:p w14:paraId="08B419D2"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100,00%</w:t>
            </w:r>
          </w:p>
        </w:tc>
        <w:tc>
          <w:tcPr>
            <w:tcW w:w="851" w:type="dxa"/>
            <w:tcBorders>
              <w:top w:val="nil"/>
              <w:left w:val="nil"/>
              <w:bottom w:val="single" w:sz="8" w:space="0" w:color="auto"/>
              <w:right w:val="single" w:sz="4" w:space="0" w:color="auto"/>
            </w:tcBorders>
            <w:shd w:val="clear" w:color="auto" w:fill="auto"/>
            <w:noWrap/>
            <w:vAlign w:val="center"/>
            <w:hideMark/>
          </w:tcPr>
          <w:p w14:paraId="004F4C3C" w14:textId="77777777" w:rsidR="008B4625" w:rsidRPr="00B922C1" w:rsidRDefault="008B4625" w:rsidP="008F6E8C">
            <w:pPr>
              <w:spacing w:after="0" w:line="240" w:lineRule="auto"/>
              <w:jc w:val="center"/>
              <w:rPr>
                <w:rFonts w:ascii="Arial" w:eastAsia="Times New Roman" w:hAnsi="Arial" w:cs="Arial"/>
                <w:sz w:val="18"/>
                <w:szCs w:val="18"/>
                <w:lang w:eastAsia="es-CO"/>
              </w:rPr>
            </w:pPr>
            <w:r w:rsidRPr="00B922C1">
              <w:rPr>
                <w:rFonts w:ascii="Arial" w:eastAsia="Times New Roman" w:hAnsi="Arial" w:cs="Arial"/>
                <w:sz w:val="18"/>
                <w:szCs w:val="18"/>
                <w:lang w:eastAsia="es-CO"/>
              </w:rPr>
              <w:t>4</w:t>
            </w:r>
          </w:p>
        </w:tc>
        <w:tc>
          <w:tcPr>
            <w:tcW w:w="1276" w:type="dxa"/>
            <w:tcBorders>
              <w:top w:val="nil"/>
              <w:left w:val="nil"/>
              <w:bottom w:val="single" w:sz="8" w:space="0" w:color="auto"/>
              <w:right w:val="single" w:sz="8" w:space="0" w:color="auto"/>
            </w:tcBorders>
            <w:shd w:val="clear" w:color="auto" w:fill="auto"/>
            <w:noWrap/>
            <w:vAlign w:val="center"/>
            <w:hideMark/>
          </w:tcPr>
          <w:p w14:paraId="7D2C3D16" w14:textId="77777777" w:rsidR="008B4625" w:rsidRPr="00B922C1" w:rsidRDefault="008B4625" w:rsidP="008F6E8C">
            <w:pPr>
              <w:spacing w:after="0" w:line="240" w:lineRule="auto"/>
              <w:jc w:val="center"/>
              <w:rPr>
                <w:rFonts w:ascii="Verdana" w:eastAsia="Times New Roman" w:hAnsi="Verdana"/>
                <w:sz w:val="18"/>
                <w:szCs w:val="18"/>
                <w:lang w:eastAsia="es-CO"/>
              </w:rPr>
            </w:pPr>
            <w:r w:rsidRPr="00B922C1">
              <w:rPr>
                <w:rFonts w:ascii="Verdana" w:eastAsia="Times New Roman" w:hAnsi="Verdana"/>
                <w:sz w:val="18"/>
                <w:szCs w:val="18"/>
                <w:lang w:eastAsia="es-CO"/>
              </w:rPr>
              <w:t>100,00%</w:t>
            </w:r>
          </w:p>
        </w:tc>
      </w:tr>
      <w:tr w:rsidR="008B4625" w:rsidRPr="000E4CAF" w14:paraId="20A186B8" w14:textId="77777777" w:rsidTr="008F6E8C">
        <w:trPr>
          <w:trHeight w:val="510"/>
        </w:trPr>
        <w:tc>
          <w:tcPr>
            <w:tcW w:w="4111" w:type="dxa"/>
            <w:tcBorders>
              <w:top w:val="nil"/>
              <w:left w:val="single" w:sz="8" w:space="0" w:color="auto"/>
              <w:bottom w:val="single" w:sz="8" w:space="0" w:color="auto"/>
              <w:right w:val="single" w:sz="8" w:space="0" w:color="auto"/>
            </w:tcBorders>
            <w:shd w:val="clear" w:color="000000" w:fill="16365C"/>
            <w:vAlign w:val="center"/>
            <w:hideMark/>
          </w:tcPr>
          <w:p w14:paraId="4C7A9CD6"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Subtotal hidrocarburos</w:t>
            </w:r>
          </w:p>
        </w:tc>
        <w:tc>
          <w:tcPr>
            <w:tcW w:w="1134" w:type="dxa"/>
            <w:tcBorders>
              <w:top w:val="nil"/>
              <w:left w:val="nil"/>
              <w:bottom w:val="single" w:sz="8" w:space="0" w:color="auto"/>
              <w:right w:val="single" w:sz="4" w:space="0" w:color="auto"/>
            </w:tcBorders>
            <w:shd w:val="clear" w:color="000000" w:fill="16365C"/>
            <w:noWrap/>
            <w:vAlign w:val="center"/>
            <w:hideMark/>
          </w:tcPr>
          <w:p w14:paraId="16DFA958"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4.230</w:t>
            </w:r>
          </w:p>
        </w:tc>
        <w:tc>
          <w:tcPr>
            <w:tcW w:w="1007" w:type="dxa"/>
            <w:tcBorders>
              <w:top w:val="nil"/>
              <w:left w:val="nil"/>
              <w:bottom w:val="single" w:sz="8" w:space="0" w:color="auto"/>
              <w:right w:val="single" w:sz="4" w:space="0" w:color="auto"/>
            </w:tcBorders>
            <w:shd w:val="clear" w:color="000000" w:fill="16365C"/>
            <w:noWrap/>
            <w:vAlign w:val="center"/>
            <w:hideMark/>
          </w:tcPr>
          <w:p w14:paraId="1D704227"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605</w:t>
            </w:r>
          </w:p>
        </w:tc>
        <w:tc>
          <w:tcPr>
            <w:tcW w:w="1119" w:type="dxa"/>
            <w:tcBorders>
              <w:top w:val="nil"/>
              <w:left w:val="nil"/>
              <w:bottom w:val="single" w:sz="8" w:space="0" w:color="auto"/>
              <w:right w:val="single" w:sz="4" w:space="0" w:color="auto"/>
            </w:tcBorders>
            <w:shd w:val="clear" w:color="000000" w:fill="16365C"/>
            <w:vAlign w:val="center"/>
            <w:hideMark/>
          </w:tcPr>
          <w:p w14:paraId="76A699F2"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14,31%</w:t>
            </w:r>
          </w:p>
        </w:tc>
        <w:tc>
          <w:tcPr>
            <w:tcW w:w="851" w:type="dxa"/>
            <w:tcBorders>
              <w:top w:val="nil"/>
              <w:left w:val="nil"/>
              <w:bottom w:val="single" w:sz="8" w:space="0" w:color="auto"/>
              <w:right w:val="single" w:sz="4" w:space="0" w:color="auto"/>
            </w:tcBorders>
            <w:shd w:val="clear" w:color="000000" w:fill="16365C"/>
            <w:noWrap/>
            <w:vAlign w:val="center"/>
            <w:hideMark/>
          </w:tcPr>
          <w:p w14:paraId="706CD990" w14:textId="77777777" w:rsidR="008B4625" w:rsidRPr="00B922C1" w:rsidRDefault="008B4625" w:rsidP="008F6E8C">
            <w:pPr>
              <w:spacing w:after="0" w:line="240" w:lineRule="auto"/>
              <w:jc w:val="center"/>
              <w:rPr>
                <w:rFonts w:ascii="Arial" w:eastAsia="Times New Roman" w:hAnsi="Arial" w:cs="Arial"/>
                <w:b/>
                <w:bCs/>
                <w:color w:val="FFFFFF"/>
                <w:sz w:val="20"/>
                <w:szCs w:val="20"/>
                <w:lang w:eastAsia="es-CO"/>
              </w:rPr>
            </w:pPr>
            <w:r w:rsidRPr="00B922C1">
              <w:rPr>
                <w:rFonts w:ascii="Arial" w:eastAsia="Times New Roman" w:hAnsi="Arial" w:cs="Arial"/>
                <w:b/>
                <w:bCs/>
                <w:color w:val="FFFFFF"/>
                <w:sz w:val="20"/>
                <w:szCs w:val="20"/>
                <w:lang w:eastAsia="es-CO"/>
              </w:rPr>
              <w:t>602</w:t>
            </w:r>
          </w:p>
        </w:tc>
        <w:tc>
          <w:tcPr>
            <w:tcW w:w="1276" w:type="dxa"/>
            <w:tcBorders>
              <w:top w:val="nil"/>
              <w:left w:val="nil"/>
              <w:bottom w:val="single" w:sz="8" w:space="0" w:color="auto"/>
              <w:right w:val="single" w:sz="4" w:space="0" w:color="auto"/>
            </w:tcBorders>
            <w:shd w:val="clear" w:color="000000" w:fill="16365C"/>
            <w:vAlign w:val="center"/>
            <w:hideMark/>
          </w:tcPr>
          <w:p w14:paraId="1AE364DF" w14:textId="77777777" w:rsidR="008B4625" w:rsidRPr="00B922C1" w:rsidRDefault="008B4625" w:rsidP="008F6E8C">
            <w:pPr>
              <w:spacing w:after="0" w:line="240" w:lineRule="auto"/>
              <w:jc w:val="center"/>
              <w:rPr>
                <w:rFonts w:ascii="Verdana" w:eastAsia="Times New Roman" w:hAnsi="Verdana"/>
                <w:b/>
                <w:bCs/>
                <w:color w:val="FFFFFF"/>
                <w:sz w:val="20"/>
                <w:szCs w:val="20"/>
                <w:lang w:eastAsia="es-CO"/>
              </w:rPr>
            </w:pPr>
            <w:r w:rsidRPr="00B922C1">
              <w:rPr>
                <w:rFonts w:ascii="Verdana" w:eastAsia="Times New Roman" w:hAnsi="Verdana"/>
                <w:b/>
                <w:bCs/>
                <w:color w:val="FFFFFF"/>
                <w:sz w:val="20"/>
                <w:szCs w:val="20"/>
                <w:lang w:eastAsia="es-CO"/>
              </w:rPr>
              <w:t>14,24%</w:t>
            </w:r>
          </w:p>
        </w:tc>
      </w:tr>
    </w:tbl>
    <w:p w14:paraId="4E49B6DD" w14:textId="77777777" w:rsidR="008B4625" w:rsidRPr="008B4625" w:rsidRDefault="008B4625" w:rsidP="008B4625">
      <w:pPr>
        <w:spacing w:after="0" w:line="240" w:lineRule="auto"/>
        <w:jc w:val="center"/>
        <w:rPr>
          <w:rFonts w:ascii="Arial" w:eastAsia="Times New Roman" w:hAnsi="Arial" w:cs="Arial"/>
          <w:noProof/>
          <w:color w:val="002060"/>
          <w:sz w:val="18"/>
          <w:szCs w:val="18"/>
          <w:lang w:eastAsia="es-CO"/>
        </w:rPr>
      </w:pPr>
      <w:r w:rsidRPr="008B4625">
        <w:rPr>
          <w:rFonts w:ascii="Arial" w:eastAsia="Times New Roman" w:hAnsi="Arial" w:cs="Arial"/>
          <w:noProof/>
          <w:sz w:val="18"/>
          <w:szCs w:val="18"/>
          <w:lang w:eastAsia="es-CO"/>
        </w:rPr>
        <w:t>Cifras en millones de pesos</w:t>
      </w:r>
    </w:p>
    <w:p w14:paraId="7CF9173F" w14:textId="77777777" w:rsidR="008B4625" w:rsidRPr="008B4625" w:rsidRDefault="008B4625" w:rsidP="008B4625">
      <w:pPr>
        <w:spacing w:after="0" w:line="240" w:lineRule="auto"/>
        <w:jc w:val="center"/>
        <w:rPr>
          <w:rFonts w:ascii="Arial" w:eastAsia="Calibri" w:hAnsi="Arial" w:cs="Arial"/>
        </w:rPr>
      </w:pPr>
      <w:r w:rsidRPr="008B4625">
        <w:rPr>
          <w:rFonts w:ascii="Arial" w:eastAsia="Calibri" w:hAnsi="Arial" w:cs="Arial"/>
          <w:sz w:val="16"/>
          <w:szCs w:val="16"/>
        </w:rPr>
        <w:t>Fuente: SIIF Nación</w:t>
      </w:r>
    </w:p>
    <w:p w14:paraId="72BCC06E" w14:textId="09283BA2" w:rsidR="008B4625" w:rsidRPr="00B922C1" w:rsidRDefault="00E84C6B" w:rsidP="008B4625">
      <w:pPr>
        <w:spacing w:after="0" w:line="240" w:lineRule="auto"/>
        <w:jc w:val="both"/>
        <w:rPr>
          <w:rFonts w:ascii="Arial" w:eastAsia="Times New Roman" w:hAnsi="Arial" w:cs="Arial"/>
          <w:szCs w:val="16"/>
          <w:lang w:val="es-ES" w:eastAsia="es-ES"/>
        </w:rPr>
      </w:pPr>
      <w:r>
        <w:rPr>
          <w:rFonts w:ascii="Arial" w:eastAsia="Arial" w:hAnsi="Arial" w:cs="Arial"/>
          <w:szCs w:val="16"/>
        </w:rPr>
        <w:lastRenderedPageBreak/>
        <w:t>C</w:t>
      </w:r>
      <w:r w:rsidR="008B4625" w:rsidRPr="00B922C1">
        <w:rPr>
          <w:rFonts w:ascii="Arial" w:eastAsia="Arial" w:hAnsi="Arial" w:cs="Arial"/>
          <w:szCs w:val="16"/>
        </w:rPr>
        <w:t>omo se puede observar en el cuadro anterior, la Dirección de Hidrocarburos ha presentado una baja ejecución en sus reservas presupuestales; sin embargo</w:t>
      </w:r>
      <w:r w:rsidR="008B4625">
        <w:rPr>
          <w:rFonts w:ascii="Arial" w:eastAsia="Arial" w:hAnsi="Arial" w:cs="Arial"/>
          <w:szCs w:val="16"/>
        </w:rPr>
        <w:t xml:space="preserve">, se resaltan los </w:t>
      </w:r>
      <w:r w:rsidR="008B4625" w:rsidRPr="00B922C1">
        <w:rPr>
          <w:rFonts w:ascii="Arial" w:eastAsia="Arial" w:hAnsi="Arial" w:cs="Arial"/>
          <w:szCs w:val="16"/>
        </w:rPr>
        <w:t>proyecto</w:t>
      </w:r>
      <w:r w:rsidR="008B4625">
        <w:rPr>
          <w:rFonts w:ascii="Arial" w:eastAsia="Arial" w:hAnsi="Arial" w:cs="Arial"/>
          <w:szCs w:val="16"/>
        </w:rPr>
        <w:t>s</w:t>
      </w:r>
      <w:r w:rsidR="008B4625" w:rsidRPr="00B922C1">
        <w:rPr>
          <w:rFonts w:ascii="Arial" w:eastAsia="Arial" w:hAnsi="Arial" w:cs="Arial"/>
          <w:szCs w:val="16"/>
        </w:rPr>
        <w:t xml:space="preserve"> de GLP </w:t>
      </w:r>
      <w:r w:rsidR="008B4625">
        <w:rPr>
          <w:rFonts w:ascii="Arial" w:eastAsia="Arial" w:hAnsi="Arial" w:cs="Arial"/>
          <w:szCs w:val="16"/>
        </w:rPr>
        <w:t xml:space="preserve">y SICOM </w:t>
      </w:r>
      <w:r w:rsidR="008B4625" w:rsidRPr="00B922C1">
        <w:rPr>
          <w:rFonts w:ascii="Arial" w:eastAsia="Arial" w:hAnsi="Arial" w:cs="Arial"/>
          <w:szCs w:val="16"/>
        </w:rPr>
        <w:t>ejecut</w:t>
      </w:r>
      <w:r w:rsidR="008B4625">
        <w:rPr>
          <w:rFonts w:ascii="Arial" w:eastAsia="Arial" w:hAnsi="Arial" w:cs="Arial"/>
          <w:szCs w:val="16"/>
        </w:rPr>
        <w:t>ando en sus reservas un</w:t>
      </w:r>
      <w:r w:rsidR="008B4625" w:rsidRPr="00B922C1">
        <w:rPr>
          <w:rFonts w:ascii="Arial" w:eastAsia="Arial" w:hAnsi="Arial" w:cs="Arial"/>
          <w:szCs w:val="16"/>
        </w:rPr>
        <w:t xml:space="preserve"> 100%. </w:t>
      </w:r>
    </w:p>
    <w:p w14:paraId="53F1920D" w14:textId="77777777" w:rsidR="00C02282" w:rsidRPr="006A67B4" w:rsidRDefault="00C02282" w:rsidP="00C02282">
      <w:pPr>
        <w:spacing w:after="0" w:line="240" w:lineRule="auto"/>
        <w:ind w:left="720"/>
        <w:jc w:val="center"/>
        <w:rPr>
          <w:rFonts w:ascii="Arial" w:eastAsia="Times New Roman" w:hAnsi="Arial" w:cs="Arial"/>
          <w:b/>
          <w:sz w:val="20"/>
          <w:szCs w:val="16"/>
          <w:highlight w:val="yellow"/>
          <w:lang w:val="es-ES" w:eastAsia="es-ES"/>
        </w:rPr>
      </w:pPr>
    </w:p>
    <w:p w14:paraId="516B420B" w14:textId="3E67D7C1" w:rsidR="00C02282" w:rsidRPr="008B4625" w:rsidRDefault="00C02282" w:rsidP="008F6E8C">
      <w:pPr>
        <w:numPr>
          <w:ilvl w:val="0"/>
          <w:numId w:val="25"/>
        </w:numPr>
        <w:spacing w:after="0" w:line="240" w:lineRule="auto"/>
        <w:jc w:val="both"/>
        <w:rPr>
          <w:rFonts w:ascii="Arial" w:eastAsia="Arial" w:hAnsi="Arial" w:cs="Arial"/>
          <w:b/>
          <w:sz w:val="20"/>
          <w:szCs w:val="16"/>
          <w:u w:val="single"/>
        </w:rPr>
      </w:pPr>
      <w:r w:rsidRPr="008B4625">
        <w:rPr>
          <w:rFonts w:ascii="Arial" w:eastAsia="Times New Roman" w:hAnsi="Arial" w:cs="Arial"/>
          <w:b/>
          <w:szCs w:val="16"/>
          <w:u w:val="single"/>
          <w:lang w:val="es-ES" w:eastAsia="es-ES"/>
        </w:rPr>
        <w:t>Dirección de Formalización Minera</w:t>
      </w:r>
    </w:p>
    <w:p w14:paraId="1AD18860" w14:textId="77777777" w:rsidR="00C02282" w:rsidRPr="008B4625" w:rsidRDefault="00C02282" w:rsidP="00C02282">
      <w:pPr>
        <w:spacing w:after="0" w:line="240" w:lineRule="auto"/>
        <w:ind w:left="7788"/>
        <w:jc w:val="both"/>
        <w:rPr>
          <w:rFonts w:ascii="Arial" w:eastAsia="Times New Roman" w:hAnsi="Arial" w:cs="Arial"/>
          <w:b/>
          <w:sz w:val="20"/>
          <w:szCs w:val="16"/>
          <w:lang w:val="es-ES" w:eastAsia="es-ES"/>
        </w:rPr>
      </w:pPr>
    </w:p>
    <w:p w14:paraId="73697F52" w14:textId="77777777" w:rsidR="00C02282" w:rsidRDefault="00C02282" w:rsidP="00C02282">
      <w:pPr>
        <w:pStyle w:val="Descripcin"/>
        <w:keepNext/>
        <w:jc w:val="center"/>
      </w:pPr>
      <w:bookmarkStart w:id="60" w:name="_Toc525652477"/>
      <w:r w:rsidRPr="008B4625">
        <w:t xml:space="preserve">Tabla </w:t>
      </w:r>
      <w:r w:rsidRPr="008B4625">
        <w:fldChar w:fldCharType="begin"/>
      </w:r>
      <w:r w:rsidRPr="008B4625">
        <w:instrText xml:space="preserve"> SEQ Tabla \* ARABIC </w:instrText>
      </w:r>
      <w:r w:rsidRPr="008B4625">
        <w:fldChar w:fldCharType="separate"/>
      </w:r>
      <w:r w:rsidR="008B4625">
        <w:rPr>
          <w:noProof/>
        </w:rPr>
        <w:t>31</w:t>
      </w:r>
      <w:r w:rsidRPr="008B4625">
        <w:fldChar w:fldCharType="end"/>
      </w:r>
      <w:r w:rsidRPr="008B4625">
        <w:t xml:space="preserve"> Ejecución de Reservas Presupuestales Dirección de Formalización Minera MME</w:t>
      </w:r>
      <w:bookmarkEnd w:id="60"/>
    </w:p>
    <w:tbl>
      <w:tblPr>
        <w:tblW w:w="9498" w:type="dxa"/>
        <w:tblInd w:w="-10" w:type="dxa"/>
        <w:tblLayout w:type="fixed"/>
        <w:tblCellMar>
          <w:left w:w="70" w:type="dxa"/>
          <w:right w:w="70" w:type="dxa"/>
        </w:tblCellMar>
        <w:tblLook w:val="04A0" w:firstRow="1" w:lastRow="0" w:firstColumn="1" w:lastColumn="0" w:noHBand="0" w:noVBand="1"/>
      </w:tblPr>
      <w:tblGrid>
        <w:gridCol w:w="4111"/>
        <w:gridCol w:w="1134"/>
        <w:gridCol w:w="1134"/>
        <w:gridCol w:w="1134"/>
        <w:gridCol w:w="851"/>
        <w:gridCol w:w="1134"/>
      </w:tblGrid>
      <w:tr w:rsidR="008B4625" w:rsidRPr="000E4CAF" w14:paraId="7E3275BA" w14:textId="77777777" w:rsidTr="008F6E8C">
        <w:trPr>
          <w:trHeight w:val="462"/>
        </w:trPr>
        <w:tc>
          <w:tcPr>
            <w:tcW w:w="4111"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22B28954" w14:textId="77777777" w:rsidR="008B4625" w:rsidRPr="0067670F" w:rsidRDefault="008B4625" w:rsidP="008F6E8C">
            <w:pPr>
              <w:spacing w:after="0" w:line="240" w:lineRule="auto"/>
              <w:jc w:val="center"/>
              <w:rPr>
                <w:rFonts w:ascii="Arial" w:eastAsia="Times New Roman" w:hAnsi="Arial" w:cs="Arial"/>
                <w:b/>
                <w:bCs/>
                <w:color w:val="FFFFFF"/>
                <w:sz w:val="20"/>
                <w:szCs w:val="20"/>
                <w:lang w:eastAsia="es-CO"/>
              </w:rPr>
            </w:pPr>
            <w:r w:rsidRPr="0067670F">
              <w:rPr>
                <w:rFonts w:ascii="Arial" w:eastAsia="Times New Roman" w:hAnsi="Arial" w:cs="Arial"/>
                <w:b/>
                <w:bCs/>
                <w:color w:val="FFFFFF"/>
                <w:sz w:val="20"/>
                <w:szCs w:val="20"/>
                <w:lang w:eastAsia="es-CO"/>
              </w:rPr>
              <w:t>Proyecto</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364B2745" w14:textId="77777777" w:rsidR="008B4625" w:rsidRPr="0067670F" w:rsidRDefault="008B4625" w:rsidP="008F6E8C">
            <w:pPr>
              <w:spacing w:after="0" w:line="240" w:lineRule="auto"/>
              <w:jc w:val="center"/>
              <w:rPr>
                <w:rFonts w:ascii="Arial" w:eastAsia="Times New Roman" w:hAnsi="Arial" w:cs="Arial"/>
                <w:b/>
                <w:bCs/>
                <w:color w:val="FFFFFF"/>
                <w:sz w:val="20"/>
                <w:szCs w:val="20"/>
                <w:lang w:eastAsia="es-CO"/>
              </w:rPr>
            </w:pPr>
            <w:r w:rsidRPr="0067670F">
              <w:rPr>
                <w:rFonts w:ascii="Arial" w:eastAsia="Times New Roman" w:hAnsi="Arial" w:cs="Arial"/>
                <w:b/>
                <w:bCs/>
                <w:color w:val="FFFFFF"/>
                <w:sz w:val="20"/>
                <w:szCs w:val="20"/>
                <w:lang w:eastAsia="es-CO"/>
              </w:rPr>
              <w:t>Reservas</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C2E4E0A" w14:textId="77777777" w:rsidR="008B4625" w:rsidRPr="0067670F" w:rsidRDefault="008B4625" w:rsidP="008F6E8C">
            <w:pPr>
              <w:spacing w:after="0" w:line="240" w:lineRule="auto"/>
              <w:jc w:val="center"/>
              <w:rPr>
                <w:rFonts w:ascii="Arial" w:eastAsia="Times New Roman" w:hAnsi="Arial" w:cs="Arial"/>
                <w:b/>
                <w:bCs/>
                <w:color w:val="FFFFFF"/>
                <w:sz w:val="20"/>
                <w:szCs w:val="20"/>
                <w:lang w:eastAsia="es-CO"/>
              </w:rPr>
            </w:pPr>
            <w:r w:rsidRPr="0067670F">
              <w:rPr>
                <w:rFonts w:ascii="Arial" w:eastAsia="Times New Roman" w:hAnsi="Arial" w:cs="Arial"/>
                <w:b/>
                <w:bCs/>
                <w:color w:val="FFFFFF"/>
                <w:sz w:val="20"/>
                <w:szCs w:val="20"/>
                <w:lang w:eastAsia="es-CO"/>
              </w:rPr>
              <w:t xml:space="preserve">Obligado </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1774DCE2" w14:textId="77777777" w:rsidR="008B4625" w:rsidRPr="0067670F" w:rsidRDefault="008B4625" w:rsidP="008F6E8C">
            <w:pPr>
              <w:spacing w:after="0" w:line="240" w:lineRule="auto"/>
              <w:jc w:val="center"/>
              <w:rPr>
                <w:rFonts w:ascii="Arial" w:eastAsia="Times New Roman" w:hAnsi="Arial" w:cs="Arial"/>
                <w:b/>
                <w:bCs/>
                <w:color w:val="FFFFFF"/>
                <w:sz w:val="20"/>
                <w:szCs w:val="20"/>
                <w:lang w:eastAsia="es-CO"/>
              </w:rPr>
            </w:pPr>
            <w:r w:rsidRPr="0067670F">
              <w:rPr>
                <w:rFonts w:ascii="Arial" w:eastAsia="Times New Roman" w:hAnsi="Arial" w:cs="Arial"/>
                <w:b/>
                <w:bCs/>
                <w:color w:val="FFFFFF"/>
                <w:sz w:val="20"/>
                <w:szCs w:val="20"/>
                <w:lang w:eastAsia="es-CO"/>
              </w:rPr>
              <w:t xml:space="preserve">% </w:t>
            </w:r>
            <w:proofErr w:type="spellStart"/>
            <w:r w:rsidRPr="0067670F">
              <w:rPr>
                <w:rFonts w:ascii="Arial" w:eastAsia="Times New Roman" w:hAnsi="Arial" w:cs="Arial"/>
                <w:b/>
                <w:bCs/>
                <w:color w:val="FFFFFF"/>
                <w:sz w:val="20"/>
                <w:szCs w:val="20"/>
                <w:lang w:eastAsia="es-CO"/>
              </w:rPr>
              <w:t>Oblig</w:t>
            </w:r>
            <w:proofErr w:type="spellEnd"/>
            <w:r w:rsidRPr="0067670F">
              <w:rPr>
                <w:rFonts w:ascii="Arial" w:eastAsia="Times New Roman" w:hAnsi="Arial" w:cs="Arial"/>
                <w:b/>
                <w:bCs/>
                <w:color w:val="FFFFFF"/>
                <w:sz w:val="20"/>
                <w:szCs w:val="20"/>
                <w:lang w:eastAsia="es-CO"/>
              </w:rPr>
              <w:t>.        /Reservas</w:t>
            </w:r>
          </w:p>
        </w:tc>
        <w:tc>
          <w:tcPr>
            <w:tcW w:w="851"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94A7854" w14:textId="77777777" w:rsidR="008B4625" w:rsidRPr="0067670F" w:rsidRDefault="008B4625" w:rsidP="008F6E8C">
            <w:pPr>
              <w:spacing w:after="0" w:line="240" w:lineRule="auto"/>
              <w:jc w:val="center"/>
              <w:rPr>
                <w:rFonts w:ascii="Arial" w:eastAsia="Times New Roman" w:hAnsi="Arial" w:cs="Arial"/>
                <w:b/>
                <w:bCs/>
                <w:color w:val="FFFFFF"/>
                <w:sz w:val="20"/>
                <w:szCs w:val="20"/>
                <w:lang w:eastAsia="es-CO"/>
              </w:rPr>
            </w:pPr>
            <w:r w:rsidRPr="0067670F">
              <w:rPr>
                <w:rFonts w:ascii="Arial" w:eastAsia="Times New Roman" w:hAnsi="Arial" w:cs="Arial"/>
                <w:b/>
                <w:bCs/>
                <w:color w:val="FFFFFF"/>
                <w:sz w:val="20"/>
                <w:szCs w:val="20"/>
                <w:lang w:eastAsia="es-CO"/>
              </w:rPr>
              <w:t>Pagos</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38F7317E" w14:textId="77777777" w:rsidR="008B4625" w:rsidRPr="0067670F" w:rsidRDefault="008B4625" w:rsidP="008F6E8C">
            <w:pPr>
              <w:spacing w:after="0" w:line="240" w:lineRule="auto"/>
              <w:jc w:val="center"/>
              <w:rPr>
                <w:rFonts w:ascii="Arial" w:eastAsia="Times New Roman" w:hAnsi="Arial" w:cs="Arial"/>
                <w:b/>
                <w:bCs/>
                <w:color w:val="FFFFFF"/>
                <w:sz w:val="20"/>
                <w:szCs w:val="20"/>
                <w:lang w:eastAsia="es-CO"/>
              </w:rPr>
            </w:pPr>
            <w:r w:rsidRPr="0067670F">
              <w:rPr>
                <w:rFonts w:ascii="Arial" w:eastAsia="Times New Roman" w:hAnsi="Arial" w:cs="Arial"/>
                <w:b/>
                <w:bCs/>
                <w:color w:val="FFFFFF"/>
                <w:sz w:val="20"/>
                <w:szCs w:val="20"/>
                <w:lang w:eastAsia="es-CO"/>
              </w:rPr>
              <w:t>% Pagos        /Reservas</w:t>
            </w:r>
          </w:p>
        </w:tc>
      </w:tr>
      <w:tr w:rsidR="008B4625" w:rsidRPr="000E4CAF" w14:paraId="504CAD7F" w14:textId="77777777" w:rsidTr="008F6E8C">
        <w:trPr>
          <w:trHeight w:val="544"/>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70DB614B" w14:textId="77777777" w:rsidR="008B4625" w:rsidRPr="0067670F" w:rsidRDefault="008B4625" w:rsidP="008F6E8C">
            <w:pPr>
              <w:spacing w:after="0" w:line="240" w:lineRule="auto"/>
              <w:jc w:val="both"/>
              <w:rPr>
                <w:rFonts w:ascii="Arial" w:eastAsia="Times New Roman" w:hAnsi="Arial" w:cs="Arial"/>
                <w:sz w:val="18"/>
                <w:szCs w:val="18"/>
                <w:lang w:eastAsia="es-CO"/>
              </w:rPr>
            </w:pPr>
            <w:r w:rsidRPr="0067670F">
              <w:rPr>
                <w:rFonts w:ascii="Arial" w:eastAsia="Times New Roman" w:hAnsi="Arial" w:cs="Arial"/>
                <w:sz w:val="18"/>
                <w:szCs w:val="18"/>
                <w:lang w:eastAsia="es-CO"/>
              </w:rPr>
              <w:t>CONSTRUCCIÓN E IMPLEMENTACIÓN DEL PROGRAMA DE FORMALIZACIÓN MINERA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07CD9"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3.445</w:t>
            </w:r>
          </w:p>
        </w:tc>
        <w:tc>
          <w:tcPr>
            <w:tcW w:w="1134" w:type="dxa"/>
            <w:tcBorders>
              <w:top w:val="nil"/>
              <w:left w:val="nil"/>
              <w:bottom w:val="single" w:sz="4" w:space="0" w:color="auto"/>
              <w:right w:val="single" w:sz="4" w:space="0" w:color="auto"/>
            </w:tcBorders>
            <w:shd w:val="clear" w:color="auto" w:fill="auto"/>
            <w:noWrap/>
            <w:vAlign w:val="center"/>
            <w:hideMark/>
          </w:tcPr>
          <w:p w14:paraId="7E325B62"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2.491</w:t>
            </w:r>
          </w:p>
        </w:tc>
        <w:tc>
          <w:tcPr>
            <w:tcW w:w="1134" w:type="dxa"/>
            <w:tcBorders>
              <w:top w:val="nil"/>
              <w:left w:val="nil"/>
              <w:bottom w:val="single" w:sz="4" w:space="0" w:color="auto"/>
              <w:right w:val="single" w:sz="4" w:space="0" w:color="auto"/>
            </w:tcBorders>
            <w:shd w:val="clear" w:color="auto" w:fill="auto"/>
            <w:noWrap/>
            <w:vAlign w:val="center"/>
            <w:hideMark/>
          </w:tcPr>
          <w:p w14:paraId="6CE8B489"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72,32%</w:t>
            </w:r>
          </w:p>
        </w:tc>
        <w:tc>
          <w:tcPr>
            <w:tcW w:w="851" w:type="dxa"/>
            <w:tcBorders>
              <w:top w:val="nil"/>
              <w:left w:val="nil"/>
              <w:bottom w:val="single" w:sz="4" w:space="0" w:color="auto"/>
              <w:right w:val="single" w:sz="4" w:space="0" w:color="auto"/>
            </w:tcBorders>
            <w:shd w:val="clear" w:color="auto" w:fill="auto"/>
            <w:noWrap/>
            <w:vAlign w:val="center"/>
            <w:hideMark/>
          </w:tcPr>
          <w:p w14:paraId="3662E860"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2.490</w:t>
            </w:r>
          </w:p>
        </w:tc>
        <w:tc>
          <w:tcPr>
            <w:tcW w:w="1134" w:type="dxa"/>
            <w:tcBorders>
              <w:top w:val="nil"/>
              <w:left w:val="nil"/>
              <w:bottom w:val="single" w:sz="4" w:space="0" w:color="auto"/>
              <w:right w:val="single" w:sz="8" w:space="0" w:color="auto"/>
            </w:tcBorders>
            <w:shd w:val="clear" w:color="auto" w:fill="auto"/>
            <w:noWrap/>
            <w:vAlign w:val="center"/>
            <w:hideMark/>
          </w:tcPr>
          <w:p w14:paraId="0B79876A"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72,28%</w:t>
            </w:r>
          </w:p>
        </w:tc>
      </w:tr>
      <w:tr w:rsidR="008B4625" w:rsidRPr="000E4CAF" w14:paraId="58B3AE54" w14:textId="77777777" w:rsidTr="008F6E8C">
        <w:trPr>
          <w:trHeight w:val="771"/>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28A8BF9F" w14:textId="77777777" w:rsidR="008B4625" w:rsidRPr="0067670F" w:rsidRDefault="008B4625" w:rsidP="008F6E8C">
            <w:pPr>
              <w:spacing w:after="0" w:line="240" w:lineRule="auto"/>
              <w:jc w:val="both"/>
              <w:rPr>
                <w:rFonts w:ascii="Arial" w:eastAsia="Times New Roman" w:hAnsi="Arial" w:cs="Arial"/>
                <w:sz w:val="18"/>
                <w:szCs w:val="18"/>
                <w:lang w:eastAsia="es-CO"/>
              </w:rPr>
            </w:pPr>
            <w:r w:rsidRPr="0067670F">
              <w:rPr>
                <w:rFonts w:ascii="Arial" w:eastAsia="Times New Roman" w:hAnsi="Arial" w:cs="Arial"/>
                <w:sz w:val="18"/>
                <w:szCs w:val="18"/>
                <w:lang w:eastAsia="es-CO"/>
              </w:rPr>
              <w:t>IMPLEMENTACIÓN DEL PLAN ESTRATÉGICO SECTORIAL PARA LA ELIMINACIÓN DEL USO DEL MERCURIO DE LA ACTIVIDAD MINERA EN EL TERRITORIO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6CCC1279"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10.333</w:t>
            </w:r>
          </w:p>
        </w:tc>
        <w:tc>
          <w:tcPr>
            <w:tcW w:w="1134" w:type="dxa"/>
            <w:tcBorders>
              <w:top w:val="nil"/>
              <w:left w:val="nil"/>
              <w:bottom w:val="single" w:sz="4" w:space="0" w:color="auto"/>
              <w:right w:val="single" w:sz="4" w:space="0" w:color="auto"/>
            </w:tcBorders>
            <w:shd w:val="clear" w:color="auto" w:fill="auto"/>
            <w:noWrap/>
            <w:vAlign w:val="center"/>
            <w:hideMark/>
          </w:tcPr>
          <w:p w14:paraId="6BED9262"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4.091</w:t>
            </w:r>
          </w:p>
        </w:tc>
        <w:tc>
          <w:tcPr>
            <w:tcW w:w="1134" w:type="dxa"/>
            <w:tcBorders>
              <w:top w:val="nil"/>
              <w:left w:val="nil"/>
              <w:bottom w:val="single" w:sz="4" w:space="0" w:color="auto"/>
              <w:right w:val="single" w:sz="4" w:space="0" w:color="auto"/>
            </w:tcBorders>
            <w:shd w:val="clear" w:color="auto" w:fill="auto"/>
            <w:noWrap/>
            <w:vAlign w:val="center"/>
            <w:hideMark/>
          </w:tcPr>
          <w:p w14:paraId="14159F22"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39,60%</w:t>
            </w:r>
          </w:p>
        </w:tc>
        <w:tc>
          <w:tcPr>
            <w:tcW w:w="851" w:type="dxa"/>
            <w:tcBorders>
              <w:top w:val="nil"/>
              <w:left w:val="nil"/>
              <w:bottom w:val="single" w:sz="4" w:space="0" w:color="auto"/>
              <w:right w:val="single" w:sz="4" w:space="0" w:color="auto"/>
            </w:tcBorders>
            <w:shd w:val="clear" w:color="auto" w:fill="auto"/>
            <w:noWrap/>
            <w:vAlign w:val="center"/>
            <w:hideMark/>
          </w:tcPr>
          <w:p w14:paraId="1C8693A0"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4.080</w:t>
            </w:r>
          </w:p>
        </w:tc>
        <w:tc>
          <w:tcPr>
            <w:tcW w:w="1134" w:type="dxa"/>
            <w:tcBorders>
              <w:top w:val="nil"/>
              <w:left w:val="nil"/>
              <w:bottom w:val="single" w:sz="4" w:space="0" w:color="auto"/>
              <w:right w:val="single" w:sz="8" w:space="0" w:color="auto"/>
            </w:tcBorders>
            <w:shd w:val="clear" w:color="auto" w:fill="auto"/>
            <w:noWrap/>
            <w:vAlign w:val="center"/>
            <w:hideMark/>
          </w:tcPr>
          <w:p w14:paraId="71DA2468"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39,49%</w:t>
            </w:r>
          </w:p>
        </w:tc>
      </w:tr>
      <w:tr w:rsidR="008B4625" w:rsidRPr="000E4CAF" w14:paraId="61FFF7B4" w14:textId="77777777" w:rsidTr="008F6E8C">
        <w:trPr>
          <w:trHeight w:val="577"/>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0033B2CC" w14:textId="77777777" w:rsidR="008B4625" w:rsidRPr="0067670F" w:rsidRDefault="008B4625" w:rsidP="008F6E8C">
            <w:pPr>
              <w:spacing w:after="0" w:line="240" w:lineRule="auto"/>
              <w:jc w:val="both"/>
              <w:rPr>
                <w:rFonts w:ascii="Arial" w:eastAsia="Times New Roman" w:hAnsi="Arial" w:cs="Arial"/>
                <w:sz w:val="18"/>
                <w:szCs w:val="18"/>
                <w:lang w:eastAsia="es-CO"/>
              </w:rPr>
            </w:pPr>
            <w:r w:rsidRPr="0067670F">
              <w:rPr>
                <w:rFonts w:ascii="Arial" w:eastAsia="Times New Roman" w:hAnsi="Arial" w:cs="Arial"/>
                <w:sz w:val="18"/>
                <w:szCs w:val="18"/>
                <w:lang w:eastAsia="es-CO"/>
              </w:rPr>
              <w:t>MEJORAMIENTO DE LA CALIDAD DE VIDA DE LOS MINEROS DE SUBSISTENCIA EN EL TERRITORIO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5A5EED43"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2.693</w:t>
            </w:r>
          </w:p>
        </w:tc>
        <w:tc>
          <w:tcPr>
            <w:tcW w:w="1134" w:type="dxa"/>
            <w:tcBorders>
              <w:top w:val="nil"/>
              <w:left w:val="nil"/>
              <w:bottom w:val="single" w:sz="4" w:space="0" w:color="auto"/>
              <w:right w:val="single" w:sz="4" w:space="0" w:color="auto"/>
            </w:tcBorders>
            <w:shd w:val="clear" w:color="auto" w:fill="auto"/>
            <w:noWrap/>
            <w:vAlign w:val="center"/>
            <w:hideMark/>
          </w:tcPr>
          <w:p w14:paraId="06C1032E"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1.318</w:t>
            </w:r>
          </w:p>
        </w:tc>
        <w:tc>
          <w:tcPr>
            <w:tcW w:w="1134" w:type="dxa"/>
            <w:tcBorders>
              <w:top w:val="nil"/>
              <w:left w:val="nil"/>
              <w:bottom w:val="nil"/>
              <w:right w:val="single" w:sz="4" w:space="0" w:color="auto"/>
            </w:tcBorders>
            <w:shd w:val="clear" w:color="auto" w:fill="auto"/>
            <w:noWrap/>
            <w:vAlign w:val="center"/>
            <w:hideMark/>
          </w:tcPr>
          <w:p w14:paraId="35A3A36D"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48,95%</w:t>
            </w:r>
          </w:p>
        </w:tc>
        <w:tc>
          <w:tcPr>
            <w:tcW w:w="851" w:type="dxa"/>
            <w:tcBorders>
              <w:top w:val="nil"/>
              <w:left w:val="nil"/>
              <w:bottom w:val="single" w:sz="4" w:space="0" w:color="auto"/>
              <w:right w:val="single" w:sz="4" w:space="0" w:color="auto"/>
            </w:tcBorders>
            <w:shd w:val="clear" w:color="auto" w:fill="auto"/>
            <w:noWrap/>
            <w:vAlign w:val="center"/>
            <w:hideMark/>
          </w:tcPr>
          <w:p w14:paraId="61C14A69"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612</w:t>
            </w:r>
          </w:p>
        </w:tc>
        <w:tc>
          <w:tcPr>
            <w:tcW w:w="1134" w:type="dxa"/>
            <w:tcBorders>
              <w:top w:val="nil"/>
              <w:left w:val="nil"/>
              <w:bottom w:val="nil"/>
              <w:right w:val="single" w:sz="8" w:space="0" w:color="auto"/>
            </w:tcBorders>
            <w:shd w:val="clear" w:color="auto" w:fill="auto"/>
            <w:noWrap/>
            <w:vAlign w:val="center"/>
            <w:hideMark/>
          </w:tcPr>
          <w:p w14:paraId="4F5098BA"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22,74%</w:t>
            </w:r>
          </w:p>
        </w:tc>
      </w:tr>
      <w:tr w:rsidR="008B4625" w:rsidRPr="000E4CAF" w14:paraId="0613368F" w14:textId="77777777" w:rsidTr="008F6E8C">
        <w:trPr>
          <w:trHeight w:val="538"/>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33CE8FF4" w14:textId="77777777" w:rsidR="008B4625" w:rsidRPr="0067670F" w:rsidRDefault="008B4625" w:rsidP="008F6E8C">
            <w:pPr>
              <w:spacing w:after="0" w:line="240" w:lineRule="auto"/>
              <w:jc w:val="both"/>
              <w:rPr>
                <w:rFonts w:ascii="Arial" w:eastAsia="Times New Roman" w:hAnsi="Arial" w:cs="Arial"/>
                <w:sz w:val="18"/>
                <w:szCs w:val="18"/>
                <w:lang w:eastAsia="es-CO"/>
              </w:rPr>
            </w:pPr>
            <w:r w:rsidRPr="0067670F">
              <w:rPr>
                <w:rFonts w:ascii="Arial" w:eastAsia="Times New Roman" w:hAnsi="Arial" w:cs="Arial"/>
                <w:sz w:val="18"/>
                <w:szCs w:val="18"/>
                <w:lang w:eastAsia="es-CO"/>
              </w:rPr>
              <w:t>FORTALECIMIENTO DE LA POLÌTICA NACIONAL DE SEGURIDAD MINERA EN EL TERRITORIO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16755C22"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578</w:t>
            </w:r>
          </w:p>
        </w:tc>
        <w:tc>
          <w:tcPr>
            <w:tcW w:w="1134" w:type="dxa"/>
            <w:tcBorders>
              <w:top w:val="nil"/>
              <w:left w:val="nil"/>
              <w:bottom w:val="single" w:sz="4" w:space="0" w:color="auto"/>
              <w:right w:val="single" w:sz="4" w:space="0" w:color="auto"/>
            </w:tcBorders>
            <w:shd w:val="clear" w:color="auto" w:fill="auto"/>
            <w:noWrap/>
            <w:vAlign w:val="center"/>
            <w:hideMark/>
          </w:tcPr>
          <w:p w14:paraId="2F5C4BAF"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163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2D04F6C"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28,27%</w:t>
            </w:r>
          </w:p>
        </w:tc>
        <w:tc>
          <w:tcPr>
            <w:tcW w:w="851" w:type="dxa"/>
            <w:tcBorders>
              <w:top w:val="nil"/>
              <w:left w:val="nil"/>
              <w:bottom w:val="single" w:sz="4" w:space="0" w:color="auto"/>
              <w:right w:val="single" w:sz="4" w:space="0" w:color="auto"/>
            </w:tcBorders>
            <w:shd w:val="clear" w:color="auto" w:fill="auto"/>
            <w:noWrap/>
            <w:vAlign w:val="center"/>
            <w:hideMark/>
          </w:tcPr>
          <w:p w14:paraId="0C83835B"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92</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2C52F87A"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15,98%</w:t>
            </w:r>
          </w:p>
        </w:tc>
      </w:tr>
      <w:tr w:rsidR="008B4625" w:rsidRPr="000E4CAF" w14:paraId="4F39CBBF" w14:textId="77777777" w:rsidTr="008F6E8C">
        <w:trPr>
          <w:trHeight w:val="733"/>
        </w:trPr>
        <w:tc>
          <w:tcPr>
            <w:tcW w:w="4111" w:type="dxa"/>
            <w:tcBorders>
              <w:top w:val="nil"/>
              <w:left w:val="single" w:sz="8" w:space="0" w:color="auto"/>
              <w:bottom w:val="single" w:sz="4" w:space="0" w:color="auto"/>
              <w:right w:val="single" w:sz="8" w:space="0" w:color="auto"/>
            </w:tcBorders>
            <w:shd w:val="clear" w:color="000000" w:fill="FFFFFF"/>
            <w:vAlign w:val="center"/>
            <w:hideMark/>
          </w:tcPr>
          <w:p w14:paraId="2A20B2CD" w14:textId="77777777" w:rsidR="008B4625" w:rsidRPr="0067670F" w:rsidRDefault="008B4625" w:rsidP="008F6E8C">
            <w:pPr>
              <w:spacing w:after="0" w:line="240" w:lineRule="auto"/>
              <w:jc w:val="both"/>
              <w:rPr>
                <w:rFonts w:ascii="Arial" w:eastAsia="Times New Roman" w:hAnsi="Arial" w:cs="Arial"/>
                <w:sz w:val="18"/>
                <w:szCs w:val="18"/>
                <w:lang w:eastAsia="es-CO"/>
              </w:rPr>
            </w:pPr>
            <w:r w:rsidRPr="0067670F">
              <w:rPr>
                <w:rFonts w:ascii="Arial" w:eastAsia="Times New Roman" w:hAnsi="Arial" w:cs="Arial"/>
                <w:sz w:val="18"/>
                <w:szCs w:val="18"/>
                <w:lang w:eastAsia="es-CO"/>
              </w:rPr>
              <w:t>APOYO PARA LA GENERACIÓN DE ACCESO AL CRÉDITO PARA LA PEQUEÑA MINERIA A NIVEL NACIONAL</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14:paraId="43783010"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71</w:t>
            </w:r>
          </w:p>
        </w:tc>
        <w:tc>
          <w:tcPr>
            <w:tcW w:w="1134" w:type="dxa"/>
            <w:tcBorders>
              <w:top w:val="nil"/>
              <w:left w:val="nil"/>
              <w:bottom w:val="single" w:sz="4" w:space="0" w:color="auto"/>
              <w:right w:val="single" w:sz="4" w:space="0" w:color="auto"/>
            </w:tcBorders>
            <w:shd w:val="clear" w:color="auto" w:fill="auto"/>
            <w:noWrap/>
            <w:vAlign w:val="center"/>
            <w:hideMark/>
          </w:tcPr>
          <w:p w14:paraId="74D89FE0"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60</w:t>
            </w:r>
          </w:p>
        </w:tc>
        <w:tc>
          <w:tcPr>
            <w:tcW w:w="1134" w:type="dxa"/>
            <w:tcBorders>
              <w:top w:val="nil"/>
              <w:left w:val="nil"/>
              <w:bottom w:val="single" w:sz="4" w:space="0" w:color="auto"/>
              <w:right w:val="single" w:sz="4" w:space="0" w:color="auto"/>
            </w:tcBorders>
            <w:shd w:val="clear" w:color="auto" w:fill="auto"/>
            <w:noWrap/>
            <w:vAlign w:val="center"/>
            <w:hideMark/>
          </w:tcPr>
          <w:p w14:paraId="357A569A"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83,89%</w:t>
            </w:r>
          </w:p>
        </w:tc>
        <w:tc>
          <w:tcPr>
            <w:tcW w:w="851" w:type="dxa"/>
            <w:tcBorders>
              <w:top w:val="nil"/>
              <w:left w:val="nil"/>
              <w:bottom w:val="single" w:sz="4" w:space="0" w:color="auto"/>
              <w:right w:val="single" w:sz="4" w:space="0" w:color="auto"/>
            </w:tcBorders>
            <w:shd w:val="clear" w:color="auto" w:fill="auto"/>
            <w:noWrap/>
            <w:vAlign w:val="center"/>
            <w:hideMark/>
          </w:tcPr>
          <w:p w14:paraId="31592019"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60</w:t>
            </w:r>
          </w:p>
        </w:tc>
        <w:tc>
          <w:tcPr>
            <w:tcW w:w="1134" w:type="dxa"/>
            <w:tcBorders>
              <w:top w:val="nil"/>
              <w:left w:val="nil"/>
              <w:bottom w:val="single" w:sz="4" w:space="0" w:color="auto"/>
              <w:right w:val="single" w:sz="8" w:space="0" w:color="auto"/>
            </w:tcBorders>
            <w:shd w:val="clear" w:color="auto" w:fill="auto"/>
            <w:noWrap/>
            <w:vAlign w:val="center"/>
            <w:hideMark/>
          </w:tcPr>
          <w:p w14:paraId="433123DE" w14:textId="77777777" w:rsidR="008B4625" w:rsidRPr="0067670F" w:rsidRDefault="008B4625" w:rsidP="008F6E8C">
            <w:pPr>
              <w:spacing w:after="0" w:line="240" w:lineRule="auto"/>
              <w:jc w:val="center"/>
              <w:rPr>
                <w:rFonts w:ascii="Arial" w:eastAsia="Times New Roman" w:hAnsi="Arial" w:cs="Arial"/>
                <w:sz w:val="18"/>
                <w:szCs w:val="18"/>
                <w:lang w:eastAsia="es-CO"/>
              </w:rPr>
            </w:pPr>
            <w:r w:rsidRPr="0067670F">
              <w:rPr>
                <w:rFonts w:ascii="Arial" w:eastAsia="Times New Roman" w:hAnsi="Arial" w:cs="Arial"/>
                <w:sz w:val="18"/>
                <w:szCs w:val="18"/>
                <w:lang w:eastAsia="es-CO"/>
              </w:rPr>
              <w:t>83,89%</w:t>
            </w:r>
          </w:p>
        </w:tc>
      </w:tr>
      <w:tr w:rsidR="008B4625" w:rsidRPr="000E4CAF" w14:paraId="62079B3A" w14:textId="77777777" w:rsidTr="008F6E8C">
        <w:trPr>
          <w:trHeight w:val="385"/>
        </w:trPr>
        <w:tc>
          <w:tcPr>
            <w:tcW w:w="4111" w:type="dxa"/>
            <w:tcBorders>
              <w:top w:val="nil"/>
              <w:left w:val="single" w:sz="8" w:space="0" w:color="auto"/>
              <w:bottom w:val="single" w:sz="8" w:space="0" w:color="auto"/>
              <w:right w:val="single" w:sz="8" w:space="0" w:color="auto"/>
            </w:tcBorders>
            <w:shd w:val="clear" w:color="000000" w:fill="16365C"/>
            <w:vAlign w:val="center"/>
            <w:hideMark/>
          </w:tcPr>
          <w:p w14:paraId="774A3EE4" w14:textId="77777777" w:rsidR="008B4625" w:rsidRPr="0067670F" w:rsidRDefault="008B4625" w:rsidP="008F6E8C">
            <w:pPr>
              <w:spacing w:after="0" w:line="240" w:lineRule="auto"/>
              <w:jc w:val="center"/>
              <w:rPr>
                <w:rFonts w:ascii="Arial" w:eastAsia="Times New Roman" w:hAnsi="Arial" w:cs="Arial"/>
                <w:b/>
                <w:bCs/>
                <w:color w:val="FFFFFF"/>
                <w:sz w:val="18"/>
                <w:szCs w:val="18"/>
                <w:lang w:eastAsia="es-CO"/>
              </w:rPr>
            </w:pPr>
            <w:r w:rsidRPr="0067670F">
              <w:rPr>
                <w:rFonts w:ascii="Arial" w:eastAsia="Times New Roman" w:hAnsi="Arial" w:cs="Arial"/>
                <w:b/>
                <w:bCs/>
                <w:color w:val="FFFFFF"/>
                <w:sz w:val="18"/>
                <w:szCs w:val="18"/>
                <w:lang w:eastAsia="es-CO"/>
              </w:rPr>
              <w:t xml:space="preserve">Subtotal Formalización minera </w:t>
            </w:r>
          </w:p>
        </w:tc>
        <w:tc>
          <w:tcPr>
            <w:tcW w:w="1134" w:type="dxa"/>
            <w:tcBorders>
              <w:top w:val="nil"/>
              <w:left w:val="nil"/>
              <w:bottom w:val="single" w:sz="8" w:space="0" w:color="auto"/>
              <w:right w:val="single" w:sz="4" w:space="0" w:color="auto"/>
            </w:tcBorders>
            <w:shd w:val="clear" w:color="000000" w:fill="16365C"/>
            <w:noWrap/>
            <w:vAlign w:val="center"/>
            <w:hideMark/>
          </w:tcPr>
          <w:p w14:paraId="765BAF3B" w14:textId="77777777" w:rsidR="008B4625" w:rsidRPr="0067670F" w:rsidRDefault="008B4625" w:rsidP="008F6E8C">
            <w:pPr>
              <w:spacing w:after="0" w:line="240" w:lineRule="auto"/>
              <w:jc w:val="center"/>
              <w:rPr>
                <w:rFonts w:ascii="Arial" w:eastAsia="Times New Roman" w:hAnsi="Arial" w:cs="Arial"/>
                <w:b/>
                <w:bCs/>
                <w:color w:val="FFFFFF"/>
                <w:sz w:val="18"/>
                <w:szCs w:val="18"/>
                <w:lang w:eastAsia="es-CO"/>
              </w:rPr>
            </w:pPr>
            <w:r w:rsidRPr="0067670F">
              <w:rPr>
                <w:rFonts w:ascii="Arial" w:eastAsia="Times New Roman" w:hAnsi="Arial" w:cs="Arial"/>
                <w:b/>
                <w:bCs/>
                <w:color w:val="FFFFFF"/>
                <w:sz w:val="18"/>
                <w:szCs w:val="18"/>
                <w:lang w:eastAsia="es-CO"/>
              </w:rPr>
              <w:t>17.119</w:t>
            </w:r>
          </w:p>
        </w:tc>
        <w:tc>
          <w:tcPr>
            <w:tcW w:w="1134" w:type="dxa"/>
            <w:tcBorders>
              <w:top w:val="nil"/>
              <w:left w:val="nil"/>
              <w:bottom w:val="single" w:sz="8" w:space="0" w:color="auto"/>
              <w:right w:val="single" w:sz="4" w:space="0" w:color="auto"/>
            </w:tcBorders>
            <w:shd w:val="clear" w:color="000000" w:fill="16365C"/>
            <w:noWrap/>
            <w:vAlign w:val="center"/>
            <w:hideMark/>
          </w:tcPr>
          <w:p w14:paraId="365E54C2" w14:textId="77777777" w:rsidR="008B4625" w:rsidRPr="0067670F" w:rsidRDefault="008B4625" w:rsidP="008F6E8C">
            <w:pPr>
              <w:spacing w:after="0" w:line="240" w:lineRule="auto"/>
              <w:jc w:val="center"/>
              <w:rPr>
                <w:rFonts w:ascii="Arial" w:eastAsia="Times New Roman" w:hAnsi="Arial" w:cs="Arial"/>
                <w:b/>
                <w:bCs/>
                <w:color w:val="FFFFFF"/>
                <w:sz w:val="18"/>
                <w:szCs w:val="18"/>
                <w:lang w:eastAsia="es-CO"/>
              </w:rPr>
            </w:pPr>
            <w:r w:rsidRPr="0067670F">
              <w:rPr>
                <w:rFonts w:ascii="Arial" w:eastAsia="Times New Roman" w:hAnsi="Arial" w:cs="Arial"/>
                <w:b/>
                <w:bCs/>
                <w:color w:val="FFFFFF"/>
                <w:sz w:val="18"/>
                <w:szCs w:val="18"/>
                <w:lang w:eastAsia="es-CO"/>
              </w:rPr>
              <w:t>8.124</w:t>
            </w:r>
          </w:p>
        </w:tc>
        <w:tc>
          <w:tcPr>
            <w:tcW w:w="1134" w:type="dxa"/>
            <w:tcBorders>
              <w:top w:val="nil"/>
              <w:left w:val="nil"/>
              <w:bottom w:val="single" w:sz="8" w:space="0" w:color="auto"/>
              <w:right w:val="single" w:sz="4" w:space="0" w:color="auto"/>
            </w:tcBorders>
            <w:shd w:val="clear" w:color="000000" w:fill="16365C"/>
            <w:vAlign w:val="center"/>
            <w:hideMark/>
          </w:tcPr>
          <w:p w14:paraId="5BE666B9" w14:textId="77777777" w:rsidR="008B4625" w:rsidRPr="0067670F" w:rsidRDefault="008B4625" w:rsidP="008F6E8C">
            <w:pPr>
              <w:spacing w:after="0" w:line="240" w:lineRule="auto"/>
              <w:jc w:val="center"/>
              <w:rPr>
                <w:rFonts w:ascii="Arial" w:eastAsia="Times New Roman" w:hAnsi="Arial" w:cs="Arial"/>
                <w:b/>
                <w:bCs/>
                <w:color w:val="FFFFFF"/>
                <w:sz w:val="18"/>
                <w:szCs w:val="18"/>
                <w:lang w:eastAsia="es-CO"/>
              </w:rPr>
            </w:pPr>
            <w:r w:rsidRPr="0067670F">
              <w:rPr>
                <w:rFonts w:ascii="Arial" w:eastAsia="Times New Roman" w:hAnsi="Arial" w:cs="Arial"/>
                <w:b/>
                <w:bCs/>
                <w:color w:val="FFFFFF"/>
                <w:sz w:val="18"/>
                <w:szCs w:val="18"/>
                <w:lang w:eastAsia="es-CO"/>
              </w:rPr>
              <w:t>47,45%</w:t>
            </w:r>
          </w:p>
        </w:tc>
        <w:tc>
          <w:tcPr>
            <w:tcW w:w="851" w:type="dxa"/>
            <w:tcBorders>
              <w:top w:val="nil"/>
              <w:left w:val="nil"/>
              <w:bottom w:val="single" w:sz="8" w:space="0" w:color="auto"/>
              <w:right w:val="single" w:sz="4" w:space="0" w:color="auto"/>
            </w:tcBorders>
            <w:shd w:val="clear" w:color="000000" w:fill="16365C"/>
            <w:noWrap/>
            <w:vAlign w:val="center"/>
            <w:hideMark/>
          </w:tcPr>
          <w:p w14:paraId="30FFB5A7" w14:textId="77777777" w:rsidR="008B4625" w:rsidRPr="0067670F" w:rsidRDefault="008B4625" w:rsidP="008F6E8C">
            <w:pPr>
              <w:spacing w:after="0" w:line="240" w:lineRule="auto"/>
              <w:jc w:val="center"/>
              <w:rPr>
                <w:rFonts w:ascii="Arial" w:eastAsia="Times New Roman" w:hAnsi="Arial" w:cs="Arial"/>
                <w:b/>
                <w:bCs/>
                <w:color w:val="FFFFFF"/>
                <w:sz w:val="18"/>
                <w:szCs w:val="18"/>
                <w:lang w:eastAsia="es-CO"/>
              </w:rPr>
            </w:pPr>
            <w:r w:rsidRPr="0067670F">
              <w:rPr>
                <w:rFonts w:ascii="Arial" w:eastAsia="Times New Roman" w:hAnsi="Arial" w:cs="Arial"/>
                <w:b/>
                <w:bCs/>
                <w:color w:val="FFFFFF"/>
                <w:sz w:val="18"/>
                <w:szCs w:val="18"/>
                <w:lang w:eastAsia="es-CO"/>
              </w:rPr>
              <w:t>7.334</w:t>
            </w:r>
          </w:p>
        </w:tc>
        <w:tc>
          <w:tcPr>
            <w:tcW w:w="1134" w:type="dxa"/>
            <w:tcBorders>
              <w:top w:val="nil"/>
              <w:left w:val="nil"/>
              <w:bottom w:val="single" w:sz="8" w:space="0" w:color="auto"/>
              <w:right w:val="single" w:sz="4" w:space="0" w:color="auto"/>
            </w:tcBorders>
            <w:shd w:val="clear" w:color="000000" w:fill="16365C"/>
            <w:vAlign w:val="center"/>
            <w:hideMark/>
          </w:tcPr>
          <w:p w14:paraId="5CE89777" w14:textId="77777777" w:rsidR="008B4625" w:rsidRPr="0067670F" w:rsidRDefault="008B4625" w:rsidP="008F6E8C">
            <w:pPr>
              <w:spacing w:after="0" w:line="240" w:lineRule="auto"/>
              <w:jc w:val="center"/>
              <w:rPr>
                <w:rFonts w:ascii="Arial" w:eastAsia="Times New Roman" w:hAnsi="Arial" w:cs="Arial"/>
                <w:b/>
                <w:bCs/>
                <w:color w:val="FFFFFF"/>
                <w:sz w:val="18"/>
                <w:szCs w:val="18"/>
                <w:lang w:eastAsia="es-CO"/>
              </w:rPr>
            </w:pPr>
            <w:r w:rsidRPr="0067670F">
              <w:rPr>
                <w:rFonts w:ascii="Arial" w:eastAsia="Times New Roman" w:hAnsi="Arial" w:cs="Arial"/>
                <w:b/>
                <w:bCs/>
                <w:color w:val="FFFFFF"/>
                <w:sz w:val="18"/>
                <w:szCs w:val="18"/>
                <w:lang w:eastAsia="es-CO"/>
              </w:rPr>
              <w:t>42,84%</w:t>
            </w:r>
          </w:p>
        </w:tc>
      </w:tr>
    </w:tbl>
    <w:p w14:paraId="3C4ABC63" w14:textId="77777777" w:rsidR="008B4625" w:rsidRPr="008B4625" w:rsidRDefault="008B4625" w:rsidP="008B4625">
      <w:pPr>
        <w:spacing w:after="0" w:line="240" w:lineRule="auto"/>
        <w:jc w:val="center"/>
        <w:rPr>
          <w:rFonts w:ascii="Arial" w:eastAsia="Times New Roman" w:hAnsi="Arial" w:cs="Arial"/>
          <w:noProof/>
          <w:color w:val="002060"/>
          <w:sz w:val="18"/>
          <w:szCs w:val="18"/>
          <w:lang w:eastAsia="es-CO"/>
        </w:rPr>
      </w:pPr>
      <w:r w:rsidRPr="008B4625">
        <w:rPr>
          <w:rFonts w:ascii="Arial" w:eastAsia="Times New Roman" w:hAnsi="Arial" w:cs="Arial"/>
          <w:noProof/>
          <w:sz w:val="18"/>
          <w:szCs w:val="18"/>
          <w:lang w:eastAsia="es-CO"/>
        </w:rPr>
        <w:t>Cifras en millones de pesos</w:t>
      </w:r>
    </w:p>
    <w:p w14:paraId="1A29ECE5" w14:textId="77777777" w:rsidR="008B4625" w:rsidRPr="008B4625" w:rsidRDefault="008B4625" w:rsidP="008B4625">
      <w:pPr>
        <w:spacing w:after="0" w:line="240" w:lineRule="auto"/>
        <w:jc w:val="center"/>
        <w:rPr>
          <w:rFonts w:ascii="Arial" w:eastAsia="Calibri" w:hAnsi="Arial" w:cs="Arial"/>
        </w:rPr>
      </w:pPr>
      <w:r w:rsidRPr="008B4625">
        <w:rPr>
          <w:rFonts w:ascii="Arial" w:eastAsia="Calibri" w:hAnsi="Arial" w:cs="Arial"/>
          <w:sz w:val="16"/>
          <w:szCs w:val="16"/>
        </w:rPr>
        <w:t>Fuente: SIIF Nación</w:t>
      </w:r>
    </w:p>
    <w:p w14:paraId="42F7F316" w14:textId="77777777" w:rsidR="00C02282" w:rsidRPr="006A67B4" w:rsidRDefault="00C02282" w:rsidP="00C02282">
      <w:pPr>
        <w:spacing w:after="0" w:line="240" w:lineRule="auto"/>
        <w:rPr>
          <w:rFonts w:ascii="Arial" w:eastAsia="Calibri" w:hAnsi="Arial" w:cs="Arial"/>
          <w:sz w:val="16"/>
          <w:szCs w:val="16"/>
          <w:highlight w:val="yellow"/>
        </w:rPr>
      </w:pPr>
    </w:p>
    <w:p w14:paraId="25D1778F" w14:textId="30CCEDFE" w:rsidR="00C02282" w:rsidRDefault="008B4625" w:rsidP="008B4625">
      <w:pPr>
        <w:spacing w:after="0" w:line="240" w:lineRule="auto"/>
        <w:jc w:val="both"/>
        <w:rPr>
          <w:rFonts w:ascii="Arial" w:eastAsia="Times New Roman" w:hAnsi="Arial" w:cs="Arial"/>
          <w:b/>
          <w:szCs w:val="16"/>
          <w:highlight w:val="yellow"/>
          <w:lang w:val="es-ES" w:eastAsia="es-ES"/>
        </w:rPr>
      </w:pPr>
      <w:r w:rsidRPr="007C6C2D">
        <w:rPr>
          <w:rFonts w:ascii="Arial" w:eastAsia="Arial" w:hAnsi="Arial" w:cs="Arial"/>
        </w:rPr>
        <w:t xml:space="preserve">Como se puede observar en el cuadro anterior la Dirección de Formalización Minera, ejecutó un </w:t>
      </w:r>
      <w:r>
        <w:rPr>
          <w:rFonts w:ascii="Arial" w:eastAsia="Arial" w:hAnsi="Arial" w:cs="Arial"/>
        </w:rPr>
        <w:t>42,84% en</w:t>
      </w:r>
      <w:r w:rsidRPr="007C6C2D">
        <w:rPr>
          <w:rFonts w:ascii="Arial" w:eastAsia="Arial" w:hAnsi="Arial" w:cs="Arial"/>
        </w:rPr>
        <w:t xml:space="preserve"> pagos de sus reservas constituidas, resaltando el pago del proyecto de bancarización c</w:t>
      </w:r>
      <w:r>
        <w:rPr>
          <w:rFonts w:ascii="Arial" w:eastAsia="Arial" w:hAnsi="Arial" w:cs="Arial"/>
        </w:rPr>
        <w:t>o</w:t>
      </w:r>
      <w:r w:rsidRPr="007C6C2D">
        <w:rPr>
          <w:rFonts w:ascii="Arial" w:eastAsia="Arial" w:hAnsi="Arial" w:cs="Arial"/>
        </w:rPr>
        <w:t xml:space="preserve">n una ejecución del </w:t>
      </w:r>
      <w:r>
        <w:rPr>
          <w:rFonts w:ascii="Arial" w:eastAsia="Arial" w:hAnsi="Arial" w:cs="Arial"/>
        </w:rPr>
        <w:t>83,89</w:t>
      </w:r>
      <w:r w:rsidRPr="007C6C2D">
        <w:rPr>
          <w:rFonts w:ascii="Arial" w:eastAsia="Arial" w:hAnsi="Arial" w:cs="Arial"/>
        </w:rPr>
        <w:t xml:space="preserve">%. </w:t>
      </w:r>
    </w:p>
    <w:p w14:paraId="079968F5" w14:textId="77777777" w:rsidR="008B4625" w:rsidRDefault="008B4625" w:rsidP="00C02282">
      <w:pPr>
        <w:spacing w:after="0" w:line="240" w:lineRule="auto"/>
        <w:rPr>
          <w:rFonts w:ascii="Arial" w:eastAsia="Times New Roman" w:hAnsi="Arial" w:cs="Arial"/>
          <w:b/>
          <w:szCs w:val="16"/>
          <w:highlight w:val="yellow"/>
          <w:lang w:val="es-ES" w:eastAsia="es-ES"/>
        </w:rPr>
      </w:pPr>
    </w:p>
    <w:p w14:paraId="28B5F734" w14:textId="49019743" w:rsidR="008B4625" w:rsidRDefault="008B4625" w:rsidP="008B4625">
      <w:pPr>
        <w:pStyle w:val="Descripcin"/>
        <w:keepNext/>
        <w:jc w:val="center"/>
      </w:pPr>
      <w:bookmarkStart w:id="61" w:name="_Toc525652478"/>
      <w:r>
        <w:t xml:space="preserve">Tabla </w:t>
      </w:r>
      <w:r>
        <w:fldChar w:fldCharType="begin"/>
      </w:r>
      <w:r>
        <w:instrText xml:space="preserve"> SEQ Tabla \* ARABIC </w:instrText>
      </w:r>
      <w:r>
        <w:fldChar w:fldCharType="separate"/>
      </w:r>
      <w:r>
        <w:rPr>
          <w:noProof/>
        </w:rPr>
        <w:t>32</w:t>
      </w:r>
      <w:r>
        <w:fldChar w:fldCharType="end"/>
      </w:r>
      <w:r>
        <w:t xml:space="preserve"> </w:t>
      </w:r>
      <w:r w:rsidRPr="00830510">
        <w:t xml:space="preserve">Ejecución de Reservas Presupuestales Dirección de  Minera </w:t>
      </w:r>
      <w:r>
        <w:t xml:space="preserve">Empresarial </w:t>
      </w:r>
      <w:r w:rsidRPr="00830510">
        <w:t>MME</w:t>
      </w:r>
      <w:bookmarkEnd w:id="61"/>
    </w:p>
    <w:tbl>
      <w:tblPr>
        <w:tblW w:w="9634" w:type="dxa"/>
        <w:tblLayout w:type="fixed"/>
        <w:tblCellMar>
          <w:left w:w="70" w:type="dxa"/>
          <w:right w:w="70" w:type="dxa"/>
        </w:tblCellMar>
        <w:tblLook w:val="04A0" w:firstRow="1" w:lastRow="0" w:firstColumn="1" w:lastColumn="0" w:noHBand="0" w:noVBand="1"/>
      </w:tblPr>
      <w:tblGrid>
        <w:gridCol w:w="4243"/>
        <w:gridCol w:w="992"/>
        <w:gridCol w:w="1134"/>
        <w:gridCol w:w="1134"/>
        <w:gridCol w:w="851"/>
        <w:gridCol w:w="1280"/>
      </w:tblGrid>
      <w:tr w:rsidR="008B4625" w:rsidRPr="000E4CAF" w14:paraId="616FA256" w14:textId="77777777" w:rsidTr="008F6E8C">
        <w:trPr>
          <w:trHeight w:val="580"/>
        </w:trPr>
        <w:tc>
          <w:tcPr>
            <w:tcW w:w="4243" w:type="dxa"/>
            <w:tcBorders>
              <w:top w:val="single" w:sz="8" w:space="0" w:color="auto"/>
              <w:left w:val="single" w:sz="8" w:space="0" w:color="auto"/>
              <w:bottom w:val="single" w:sz="8" w:space="0" w:color="auto"/>
              <w:right w:val="single" w:sz="8" w:space="0" w:color="auto"/>
            </w:tcBorders>
            <w:shd w:val="clear" w:color="000000" w:fill="16365C"/>
            <w:vAlign w:val="center"/>
            <w:hideMark/>
          </w:tcPr>
          <w:p w14:paraId="22A4CEE2"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Proyecto</w:t>
            </w:r>
          </w:p>
        </w:tc>
        <w:tc>
          <w:tcPr>
            <w:tcW w:w="992" w:type="dxa"/>
            <w:tcBorders>
              <w:top w:val="single" w:sz="8" w:space="0" w:color="auto"/>
              <w:left w:val="nil"/>
              <w:bottom w:val="single" w:sz="8" w:space="0" w:color="auto"/>
              <w:right w:val="single" w:sz="4" w:space="0" w:color="auto"/>
            </w:tcBorders>
            <w:shd w:val="clear" w:color="000000" w:fill="16365C"/>
            <w:vAlign w:val="center"/>
            <w:hideMark/>
          </w:tcPr>
          <w:p w14:paraId="27A18447"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Reservas</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A5C58E7"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 xml:space="preserve">Obligado </w:t>
            </w:r>
          </w:p>
        </w:tc>
        <w:tc>
          <w:tcPr>
            <w:tcW w:w="1134"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43CB9033"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 xml:space="preserve">% </w:t>
            </w:r>
            <w:proofErr w:type="spellStart"/>
            <w:r w:rsidRPr="00F15DAD">
              <w:rPr>
                <w:rFonts w:ascii="Arial" w:eastAsia="Times New Roman" w:hAnsi="Arial" w:cs="Arial"/>
                <w:b/>
                <w:bCs/>
                <w:color w:val="FFFFFF"/>
                <w:sz w:val="18"/>
                <w:szCs w:val="18"/>
                <w:lang w:eastAsia="es-CO"/>
              </w:rPr>
              <w:t>Oblig</w:t>
            </w:r>
            <w:proofErr w:type="spellEnd"/>
            <w:r w:rsidRPr="00F15DAD">
              <w:rPr>
                <w:rFonts w:ascii="Arial" w:eastAsia="Times New Roman" w:hAnsi="Arial" w:cs="Arial"/>
                <w:b/>
                <w:bCs/>
                <w:color w:val="FFFFFF"/>
                <w:sz w:val="18"/>
                <w:szCs w:val="18"/>
                <w:lang w:eastAsia="es-CO"/>
              </w:rPr>
              <w:t>.        /Reservas</w:t>
            </w:r>
          </w:p>
        </w:tc>
        <w:tc>
          <w:tcPr>
            <w:tcW w:w="851"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367DF26"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Pagos</w:t>
            </w:r>
          </w:p>
        </w:tc>
        <w:tc>
          <w:tcPr>
            <w:tcW w:w="1280" w:type="dxa"/>
            <w:tcBorders>
              <w:top w:val="single" w:sz="8" w:space="0" w:color="auto"/>
              <w:left w:val="single" w:sz="8" w:space="0" w:color="auto"/>
              <w:bottom w:val="single" w:sz="8" w:space="0" w:color="auto"/>
              <w:right w:val="single" w:sz="4" w:space="0" w:color="auto"/>
            </w:tcBorders>
            <w:shd w:val="clear" w:color="000000" w:fill="16365C"/>
            <w:vAlign w:val="center"/>
            <w:hideMark/>
          </w:tcPr>
          <w:p w14:paraId="72E8A0D9"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 Pagos        /Reservas</w:t>
            </w:r>
          </w:p>
        </w:tc>
      </w:tr>
      <w:tr w:rsidR="008B4625" w:rsidRPr="000E4CAF" w14:paraId="2E66ED11" w14:textId="77777777" w:rsidTr="008F6E8C">
        <w:trPr>
          <w:trHeight w:val="962"/>
        </w:trPr>
        <w:tc>
          <w:tcPr>
            <w:tcW w:w="424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2B3A0AD" w14:textId="77777777" w:rsidR="008B4625" w:rsidRPr="00F15DAD" w:rsidRDefault="008B4625" w:rsidP="008F6E8C">
            <w:pPr>
              <w:spacing w:after="0" w:line="240" w:lineRule="auto"/>
              <w:jc w:val="both"/>
              <w:rPr>
                <w:rFonts w:ascii="Arial" w:eastAsia="Times New Roman" w:hAnsi="Arial" w:cs="Arial"/>
                <w:sz w:val="18"/>
                <w:szCs w:val="18"/>
                <w:lang w:eastAsia="es-CO"/>
              </w:rPr>
            </w:pPr>
            <w:r w:rsidRPr="00F15DAD">
              <w:rPr>
                <w:rFonts w:ascii="Arial" w:eastAsia="Times New Roman" w:hAnsi="Arial" w:cs="Arial"/>
                <w:sz w:val="18"/>
                <w:szCs w:val="18"/>
                <w:lang w:eastAsia="es-CO"/>
              </w:rPr>
              <w:t>MEJORAMIENTO DE LA IMAGEN Y PERCEPCIÓN DE LA INDUSTRIA MINERA PARA FACILITAR LA PUESTA EN MARCHA DE LOS PROYECTOS MINEROS EN EL TERRITORIO NACIONAL</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27C1C0"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256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409F5E"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241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2EB0F7"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94,25%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C47C913"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241</w:t>
            </w:r>
          </w:p>
        </w:tc>
        <w:tc>
          <w:tcPr>
            <w:tcW w:w="1280" w:type="dxa"/>
            <w:tcBorders>
              <w:top w:val="single" w:sz="4" w:space="0" w:color="auto"/>
              <w:left w:val="nil"/>
              <w:bottom w:val="single" w:sz="4" w:space="0" w:color="auto"/>
              <w:right w:val="single" w:sz="8" w:space="0" w:color="auto"/>
            </w:tcBorders>
            <w:shd w:val="clear" w:color="auto" w:fill="auto"/>
            <w:noWrap/>
            <w:vAlign w:val="center"/>
            <w:hideMark/>
          </w:tcPr>
          <w:p w14:paraId="48F9B378"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94,25%</w:t>
            </w:r>
          </w:p>
        </w:tc>
      </w:tr>
      <w:tr w:rsidR="008B4625" w:rsidRPr="000E4CAF" w14:paraId="031718DA" w14:textId="77777777" w:rsidTr="008F6E8C">
        <w:trPr>
          <w:trHeight w:val="312"/>
        </w:trPr>
        <w:tc>
          <w:tcPr>
            <w:tcW w:w="4243" w:type="dxa"/>
            <w:tcBorders>
              <w:top w:val="nil"/>
              <w:left w:val="single" w:sz="8" w:space="0" w:color="auto"/>
              <w:bottom w:val="nil"/>
              <w:right w:val="single" w:sz="8" w:space="0" w:color="auto"/>
            </w:tcBorders>
            <w:shd w:val="clear" w:color="auto" w:fill="auto"/>
            <w:vAlign w:val="center"/>
            <w:hideMark/>
          </w:tcPr>
          <w:p w14:paraId="3DA18349" w14:textId="77777777" w:rsidR="008B4625" w:rsidRPr="00F15DAD" w:rsidRDefault="008B4625" w:rsidP="008F6E8C">
            <w:pPr>
              <w:spacing w:after="0" w:line="240" w:lineRule="auto"/>
              <w:jc w:val="both"/>
              <w:rPr>
                <w:rFonts w:ascii="Arial" w:eastAsia="Times New Roman" w:hAnsi="Arial" w:cs="Arial"/>
                <w:sz w:val="18"/>
                <w:szCs w:val="18"/>
                <w:lang w:eastAsia="es-CO"/>
              </w:rPr>
            </w:pPr>
            <w:r w:rsidRPr="00F15DAD">
              <w:rPr>
                <w:rFonts w:ascii="Arial" w:eastAsia="Times New Roman" w:hAnsi="Arial" w:cs="Arial"/>
                <w:sz w:val="18"/>
                <w:szCs w:val="18"/>
                <w:lang w:eastAsia="es-CO"/>
              </w:rPr>
              <w:t>FORTALECIMIENTO DE LA COMPETITIVIDAD EN LA INDUSTRIA MINERA EN LOS DEPARTAMENTOS DE CUNDINAMARCA, BOYACA Y NORTE DE SANTANDER</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83666C0"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292</w:t>
            </w:r>
          </w:p>
        </w:tc>
        <w:tc>
          <w:tcPr>
            <w:tcW w:w="1134" w:type="dxa"/>
            <w:tcBorders>
              <w:top w:val="nil"/>
              <w:left w:val="nil"/>
              <w:bottom w:val="single" w:sz="4" w:space="0" w:color="auto"/>
              <w:right w:val="single" w:sz="4" w:space="0" w:color="auto"/>
            </w:tcBorders>
            <w:shd w:val="clear" w:color="auto" w:fill="auto"/>
            <w:noWrap/>
            <w:vAlign w:val="center"/>
            <w:hideMark/>
          </w:tcPr>
          <w:p w14:paraId="5A10CEC8"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286</w:t>
            </w:r>
          </w:p>
        </w:tc>
        <w:tc>
          <w:tcPr>
            <w:tcW w:w="1134" w:type="dxa"/>
            <w:tcBorders>
              <w:top w:val="nil"/>
              <w:left w:val="nil"/>
              <w:bottom w:val="single" w:sz="4" w:space="0" w:color="auto"/>
              <w:right w:val="single" w:sz="4" w:space="0" w:color="auto"/>
            </w:tcBorders>
            <w:shd w:val="clear" w:color="auto" w:fill="auto"/>
            <w:noWrap/>
            <w:vAlign w:val="center"/>
            <w:hideMark/>
          </w:tcPr>
          <w:p w14:paraId="51D9B263"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97,95%</w:t>
            </w:r>
          </w:p>
        </w:tc>
        <w:tc>
          <w:tcPr>
            <w:tcW w:w="851" w:type="dxa"/>
            <w:tcBorders>
              <w:top w:val="nil"/>
              <w:left w:val="nil"/>
              <w:bottom w:val="single" w:sz="4" w:space="0" w:color="auto"/>
              <w:right w:val="single" w:sz="4" w:space="0" w:color="auto"/>
            </w:tcBorders>
            <w:shd w:val="clear" w:color="auto" w:fill="auto"/>
            <w:noWrap/>
            <w:vAlign w:val="center"/>
            <w:hideMark/>
          </w:tcPr>
          <w:p w14:paraId="279D50BD"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286</w:t>
            </w:r>
          </w:p>
        </w:tc>
        <w:tc>
          <w:tcPr>
            <w:tcW w:w="1280" w:type="dxa"/>
            <w:tcBorders>
              <w:top w:val="nil"/>
              <w:left w:val="nil"/>
              <w:bottom w:val="single" w:sz="4" w:space="0" w:color="auto"/>
              <w:right w:val="single" w:sz="8" w:space="0" w:color="auto"/>
            </w:tcBorders>
            <w:shd w:val="clear" w:color="auto" w:fill="auto"/>
            <w:noWrap/>
            <w:vAlign w:val="center"/>
            <w:hideMark/>
          </w:tcPr>
          <w:p w14:paraId="592F3528" w14:textId="77777777" w:rsidR="008B4625" w:rsidRPr="00F15DAD" w:rsidRDefault="008B4625" w:rsidP="008F6E8C">
            <w:pPr>
              <w:spacing w:after="0" w:line="240" w:lineRule="auto"/>
              <w:jc w:val="center"/>
              <w:rPr>
                <w:rFonts w:ascii="Arial" w:eastAsia="Times New Roman" w:hAnsi="Arial" w:cs="Arial"/>
                <w:sz w:val="18"/>
                <w:szCs w:val="18"/>
                <w:lang w:eastAsia="es-CO"/>
              </w:rPr>
            </w:pPr>
            <w:r w:rsidRPr="00F15DAD">
              <w:rPr>
                <w:rFonts w:ascii="Arial" w:eastAsia="Times New Roman" w:hAnsi="Arial" w:cs="Arial"/>
                <w:sz w:val="18"/>
                <w:szCs w:val="18"/>
                <w:lang w:eastAsia="es-CO"/>
              </w:rPr>
              <w:t>97,95%</w:t>
            </w:r>
          </w:p>
        </w:tc>
      </w:tr>
      <w:tr w:rsidR="008B4625" w:rsidRPr="000E4CAF" w14:paraId="079E1F06" w14:textId="77777777" w:rsidTr="008F6E8C">
        <w:trPr>
          <w:trHeight w:val="302"/>
        </w:trPr>
        <w:tc>
          <w:tcPr>
            <w:tcW w:w="4243" w:type="dxa"/>
            <w:tcBorders>
              <w:top w:val="single" w:sz="8" w:space="0" w:color="auto"/>
              <w:left w:val="single" w:sz="8" w:space="0" w:color="auto"/>
              <w:bottom w:val="single" w:sz="8" w:space="0" w:color="auto"/>
              <w:right w:val="single" w:sz="8" w:space="0" w:color="auto"/>
            </w:tcBorders>
            <w:shd w:val="clear" w:color="000000" w:fill="16365C"/>
            <w:vAlign w:val="center"/>
            <w:hideMark/>
          </w:tcPr>
          <w:p w14:paraId="28210417"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Subtotal Minería Empresarial</w:t>
            </w:r>
          </w:p>
        </w:tc>
        <w:tc>
          <w:tcPr>
            <w:tcW w:w="992" w:type="dxa"/>
            <w:tcBorders>
              <w:top w:val="single" w:sz="8" w:space="0" w:color="auto"/>
              <w:left w:val="nil"/>
              <w:bottom w:val="single" w:sz="8" w:space="0" w:color="auto"/>
              <w:right w:val="single" w:sz="4" w:space="0" w:color="auto"/>
            </w:tcBorders>
            <w:shd w:val="clear" w:color="000000" w:fill="16365C"/>
            <w:noWrap/>
            <w:vAlign w:val="center"/>
            <w:hideMark/>
          </w:tcPr>
          <w:p w14:paraId="15A6B63C"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548</w:t>
            </w:r>
          </w:p>
        </w:tc>
        <w:tc>
          <w:tcPr>
            <w:tcW w:w="1134" w:type="dxa"/>
            <w:tcBorders>
              <w:top w:val="single" w:sz="8" w:space="0" w:color="auto"/>
              <w:left w:val="nil"/>
              <w:bottom w:val="single" w:sz="8" w:space="0" w:color="auto"/>
              <w:right w:val="single" w:sz="4" w:space="0" w:color="auto"/>
            </w:tcBorders>
            <w:shd w:val="clear" w:color="000000" w:fill="16365C"/>
            <w:noWrap/>
            <w:vAlign w:val="center"/>
            <w:hideMark/>
          </w:tcPr>
          <w:p w14:paraId="37A9D80A"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528</w:t>
            </w:r>
          </w:p>
        </w:tc>
        <w:tc>
          <w:tcPr>
            <w:tcW w:w="1134" w:type="dxa"/>
            <w:tcBorders>
              <w:top w:val="single" w:sz="8" w:space="0" w:color="auto"/>
              <w:left w:val="nil"/>
              <w:bottom w:val="single" w:sz="8" w:space="0" w:color="auto"/>
              <w:right w:val="single" w:sz="4" w:space="0" w:color="auto"/>
            </w:tcBorders>
            <w:shd w:val="clear" w:color="000000" w:fill="16365C"/>
            <w:vAlign w:val="center"/>
            <w:hideMark/>
          </w:tcPr>
          <w:p w14:paraId="09D1D2F9"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96,22%</w:t>
            </w:r>
          </w:p>
        </w:tc>
        <w:tc>
          <w:tcPr>
            <w:tcW w:w="851" w:type="dxa"/>
            <w:tcBorders>
              <w:top w:val="single" w:sz="8" w:space="0" w:color="auto"/>
              <w:left w:val="nil"/>
              <w:bottom w:val="single" w:sz="8" w:space="0" w:color="auto"/>
              <w:right w:val="single" w:sz="4" w:space="0" w:color="auto"/>
            </w:tcBorders>
            <w:shd w:val="clear" w:color="000000" w:fill="16365C"/>
            <w:noWrap/>
            <w:vAlign w:val="center"/>
            <w:hideMark/>
          </w:tcPr>
          <w:p w14:paraId="51975E0B"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528</w:t>
            </w:r>
          </w:p>
        </w:tc>
        <w:tc>
          <w:tcPr>
            <w:tcW w:w="1280" w:type="dxa"/>
            <w:tcBorders>
              <w:top w:val="single" w:sz="8" w:space="0" w:color="auto"/>
              <w:left w:val="nil"/>
              <w:bottom w:val="single" w:sz="8" w:space="0" w:color="auto"/>
              <w:right w:val="single" w:sz="4" w:space="0" w:color="auto"/>
            </w:tcBorders>
            <w:shd w:val="clear" w:color="000000" w:fill="16365C"/>
            <w:vAlign w:val="center"/>
            <w:hideMark/>
          </w:tcPr>
          <w:p w14:paraId="36FF9FB1" w14:textId="77777777" w:rsidR="008B4625" w:rsidRPr="00F15DAD" w:rsidRDefault="008B4625" w:rsidP="008F6E8C">
            <w:pPr>
              <w:spacing w:after="0" w:line="240" w:lineRule="auto"/>
              <w:jc w:val="center"/>
              <w:rPr>
                <w:rFonts w:ascii="Arial" w:eastAsia="Times New Roman" w:hAnsi="Arial" w:cs="Arial"/>
                <w:b/>
                <w:bCs/>
                <w:color w:val="FFFFFF"/>
                <w:sz w:val="18"/>
                <w:szCs w:val="18"/>
                <w:lang w:eastAsia="es-CO"/>
              </w:rPr>
            </w:pPr>
            <w:r w:rsidRPr="00F15DAD">
              <w:rPr>
                <w:rFonts w:ascii="Arial" w:eastAsia="Times New Roman" w:hAnsi="Arial" w:cs="Arial"/>
                <w:b/>
                <w:bCs/>
                <w:color w:val="FFFFFF"/>
                <w:sz w:val="18"/>
                <w:szCs w:val="18"/>
                <w:lang w:eastAsia="es-CO"/>
              </w:rPr>
              <w:t>96,22%</w:t>
            </w:r>
          </w:p>
        </w:tc>
      </w:tr>
    </w:tbl>
    <w:p w14:paraId="5FEC8441" w14:textId="77777777" w:rsidR="008B4625" w:rsidRPr="008B4625" w:rsidRDefault="008B4625" w:rsidP="008B4625">
      <w:pPr>
        <w:spacing w:after="0" w:line="240" w:lineRule="auto"/>
        <w:jc w:val="center"/>
        <w:rPr>
          <w:rFonts w:ascii="Arial" w:eastAsia="Times New Roman" w:hAnsi="Arial" w:cs="Arial"/>
          <w:noProof/>
          <w:color w:val="002060"/>
          <w:sz w:val="18"/>
          <w:szCs w:val="18"/>
          <w:lang w:eastAsia="es-CO"/>
        </w:rPr>
      </w:pPr>
      <w:r w:rsidRPr="008B4625">
        <w:rPr>
          <w:rFonts w:ascii="Arial" w:eastAsia="Times New Roman" w:hAnsi="Arial" w:cs="Arial"/>
          <w:noProof/>
          <w:sz w:val="18"/>
          <w:szCs w:val="18"/>
          <w:lang w:eastAsia="es-CO"/>
        </w:rPr>
        <w:t>Cifras en millones de pesos</w:t>
      </w:r>
    </w:p>
    <w:p w14:paraId="0F9AA06F" w14:textId="77777777" w:rsidR="008B4625" w:rsidRPr="008B4625" w:rsidRDefault="008B4625" w:rsidP="008B4625">
      <w:pPr>
        <w:spacing w:after="0" w:line="240" w:lineRule="auto"/>
        <w:jc w:val="center"/>
        <w:rPr>
          <w:rFonts w:ascii="Arial" w:eastAsia="Calibri" w:hAnsi="Arial" w:cs="Arial"/>
        </w:rPr>
      </w:pPr>
      <w:r w:rsidRPr="008B4625">
        <w:rPr>
          <w:rFonts w:ascii="Arial" w:eastAsia="Calibri" w:hAnsi="Arial" w:cs="Arial"/>
          <w:sz w:val="16"/>
          <w:szCs w:val="16"/>
        </w:rPr>
        <w:t>Fuente: SIIF Nación</w:t>
      </w:r>
    </w:p>
    <w:p w14:paraId="3A966676" w14:textId="77777777" w:rsidR="00C02282" w:rsidRPr="006A67B4" w:rsidRDefault="00C02282" w:rsidP="00C02282">
      <w:pPr>
        <w:rPr>
          <w:highlight w:val="yellow"/>
        </w:rPr>
      </w:pPr>
    </w:p>
    <w:p w14:paraId="36E59A27" w14:textId="77777777" w:rsidR="00C02282" w:rsidRPr="008B4625" w:rsidRDefault="00C02282" w:rsidP="00055F7C">
      <w:pPr>
        <w:pStyle w:val="Ttulo2"/>
        <w:numPr>
          <w:ilvl w:val="1"/>
          <w:numId w:val="6"/>
        </w:numPr>
        <w:rPr>
          <w:rFonts w:ascii="Arial" w:eastAsia="Calibri" w:hAnsi="Arial" w:cs="Arial"/>
          <w:color w:val="auto"/>
          <w:sz w:val="22"/>
          <w:szCs w:val="22"/>
        </w:rPr>
      </w:pPr>
      <w:bookmarkStart w:id="62" w:name="_Toc525652021"/>
      <w:r w:rsidRPr="008B4625">
        <w:rPr>
          <w:rFonts w:ascii="Arial" w:eastAsia="Calibri" w:hAnsi="Arial" w:cs="Arial"/>
          <w:color w:val="auto"/>
          <w:sz w:val="22"/>
          <w:szCs w:val="22"/>
        </w:rPr>
        <w:lastRenderedPageBreak/>
        <w:t>Ejecución cuentas por pagar 2017.</w:t>
      </w:r>
      <w:bookmarkEnd w:id="62"/>
    </w:p>
    <w:p w14:paraId="2157A97B" w14:textId="77777777" w:rsidR="00C02282" w:rsidRPr="008B4625" w:rsidRDefault="00C02282" w:rsidP="00C02282">
      <w:pPr>
        <w:spacing w:after="0" w:line="240" w:lineRule="auto"/>
        <w:jc w:val="both"/>
        <w:rPr>
          <w:rFonts w:ascii="Arial" w:hAnsi="Arial" w:cs="Arial"/>
          <w:sz w:val="20"/>
        </w:rPr>
      </w:pPr>
    </w:p>
    <w:p w14:paraId="69E954C0" w14:textId="77777777" w:rsidR="008B4625" w:rsidRPr="008B4625" w:rsidRDefault="008B4625" w:rsidP="008B4625">
      <w:pPr>
        <w:tabs>
          <w:tab w:val="left" w:pos="720"/>
        </w:tabs>
        <w:spacing w:after="0" w:line="240" w:lineRule="auto"/>
        <w:jc w:val="both"/>
        <w:rPr>
          <w:rFonts w:ascii="Arial" w:hAnsi="Arial" w:cs="Arial"/>
        </w:rPr>
      </w:pPr>
      <w:r w:rsidRPr="008B4625">
        <w:rPr>
          <w:rFonts w:ascii="Arial" w:hAnsi="Arial" w:cs="Arial"/>
        </w:rPr>
        <w:t xml:space="preserve">A diciembre 31 de 2017, se constituyeron Cuentas por Pagar por valor de $159.092 millones, las cuales se ejecutaron en su totalidad durante el primer trimestre de la vigencia 2018.  Sobresalen las obligaciones adquiridas con cargo a los proyectos financiados con recursos FAZNI, FAER, Subsidios con destino a usuarios de áreas especiales financiados con recursos FOES, Fortalecimiento de la competitividad en la industria minera en los Departamento de Cundinamarca, Boyacá y Norte de Santander y Distribución de recursos para pagos menores tarifas sector GLP entre otros. </w:t>
      </w:r>
    </w:p>
    <w:p w14:paraId="114BFE77" w14:textId="77777777" w:rsidR="00C02282" w:rsidRPr="008B4625" w:rsidRDefault="00C02282" w:rsidP="00C02282">
      <w:pPr>
        <w:spacing w:after="0" w:line="240" w:lineRule="auto"/>
        <w:jc w:val="both"/>
        <w:rPr>
          <w:rFonts w:ascii="Arial" w:hAnsi="Arial" w:cs="Arial"/>
        </w:rPr>
      </w:pPr>
    </w:p>
    <w:p w14:paraId="2B6DDE71" w14:textId="77777777" w:rsidR="00C02282" w:rsidRPr="008B4625" w:rsidRDefault="00C02282" w:rsidP="00C02282">
      <w:pPr>
        <w:spacing w:after="0" w:line="240" w:lineRule="auto"/>
        <w:ind w:left="6372" w:firstLine="708"/>
        <w:jc w:val="center"/>
        <w:rPr>
          <w:rFonts w:ascii="Arial" w:eastAsia="Arial" w:hAnsi="Arial" w:cs="Arial"/>
          <w:b/>
          <w:sz w:val="20"/>
          <w:szCs w:val="20"/>
        </w:rPr>
      </w:pPr>
    </w:p>
    <w:p w14:paraId="30FB6C45" w14:textId="77777777" w:rsidR="00C02282" w:rsidRDefault="00C02282" w:rsidP="00C02282">
      <w:pPr>
        <w:pStyle w:val="Descripcin"/>
        <w:keepNext/>
        <w:jc w:val="center"/>
      </w:pPr>
      <w:bookmarkStart w:id="63" w:name="_Toc525652479"/>
      <w:r w:rsidRPr="008B4625">
        <w:t xml:space="preserve">Tabla </w:t>
      </w:r>
      <w:r w:rsidRPr="008B4625">
        <w:fldChar w:fldCharType="begin"/>
      </w:r>
      <w:r w:rsidRPr="008B4625">
        <w:instrText xml:space="preserve"> SEQ Tabla \* ARABIC </w:instrText>
      </w:r>
      <w:r w:rsidRPr="008B4625">
        <w:fldChar w:fldCharType="separate"/>
      </w:r>
      <w:r w:rsidR="008B4625" w:rsidRPr="008B4625">
        <w:rPr>
          <w:noProof/>
        </w:rPr>
        <w:t>33</w:t>
      </w:r>
      <w:r w:rsidRPr="008B4625">
        <w:fldChar w:fldCharType="end"/>
      </w:r>
      <w:r w:rsidRPr="008B4625">
        <w:t xml:space="preserve"> Ejecución Cuentas por Pagar constituidas a 31 de diciembre de 2017 MME</w:t>
      </w:r>
      <w:bookmarkEnd w:id="63"/>
    </w:p>
    <w:tbl>
      <w:tblPr>
        <w:tblW w:w="8580" w:type="dxa"/>
        <w:jc w:val="center"/>
        <w:tblCellMar>
          <w:left w:w="70" w:type="dxa"/>
          <w:right w:w="70" w:type="dxa"/>
        </w:tblCellMar>
        <w:tblLook w:val="04A0" w:firstRow="1" w:lastRow="0" w:firstColumn="1" w:lastColumn="0" w:noHBand="0" w:noVBand="1"/>
      </w:tblPr>
      <w:tblGrid>
        <w:gridCol w:w="3520"/>
        <w:gridCol w:w="1560"/>
        <w:gridCol w:w="1700"/>
        <w:gridCol w:w="1800"/>
      </w:tblGrid>
      <w:tr w:rsidR="008B4625" w:rsidRPr="00137806" w14:paraId="7FF0DFC3" w14:textId="77777777" w:rsidTr="008F6E8C">
        <w:trPr>
          <w:trHeight w:val="600"/>
          <w:jc w:val="center"/>
        </w:trPr>
        <w:tc>
          <w:tcPr>
            <w:tcW w:w="3520" w:type="dxa"/>
            <w:tcBorders>
              <w:top w:val="single" w:sz="8" w:space="0" w:color="auto"/>
              <w:left w:val="single" w:sz="8" w:space="0" w:color="auto"/>
              <w:bottom w:val="single" w:sz="4" w:space="0" w:color="auto"/>
              <w:right w:val="single" w:sz="4" w:space="0" w:color="auto"/>
            </w:tcBorders>
            <w:shd w:val="clear" w:color="auto" w:fill="244061"/>
            <w:noWrap/>
            <w:vAlign w:val="center"/>
            <w:hideMark/>
          </w:tcPr>
          <w:p w14:paraId="6B946B8D" w14:textId="77777777" w:rsidR="008B4625" w:rsidRPr="00137806" w:rsidRDefault="008B4625" w:rsidP="008F6E8C">
            <w:pPr>
              <w:spacing w:after="0" w:line="240" w:lineRule="auto"/>
              <w:jc w:val="center"/>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CONCEPTO</w:t>
            </w:r>
          </w:p>
        </w:tc>
        <w:tc>
          <w:tcPr>
            <w:tcW w:w="1560" w:type="dxa"/>
            <w:tcBorders>
              <w:top w:val="single" w:sz="8" w:space="0" w:color="auto"/>
              <w:left w:val="nil"/>
              <w:bottom w:val="single" w:sz="4" w:space="0" w:color="auto"/>
              <w:right w:val="single" w:sz="4" w:space="0" w:color="auto"/>
            </w:tcBorders>
            <w:shd w:val="clear" w:color="auto" w:fill="244061"/>
            <w:vAlign w:val="center"/>
            <w:hideMark/>
          </w:tcPr>
          <w:p w14:paraId="37EEEEBE" w14:textId="77777777" w:rsidR="008B4625" w:rsidRPr="00137806" w:rsidRDefault="008B4625" w:rsidP="008F6E8C">
            <w:pPr>
              <w:spacing w:after="0" w:line="240" w:lineRule="auto"/>
              <w:jc w:val="center"/>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CUENTAS POR PAGAR</w:t>
            </w:r>
          </w:p>
        </w:tc>
        <w:tc>
          <w:tcPr>
            <w:tcW w:w="1700" w:type="dxa"/>
            <w:tcBorders>
              <w:top w:val="single" w:sz="8" w:space="0" w:color="auto"/>
              <w:left w:val="nil"/>
              <w:bottom w:val="single" w:sz="4" w:space="0" w:color="auto"/>
              <w:right w:val="single" w:sz="4" w:space="0" w:color="auto"/>
            </w:tcBorders>
            <w:shd w:val="clear" w:color="auto" w:fill="244061"/>
            <w:vAlign w:val="center"/>
            <w:hideMark/>
          </w:tcPr>
          <w:p w14:paraId="6449C5DD" w14:textId="77777777" w:rsidR="008B4625" w:rsidRPr="00137806" w:rsidRDefault="008B4625" w:rsidP="008F6E8C">
            <w:pPr>
              <w:spacing w:after="0" w:line="240" w:lineRule="auto"/>
              <w:jc w:val="center"/>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EJECUTADA</w:t>
            </w:r>
          </w:p>
        </w:tc>
        <w:tc>
          <w:tcPr>
            <w:tcW w:w="1800" w:type="dxa"/>
            <w:tcBorders>
              <w:top w:val="single" w:sz="8" w:space="0" w:color="auto"/>
              <w:left w:val="nil"/>
              <w:bottom w:val="single" w:sz="4" w:space="0" w:color="auto"/>
              <w:right w:val="single" w:sz="8" w:space="0" w:color="auto"/>
            </w:tcBorders>
            <w:shd w:val="clear" w:color="auto" w:fill="244061"/>
            <w:vAlign w:val="center"/>
            <w:hideMark/>
          </w:tcPr>
          <w:p w14:paraId="7D389D20" w14:textId="77777777" w:rsidR="008B4625" w:rsidRPr="00137806" w:rsidRDefault="008B4625" w:rsidP="008F6E8C">
            <w:pPr>
              <w:spacing w:after="0" w:line="240" w:lineRule="auto"/>
              <w:jc w:val="center"/>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EJECUCIÓN</w:t>
            </w:r>
          </w:p>
        </w:tc>
      </w:tr>
      <w:tr w:rsidR="008B4625" w:rsidRPr="00137806" w14:paraId="7BF3FD2E" w14:textId="77777777" w:rsidTr="008F6E8C">
        <w:trPr>
          <w:trHeight w:val="300"/>
          <w:jc w:val="center"/>
        </w:trPr>
        <w:tc>
          <w:tcPr>
            <w:tcW w:w="3520" w:type="dxa"/>
            <w:tcBorders>
              <w:top w:val="nil"/>
              <w:left w:val="single" w:sz="8" w:space="0" w:color="auto"/>
              <w:bottom w:val="single" w:sz="4" w:space="0" w:color="auto"/>
              <w:right w:val="single" w:sz="4" w:space="0" w:color="auto"/>
            </w:tcBorders>
            <w:shd w:val="clear" w:color="auto" w:fill="244061"/>
            <w:noWrap/>
            <w:vAlign w:val="bottom"/>
            <w:hideMark/>
          </w:tcPr>
          <w:p w14:paraId="56C547E1"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GASTOS DE FUNCIONAMIENTO</w:t>
            </w:r>
          </w:p>
        </w:tc>
        <w:tc>
          <w:tcPr>
            <w:tcW w:w="1560" w:type="dxa"/>
            <w:tcBorders>
              <w:top w:val="nil"/>
              <w:left w:val="nil"/>
              <w:bottom w:val="single" w:sz="4" w:space="0" w:color="auto"/>
              <w:right w:val="single" w:sz="4" w:space="0" w:color="auto"/>
            </w:tcBorders>
            <w:shd w:val="clear" w:color="auto" w:fill="244061"/>
            <w:noWrap/>
            <w:vAlign w:val="bottom"/>
            <w:hideMark/>
          </w:tcPr>
          <w:p w14:paraId="69636F4F"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xml:space="preserve"> $           3.777 </w:t>
            </w:r>
          </w:p>
        </w:tc>
        <w:tc>
          <w:tcPr>
            <w:tcW w:w="1700" w:type="dxa"/>
            <w:tcBorders>
              <w:top w:val="nil"/>
              <w:left w:val="nil"/>
              <w:bottom w:val="single" w:sz="4" w:space="0" w:color="auto"/>
              <w:right w:val="single" w:sz="4" w:space="0" w:color="auto"/>
            </w:tcBorders>
            <w:shd w:val="clear" w:color="auto" w:fill="244061"/>
            <w:noWrap/>
            <w:vAlign w:val="bottom"/>
            <w:hideMark/>
          </w:tcPr>
          <w:p w14:paraId="26B20B1C"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xml:space="preserve"> $              3.777 </w:t>
            </w:r>
          </w:p>
        </w:tc>
        <w:tc>
          <w:tcPr>
            <w:tcW w:w="1800" w:type="dxa"/>
            <w:tcBorders>
              <w:top w:val="nil"/>
              <w:left w:val="nil"/>
              <w:bottom w:val="single" w:sz="4" w:space="0" w:color="auto"/>
              <w:right w:val="single" w:sz="8" w:space="0" w:color="auto"/>
            </w:tcBorders>
            <w:shd w:val="clear" w:color="auto" w:fill="244061"/>
            <w:noWrap/>
            <w:vAlign w:val="bottom"/>
            <w:hideMark/>
          </w:tcPr>
          <w:p w14:paraId="1760E9BF" w14:textId="77777777" w:rsidR="008B4625" w:rsidRPr="00137806" w:rsidRDefault="008B4625" w:rsidP="008F6E8C">
            <w:pPr>
              <w:spacing w:after="0" w:line="240" w:lineRule="auto"/>
              <w:jc w:val="right"/>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100,0%</w:t>
            </w:r>
          </w:p>
        </w:tc>
      </w:tr>
      <w:tr w:rsidR="008B4625" w:rsidRPr="00137806" w14:paraId="751D973C" w14:textId="77777777" w:rsidTr="008F6E8C">
        <w:trPr>
          <w:trHeight w:val="300"/>
          <w:jc w:val="center"/>
        </w:trPr>
        <w:tc>
          <w:tcPr>
            <w:tcW w:w="3520" w:type="dxa"/>
            <w:tcBorders>
              <w:top w:val="nil"/>
              <w:left w:val="single" w:sz="8" w:space="0" w:color="auto"/>
              <w:bottom w:val="single" w:sz="4" w:space="0" w:color="auto"/>
              <w:right w:val="single" w:sz="4" w:space="0" w:color="auto"/>
            </w:tcBorders>
            <w:shd w:val="clear" w:color="auto" w:fill="auto"/>
            <w:noWrap/>
            <w:vAlign w:val="bottom"/>
            <w:hideMark/>
          </w:tcPr>
          <w:p w14:paraId="5A44C1C6"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Gastos de personal</w:t>
            </w:r>
          </w:p>
        </w:tc>
        <w:tc>
          <w:tcPr>
            <w:tcW w:w="1560" w:type="dxa"/>
            <w:tcBorders>
              <w:top w:val="nil"/>
              <w:left w:val="nil"/>
              <w:bottom w:val="single" w:sz="4" w:space="0" w:color="auto"/>
              <w:right w:val="single" w:sz="4" w:space="0" w:color="auto"/>
            </w:tcBorders>
            <w:shd w:val="clear" w:color="auto" w:fill="auto"/>
            <w:noWrap/>
            <w:vAlign w:val="bottom"/>
            <w:hideMark/>
          </w:tcPr>
          <w:p w14:paraId="1ACAB0B5"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 xml:space="preserve"> $                  4 </w:t>
            </w:r>
          </w:p>
        </w:tc>
        <w:tc>
          <w:tcPr>
            <w:tcW w:w="1700" w:type="dxa"/>
            <w:tcBorders>
              <w:top w:val="nil"/>
              <w:left w:val="nil"/>
              <w:bottom w:val="single" w:sz="4" w:space="0" w:color="auto"/>
              <w:right w:val="single" w:sz="4" w:space="0" w:color="auto"/>
            </w:tcBorders>
            <w:shd w:val="clear" w:color="auto" w:fill="auto"/>
            <w:noWrap/>
            <w:vAlign w:val="bottom"/>
            <w:hideMark/>
          </w:tcPr>
          <w:p w14:paraId="6CE9D92E"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 xml:space="preserve"> $                     4 </w:t>
            </w:r>
          </w:p>
        </w:tc>
        <w:tc>
          <w:tcPr>
            <w:tcW w:w="1800" w:type="dxa"/>
            <w:tcBorders>
              <w:top w:val="nil"/>
              <w:left w:val="nil"/>
              <w:bottom w:val="single" w:sz="4" w:space="0" w:color="auto"/>
              <w:right w:val="single" w:sz="8" w:space="0" w:color="auto"/>
            </w:tcBorders>
            <w:shd w:val="clear" w:color="auto" w:fill="auto"/>
            <w:noWrap/>
            <w:vAlign w:val="bottom"/>
            <w:hideMark/>
          </w:tcPr>
          <w:p w14:paraId="623DBA36" w14:textId="77777777" w:rsidR="008B4625" w:rsidRPr="00137806" w:rsidRDefault="008B4625" w:rsidP="008F6E8C">
            <w:pPr>
              <w:spacing w:after="0" w:line="240" w:lineRule="auto"/>
              <w:jc w:val="right"/>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100,0%</w:t>
            </w:r>
          </w:p>
        </w:tc>
      </w:tr>
      <w:tr w:rsidR="008B4625" w:rsidRPr="00137806" w14:paraId="34CC3407" w14:textId="77777777" w:rsidTr="008F6E8C">
        <w:trPr>
          <w:trHeight w:val="300"/>
          <w:jc w:val="center"/>
        </w:trPr>
        <w:tc>
          <w:tcPr>
            <w:tcW w:w="3520" w:type="dxa"/>
            <w:tcBorders>
              <w:top w:val="nil"/>
              <w:left w:val="single" w:sz="8" w:space="0" w:color="auto"/>
              <w:bottom w:val="single" w:sz="4" w:space="0" w:color="auto"/>
              <w:right w:val="single" w:sz="4" w:space="0" w:color="auto"/>
            </w:tcBorders>
            <w:shd w:val="clear" w:color="auto" w:fill="auto"/>
            <w:noWrap/>
            <w:vAlign w:val="bottom"/>
            <w:hideMark/>
          </w:tcPr>
          <w:p w14:paraId="0B3FCF0A"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Gastos Generales</w:t>
            </w:r>
          </w:p>
        </w:tc>
        <w:tc>
          <w:tcPr>
            <w:tcW w:w="1560" w:type="dxa"/>
            <w:tcBorders>
              <w:top w:val="nil"/>
              <w:left w:val="nil"/>
              <w:bottom w:val="single" w:sz="4" w:space="0" w:color="auto"/>
              <w:right w:val="single" w:sz="4" w:space="0" w:color="auto"/>
            </w:tcBorders>
            <w:shd w:val="clear" w:color="auto" w:fill="auto"/>
            <w:noWrap/>
            <w:vAlign w:val="bottom"/>
            <w:hideMark/>
          </w:tcPr>
          <w:p w14:paraId="29F65806"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 xml:space="preserve"> $              170 </w:t>
            </w:r>
          </w:p>
        </w:tc>
        <w:tc>
          <w:tcPr>
            <w:tcW w:w="1700" w:type="dxa"/>
            <w:tcBorders>
              <w:top w:val="nil"/>
              <w:left w:val="nil"/>
              <w:bottom w:val="single" w:sz="4" w:space="0" w:color="auto"/>
              <w:right w:val="single" w:sz="4" w:space="0" w:color="auto"/>
            </w:tcBorders>
            <w:shd w:val="clear" w:color="auto" w:fill="auto"/>
            <w:noWrap/>
            <w:vAlign w:val="bottom"/>
            <w:hideMark/>
          </w:tcPr>
          <w:p w14:paraId="6A9BAA28"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 xml:space="preserve"> $                 170 </w:t>
            </w:r>
          </w:p>
        </w:tc>
        <w:tc>
          <w:tcPr>
            <w:tcW w:w="1800" w:type="dxa"/>
            <w:tcBorders>
              <w:top w:val="nil"/>
              <w:left w:val="nil"/>
              <w:bottom w:val="single" w:sz="4" w:space="0" w:color="auto"/>
              <w:right w:val="single" w:sz="8" w:space="0" w:color="auto"/>
            </w:tcBorders>
            <w:shd w:val="clear" w:color="auto" w:fill="auto"/>
            <w:noWrap/>
            <w:vAlign w:val="bottom"/>
            <w:hideMark/>
          </w:tcPr>
          <w:p w14:paraId="70DBA169" w14:textId="77777777" w:rsidR="008B4625" w:rsidRPr="00137806" w:rsidRDefault="008B4625" w:rsidP="008F6E8C">
            <w:pPr>
              <w:spacing w:after="0" w:line="240" w:lineRule="auto"/>
              <w:jc w:val="right"/>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100,0%</w:t>
            </w:r>
          </w:p>
        </w:tc>
      </w:tr>
      <w:tr w:rsidR="008B4625" w:rsidRPr="00137806" w14:paraId="37ABE595" w14:textId="77777777" w:rsidTr="008F6E8C">
        <w:trPr>
          <w:trHeight w:val="300"/>
          <w:jc w:val="center"/>
        </w:trPr>
        <w:tc>
          <w:tcPr>
            <w:tcW w:w="3520" w:type="dxa"/>
            <w:tcBorders>
              <w:top w:val="nil"/>
              <w:left w:val="single" w:sz="8" w:space="0" w:color="auto"/>
              <w:bottom w:val="single" w:sz="4" w:space="0" w:color="auto"/>
              <w:right w:val="single" w:sz="4" w:space="0" w:color="auto"/>
            </w:tcBorders>
            <w:shd w:val="clear" w:color="auto" w:fill="auto"/>
            <w:noWrap/>
            <w:vAlign w:val="bottom"/>
            <w:hideMark/>
          </w:tcPr>
          <w:p w14:paraId="18F4C630"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Transferencias</w:t>
            </w:r>
          </w:p>
        </w:tc>
        <w:tc>
          <w:tcPr>
            <w:tcW w:w="1560" w:type="dxa"/>
            <w:tcBorders>
              <w:top w:val="nil"/>
              <w:left w:val="nil"/>
              <w:bottom w:val="single" w:sz="4" w:space="0" w:color="auto"/>
              <w:right w:val="single" w:sz="4" w:space="0" w:color="auto"/>
            </w:tcBorders>
            <w:shd w:val="clear" w:color="auto" w:fill="auto"/>
            <w:noWrap/>
            <w:vAlign w:val="bottom"/>
            <w:hideMark/>
          </w:tcPr>
          <w:p w14:paraId="0163EA85"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 xml:space="preserve"> $           3.603 </w:t>
            </w:r>
          </w:p>
        </w:tc>
        <w:tc>
          <w:tcPr>
            <w:tcW w:w="1700" w:type="dxa"/>
            <w:tcBorders>
              <w:top w:val="nil"/>
              <w:left w:val="nil"/>
              <w:bottom w:val="single" w:sz="4" w:space="0" w:color="auto"/>
              <w:right w:val="single" w:sz="4" w:space="0" w:color="auto"/>
            </w:tcBorders>
            <w:shd w:val="clear" w:color="auto" w:fill="auto"/>
            <w:noWrap/>
            <w:vAlign w:val="bottom"/>
            <w:hideMark/>
          </w:tcPr>
          <w:p w14:paraId="7128A3F0" w14:textId="77777777" w:rsidR="008B4625" w:rsidRPr="00137806" w:rsidRDefault="008B4625" w:rsidP="008F6E8C">
            <w:pPr>
              <w:spacing w:after="0" w:line="240" w:lineRule="auto"/>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 xml:space="preserve"> $              3.603 </w:t>
            </w:r>
          </w:p>
        </w:tc>
        <w:tc>
          <w:tcPr>
            <w:tcW w:w="1800" w:type="dxa"/>
            <w:tcBorders>
              <w:top w:val="nil"/>
              <w:left w:val="nil"/>
              <w:bottom w:val="single" w:sz="4" w:space="0" w:color="auto"/>
              <w:right w:val="single" w:sz="8" w:space="0" w:color="auto"/>
            </w:tcBorders>
            <w:shd w:val="clear" w:color="auto" w:fill="auto"/>
            <w:noWrap/>
            <w:vAlign w:val="bottom"/>
            <w:hideMark/>
          </w:tcPr>
          <w:p w14:paraId="3F263429" w14:textId="77777777" w:rsidR="008B4625" w:rsidRPr="00137806" w:rsidRDefault="008B4625" w:rsidP="008F6E8C">
            <w:pPr>
              <w:spacing w:after="0" w:line="240" w:lineRule="auto"/>
              <w:jc w:val="right"/>
              <w:rPr>
                <w:rFonts w:ascii="Arial" w:eastAsia="Times New Roman" w:hAnsi="Arial" w:cs="Arial"/>
                <w:color w:val="000000"/>
                <w:sz w:val="16"/>
                <w:szCs w:val="16"/>
                <w:lang w:eastAsia="es-CO"/>
              </w:rPr>
            </w:pPr>
            <w:r w:rsidRPr="00137806">
              <w:rPr>
                <w:rFonts w:ascii="Arial" w:eastAsia="Times New Roman" w:hAnsi="Arial" w:cs="Arial"/>
                <w:color w:val="000000"/>
                <w:sz w:val="16"/>
                <w:szCs w:val="16"/>
                <w:lang w:eastAsia="es-CO"/>
              </w:rPr>
              <w:t>100,0%</w:t>
            </w:r>
          </w:p>
        </w:tc>
      </w:tr>
      <w:tr w:rsidR="008B4625" w:rsidRPr="00137806" w14:paraId="38F4DB7F" w14:textId="77777777" w:rsidTr="008F6E8C">
        <w:trPr>
          <w:trHeight w:val="300"/>
          <w:jc w:val="center"/>
        </w:trPr>
        <w:tc>
          <w:tcPr>
            <w:tcW w:w="3520" w:type="dxa"/>
            <w:tcBorders>
              <w:top w:val="nil"/>
              <w:left w:val="single" w:sz="8" w:space="0" w:color="auto"/>
              <w:bottom w:val="single" w:sz="4" w:space="0" w:color="auto"/>
              <w:right w:val="single" w:sz="4" w:space="0" w:color="auto"/>
            </w:tcBorders>
            <w:shd w:val="clear" w:color="auto" w:fill="244061"/>
            <w:noWrap/>
            <w:vAlign w:val="bottom"/>
            <w:hideMark/>
          </w:tcPr>
          <w:p w14:paraId="5893530E"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GASTO DE INVERSIÓN</w:t>
            </w:r>
          </w:p>
        </w:tc>
        <w:tc>
          <w:tcPr>
            <w:tcW w:w="1560" w:type="dxa"/>
            <w:tcBorders>
              <w:top w:val="nil"/>
              <w:left w:val="nil"/>
              <w:bottom w:val="single" w:sz="4" w:space="0" w:color="auto"/>
              <w:right w:val="single" w:sz="4" w:space="0" w:color="auto"/>
            </w:tcBorders>
            <w:shd w:val="clear" w:color="auto" w:fill="244061"/>
            <w:noWrap/>
            <w:vAlign w:val="bottom"/>
            <w:hideMark/>
          </w:tcPr>
          <w:p w14:paraId="26E61655"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xml:space="preserve"> $       155.315 </w:t>
            </w:r>
          </w:p>
        </w:tc>
        <w:tc>
          <w:tcPr>
            <w:tcW w:w="1700" w:type="dxa"/>
            <w:tcBorders>
              <w:top w:val="nil"/>
              <w:left w:val="nil"/>
              <w:bottom w:val="single" w:sz="4" w:space="0" w:color="auto"/>
              <w:right w:val="single" w:sz="4" w:space="0" w:color="auto"/>
            </w:tcBorders>
            <w:shd w:val="clear" w:color="auto" w:fill="244061"/>
            <w:noWrap/>
            <w:vAlign w:val="bottom"/>
            <w:hideMark/>
          </w:tcPr>
          <w:p w14:paraId="63F370FA"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xml:space="preserve"> $          155.315 </w:t>
            </w:r>
          </w:p>
        </w:tc>
        <w:tc>
          <w:tcPr>
            <w:tcW w:w="1800" w:type="dxa"/>
            <w:tcBorders>
              <w:top w:val="nil"/>
              <w:left w:val="nil"/>
              <w:bottom w:val="single" w:sz="4" w:space="0" w:color="auto"/>
              <w:right w:val="single" w:sz="8" w:space="0" w:color="auto"/>
            </w:tcBorders>
            <w:shd w:val="clear" w:color="auto" w:fill="244061"/>
            <w:noWrap/>
            <w:vAlign w:val="bottom"/>
            <w:hideMark/>
          </w:tcPr>
          <w:p w14:paraId="0D420635" w14:textId="77777777" w:rsidR="008B4625" w:rsidRPr="00137806" w:rsidRDefault="008B4625" w:rsidP="008F6E8C">
            <w:pPr>
              <w:spacing w:after="0" w:line="240" w:lineRule="auto"/>
              <w:jc w:val="right"/>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100,0%</w:t>
            </w:r>
          </w:p>
        </w:tc>
      </w:tr>
      <w:tr w:rsidR="008B4625" w:rsidRPr="00137806" w14:paraId="2F9AF42E" w14:textId="77777777" w:rsidTr="008F6E8C">
        <w:trPr>
          <w:trHeight w:val="315"/>
          <w:jc w:val="center"/>
        </w:trPr>
        <w:tc>
          <w:tcPr>
            <w:tcW w:w="3520" w:type="dxa"/>
            <w:tcBorders>
              <w:top w:val="nil"/>
              <w:left w:val="single" w:sz="8" w:space="0" w:color="auto"/>
              <w:bottom w:val="single" w:sz="8" w:space="0" w:color="auto"/>
              <w:right w:val="single" w:sz="4" w:space="0" w:color="auto"/>
            </w:tcBorders>
            <w:shd w:val="clear" w:color="auto" w:fill="244061"/>
            <w:noWrap/>
            <w:vAlign w:val="bottom"/>
            <w:hideMark/>
          </w:tcPr>
          <w:p w14:paraId="2495727A"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TOTALES</w:t>
            </w:r>
          </w:p>
        </w:tc>
        <w:tc>
          <w:tcPr>
            <w:tcW w:w="1560" w:type="dxa"/>
            <w:tcBorders>
              <w:top w:val="nil"/>
              <w:left w:val="nil"/>
              <w:bottom w:val="single" w:sz="8" w:space="0" w:color="auto"/>
              <w:right w:val="single" w:sz="4" w:space="0" w:color="auto"/>
            </w:tcBorders>
            <w:shd w:val="clear" w:color="auto" w:fill="244061"/>
            <w:noWrap/>
            <w:vAlign w:val="bottom"/>
            <w:hideMark/>
          </w:tcPr>
          <w:p w14:paraId="145575E9"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xml:space="preserve"> $       159.092 </w:t>
            </w:r>
          </w:p>
        </w:tc>
        <w:tc>
          <w:tcPr>
            <w:tcW w:w="1700" w:type="dxa"/>
            <w:tcBorders>
              <w:top w:val="nil"/>
              <w:left w:val="nil"/>
              <w:bottom w:val="single" w:sz="8" w:space="0" w:color="auto"/>
              <w:right w:val="single" w:sz="4" w:space="0" w:color="auto"/>
            </w:tcBorders>
            <w:shd w:val="clear" w:color="auto" w:fill="244061"/>
            <w:noWrap/>
            <w:vAlign w:val="bottom"/>
            <w:hideMark/>
          </w:tcPr>
          <w:p w14:paraId="2D9918FA" w14:textId="77777777" w:rsidR="008B4625" w:rsidRPr="00137806" w:rsidRDefault="008B4625" w:rsidP="008F6E8C">
            <w:pPr>
              <w:spacing w:after="0" w:line="240" w:lineRule="auto"/>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 xml:space="preserve"> $          159.092 </w:t>
            </w:r>
          </w:p>
        </w:tc>
        <w:tc>
          <w:tcPr>
            <w:tcW w:w="1800" w:type="dxa"/>
            <w:tcBorders>
              <w:top w:val="nil"/>
              <w:left w:val="nil"/>
              <w:bottom w:val="single" w:sz="8" w:space="0" w:color="auto"/>
              <w:right w:val="single" w:sz="8" w:space="0" w:color="auto"/>
            </w:tcBorders>
            <w:shd w:val="clear" w:color="auto" w:fill="244061"/>
            <w:noWrap/>
            <w:vAlign w:val="bottom"/>
            <w:hideMark/>
          </w:tcPr>
          <w:p w14:paraId="65600489" w14:textId="77777777" w:rsidR="008B4625" w:rsidRPr="00137806" w:rsidRDefault="008B4625" w:rsidP="008F6E8C">
            <w:pPr>
              <w:spacing w:after="0" w:line="240" w:lineRule="auto"/>
              <w:jc w:val="right"/>
              <w:rPr>
                <w:rFonts w:ascii="Arial" w:eastAsia="Times New Roman" w:hAnsi="Arial" w:cs="Arial"/>
                <w:b/>
                <w:bCs/>
                <w:color w:val="FFFFFF"/>
                <w:sz w:val="16"/>
                <w:szCs w:val="16"/>
                <w:lang w:eastAsia="es-CO"/>
              </w:rPr>
            </w:pPr>
            <w:r w:rsidRPr="00137806">
              <w:rPr>
                <w:rFonts w:ascii="Arial" w:eastAsia="Times New Roman" w:hAnsi="Arial" w:cs="Arial"/>
                <w:b/>
                <w:bCs/>
                <w:color w:val="FFFFFF"/>
                <w:sz w:val="16"/>
                <w:szCs w:val="16"/>
                <w:lang w:eastAsia="es-CO"/>
              </w:rPr>
              <w:t>100,0%</w:t>
            </w:r>
          </w:p>
        </w:tc>
      </w:tr>
    </w:tbl>
    <w:p w14:paraId="5C491A60" w14:textId="77777777" w:rsidR="008B4625" w:rsidRPr="008B4625" w:rsidRDefault="008B4625" w:rsidP="008B4625">
      <w:pPr>
        <w:spacing w:after="0" w:line="240" w:lineRule="auto"/>
        <w:jc w:val="center"/>
        <w:rPr>
          <w:rFonts w:ascii="Arial" w:eastAsia="Times New Roman" w:hAnsi="Arial" w:cs="Arial"/>
          <w:noProof/>
          <w:color w:val="002060"/>
          <w:sz w:val="18"/>
          <w:szCs w:val="18"/>
          <w:lang w:eastAsia="es-CO"/>
        </w:rPr>
      </w:pPr>
      <w:r w:rsidRPr="008B4625">
        <w:rPr>
          <w:rFonts w:ascii="Arial" w:eastAsia="Times New Roman" w:hAnsi="Arial" w:cs="Arial"/>
          <w:noProof/>
          <w:sz w:val="18"/>
          <w:szCs w:val="18"/>
          <w:lang w:eastAsia="es-CO"/>
        </w:rPr>
        <w:t>Cifras en millones de pesos</w:t>
      </w:r>
    </w:p>
    <w:p w14:paraId="7B85B59B" w14:textId="77777777" w:rsidR="008B4625" w:rsidRPr="008B4625" w:rsidRDefault="008B4625" w:rsidP="008B4625">
      <w:pPr>
        <w:spacing w:after="0" w:line="240" w:lineRule="auto"/>
        <w:jc w:val="center"/>
        <w:rPr>
          <w:rFonts w:ascii="Arial" w:eastAsia="Calibri" w:hAnsi="Arial" w:cs="Arial"/>
        </w:rPr>
      </w:pPr>
      <w:r w:rsidRPr="008B4625">
        <w:rPr>
          <w:rFonts w:ascii="Arial" w:eastAsia="Calibri" w:hAnsi="Arial" w:cs="Arial"/>
          <w:sz w:val="16"/>
          <w:szCs w:val="16"/>
        </w:rPr>
        <w:t>Fuente: SIIF Nación</w:t>
      </w:r>
    </w:p>
    <w:p w14:paraId="38C1585F" w14:textId="77777777" w:rsidR="008B4625" w:rsidRDefault="008B4625" w:rsidP="008B4625">
      <w:pPr>
        <w:rPr>
          <w:lang w:val="es-ES" w:eastAsia="es-ES"/>
        </w:rPr>
      </w:pPr>
    </w:p>
    <w:p w14:paraId="757A85EE" w14:textId="77777777" w:rsidR="00C02282" w:rsidRPr="008B4625" w:rsidRDefault="00C02282" w:rsidP="00055F7C">
      <w:pPr>
        <w:pStyle w:val="Ttulo1"/>
        <w:numPr>
          <w:ilvl w:val="0"/>
          <w:numId w:val="6"/>
        </w:numPr>
        <w:rPr>
          <w:rFonts w:ascii="Arial" w:eastAsia="Arial" w:hAnsi="Arial" w:cs="Arial"/>
          <w:b/>
          <w:color w:val="auto"/>
          <w:sz w:val="22"/>
          <w:szCs w:val="22"/>
          <w:lang w:eastAsia="es-CO"/>
        </w:rPr>
      </w:pPr>
      <w:bookmarkStart w:id="64" w:name="_Toc525652022"/>
      <w:r w:rsidRPr="008B4625">
        <w:rPr>
          <w:rFonts w:ascii="Arial" w:eastAsia="Arial" w:hAnsi="Arial" w:cs="Arial"/>
          <w:b/>
          <w:color w:val="auto"/>
          <w:sz w:val="22"/>
          <w:szCs w:val="22"/>
          <w:lang w:eastAsia="es-CO"/>
        </w:rPr>
        <w:t>CONCLUSIONES Y RECOMENDACIONES</w:t>
      </w:r>
      <w:bookmarkEnd w:id="64"/>
      <w:r w:rsidRPr="008B4625">
        <w:rPr>
          <w:rFonts w:ascii="Arial" w:eastAsia="Arial" w:hAnsi="Arial" w:cs="Arial"/>
          <w:b/>
          <w:color w:val="auto"/>
          <w:sz w:val="22"/>
          <w:szCs w:val="22"/>
          <w:lang w:eastAsia="es-CO"/>
        </w:rPr>
        <w:t xml:space="preserve"> </w:t>
      </w:r>
    </w:p>
    <w:p w14:paraId="7870F7D7" w14:textId="77777777" w:rsidR="00C02282" w:rsidRPr="006A67B4" w:rsidRDefault="00C02282" w:rsidP="00C02282">
      <w:pPr>
        <w:spacing w:after="0" w:line="240" w:lineRule="auto"/>
        <w:jc w:val="both"/>
        <w:rPr>
          <w:rFonts w:ascii="Arial" w:eastAsia="Arial" w:hAnsi="Arial" w:cs="Arial"/>
          <w:sz w:val="20"/>
          <w:szCs w:val="16"/>
          <w:highlight w:val="yellow"/>
        </w:rPr>
      </w:pPr>
    </w:p>
    <w:p w14:paraId="09558C77" w14:textId="77777777" w:rsidR="008B4625" w:rsidRPr="00B922C1" w:rsidRDefault="008B4625" w:rsidP="008B4625">
      <w:pPr>
        <w:spacing w:after="0" w:line="240" w:lineRule="auto"/>
        <w:jc w:val="both"/>
        <w:rPr>
          <w:rFonts w:ascii="Arial" w:eastAsia="Arial" w:hAnsi="Arial" w:cs="Arial"/>
          <w:szCs w:val="16"/>
        </w:rPr>
      </w:pPr>
      <w:r w:rsidRPr="00B922C1">
        <w:rPr>
          <w:rFonts w:ascii="Arial" w:eastAsia="Arial" w:hAnsi="Arial" w:cs="Arial"/>
          <w:szCs w:val="16"/>
        </w:rPr>
        <w:t xml:space="preserve">El Ministerio de Minas y Energía desde el inicio de la actual vigencia, realizó una planeación en la ejecución de los proyectos de inversión. Para esto, se establecieron metas en compromisos y obligaciones mensuales teniendo en cuenta la dinámica específica del sector por lo que su ejecución no se realiza en partes iguales a lo largo de los trimestres.  </w:t>
      </w:r>
    </w:p>
    <w:p w14:paraId="31FA5499" w14:textId="77777777" w:rsidR="008B4625" w:rsidRPr="00B922C1" w:rsidRDefault="008B4625" w:rsidP="008B4625">
      <w:pPr>
        <w:spacing w:after="0" w:line="240" w:lineRule="auto"/>
        <w:jc w:val="both"/>
        <w:rPr>
          <w:rFonts w:ascii="Arial" w:eastAsia="Arial" w:hAnsi="Arial" w:cs="Arial"/>
          <w:szCs w:val="16"/>
        </w:rPr>
      </w:pPr>
    </w:p>
    <w:p w14:paraId="6B8C413A" w14:textId="77777777" w:rsidR="008B4625" w:rsidRPr="00B922C1" w:rsidRDefault="008B4625" w:rsidP="008B4625">
      <w:pPr>
        <w:spacing w:after="0" w:line="240" w:lineRule="auto"/>
        <w:jc w:val="both"/>
        <w:rPr>
          <w:rFonts w:ascii="Arial" w:eastAsia="Arial" w:hAnsi="Arial" w:cs="Arial"/>
          <w:szCs w:val="16"/>
        </w:rPr>
      </w:pPr>
      <w:r w:rsidRPr="00B922C1">
        <w:rPr>
          <w:rFonts w:ascii="Arial" w:eastAsia="Arial" w:hAnsi="Arial" w:cs="Arial"/>
          <w:szCs w:val="16"/>
        </w:rPr>
        <w:t xml:space="preserve">Igualmente, es importante indicar, que la dinámica en la ejecución presupuestal obedece en algunos casos a aspectos normativos, como, por ejemplo, para el pago de los subsidios o las asignaciones de recursos de los fondos, externalidades y comportamientos de agentes terceros que afectan directamente la constitución de compromisos y obligaciones. </w:t>
      </w:r>
    </w:p>
    <w:p w14:paraId="7EAF517E" w14:textId="77777777" w:rsidR="008B4625" w:rsidRDefault="008B4625" w:rsidP="008B4625">
      <w:pPr>
        <w:spacing w:after="0" w:line="240" w:lineRule="auto"/>
        <w:jc w:val="both"/>
        <w:rPr>
          <w:rFonts w:ascii="Arial" w:eastAsia="Arial" w:hAnsi="Arial" w:cs="Arial"/>
          <w:szCs w:val="16"/>
        </w:rPr>
      </w:pPr>
    </w:p>
    <w:p w14:paraId="26D63FB1" w14:textId="77777777" w:rsidR="008B4625" w:rsidRDefault="008B4625" w:rsidP="008B4625">
      <w:pPr>
        <w:spacing w:after="0" w:line="240" w:lineRule="auto"/>
        <w:jc w:val="both"/>
        <w:rPr>
          <w:rFonts w:ascii="Arial" w:eastAsia="Arial" w:hAnsi="Arial" w:cs="Arial"/>
          <w:szCs w:val="16"/>
        </w:rPr>
      </w:pPr>
      <w:r>
        <w:rPr>
          <w:rFonts w:ascii="Arial" w:eastAsia="Arial" w:hAnsi="Arial" w:cs="Arial"/>
          <w:szCs w:val="16"/>
        </w:rPr>
        <w:t>Durante el segundo trimestre de 2018, conforme al Decreto 662 de 17 de abril de 2018, el Ministerio de Hacienda y Crédito Público realizó un aplazamiento de recursos al Presupuesto General de la Nación de Inversión por valor de $53.870 millones de pesos afectando los proyectos de inversión de cada una de las dependencias del Ministerio de Minas y Energía.</w:t>
      </w:r>
    </w:p>
    <w:p w14:paraId="045638F4" w14:textId="77777777" w:rsidR="008B4625" w:rsidRDefault="008B4625" w:rsidP="008B4625">
      <w:pPr>
        <w:spacing w:after="0" w:line="240" w:lineRule="auto"/>
        <w:jc w:val="both"/>
        <w:rPr>
          <w:rFonts w:ascii="Arial" w:eastAsia="Arial" w:hAnsi="Arial" w:cs="Arial"/>
          <w:szCs w:val="16"/>
        </w:rPr>
      </w:pPr>
    </w:p>
    <w:p w14:paraId="7AD39F56" w14:textId="77777777" w:rsidR="008B4625" w:rsidRPr="00B922C1" w:rsidRDefault="008B4625" w:rsidP="008B4625">
      <w:pPr>
        <w:spacing w:after="0" w:line="240" w:lineRule="auto"/>
        <w:jc w:val="both"/>
        <w:rPr>
          <w:rFonts w:ascii="Arial" w:eastAsia="Arial" w:hAnsi="Arial" w:cs="Arial"/>
          <w:szCs w:val="16"/>
        </w:rPr>
      </w:pPr>
      <w:r>
        <w:rPr>
          <w:rFonts w:ascii="Arial" w:eastAsia="Arial" w:hAnsi="Arial" w:cs="Arial"/>
          <w:szCs w:val="16"/>
        </w:rPr>
        <w:t>Posterior a dicho aplazamiento, el Ministerio de Minas y Energía al c</w:t>
      </w:r>
      <w:r w:rsidRPr="00B922C1">
        <w:rPr>
          <w:rFonts w:ascii="Arial" w:eastAsia="Arial" w:hAnsi="Arial" w:cs="Arial"/>
          <w:szCs w:val="16"/>
        </w:rPr>
        <w:t xml:space="preserve">ierre del </w:t>
      </w:r>
      <w:r>
        <w:rPr>
          <w:rFonts w:ascii="Arial" w:eastAsia="Arial" w:hAnsi="Arial" w:cs="Arial"/>
          <w:szCs w:val="16"/>
        </w:rPr>
        <w:t>primer semestre</w:t>
      </w:r>
      <w:r w:rsidRPr="00B922C1">
        <w:rPr>
          <w:rFonts w:ascii="Arial" w:eastAsia="Arial" w:hAnsi="Arial" w:cs="Arial"/>
          <w:szCs w:val="16"/>
        </w:rPr>
        <w:t xml:space="preserve"> de 2018, </w:t>
      </w:r>
      <w:r>
        <w:rPr>
          <w:rFonts w:ascii="Arial" w:eastAsia="Arial" w:hAnsi="Arial" w:cs="Arial"/>
          <w:szCs w:val="16"/>
        </w:rPr>
        <w:t xml:space="preserve">presentó un valor total de ejecución por $1.912.395 millones de pesos en compromisos y </w:t>
      </w:r>
      <w:r>
        <w:rPr>
          <w:rFonts w:ascii="Arial" w:eastAsia="Arial" w:hAnsi="Arial" w:cs="Arial"/>
          <w:szCs w:val="16"/>
        </w:rPr>
        <w:lastRenderedPageBreak/>
        <w:t>$1.516.368 millones de pesos en obligaciones, equivalentes a un 57,14% y 45,31%; siendo para funcionamiento un 40,53% y para inversión 45,42% ejecutado en obligaciones.</w:t>
      </w:r>
    </w:p>
    <w:p w14:paraId="23949703" w14:textId="77777777" w:rsidR="008B4625" w:rsidRPr="00B922C1" w:rsidRDefault="008B4625" w:rsidP="008B4625">
      <w:pPr>
        <w:spacing w:after="0" w:line="240" w:lineRule="auto"/>
        <w:jc w:val="both"/>
        <w:rPr>
          <w:rFonts w:ascii="Arial" w:eastAsia="Arial" w:hAnsi="Arial" w:cs="Arial"/>
          <w:szCs w:val="16"/>
        </w:rPr>
      </w:pPr>
    </w:p>
    <w:p w14:paraId="16720FCE" w14:textId="77777777" w:rsidR="008B4625" w:rsidRPr="00BF5D56" w:rsidRDefault="008B4625" w:rsidP="008B4625">
      <w:pPr>
        <w:spacing w:after="0" w:line="240" w:lineRule="auto"/>
        <w:jc w:val="both"/>
        <w:rPr>
          <w:rFonts w:ascii="Arial" w:eastAsia="Arial" w:hAnsi="Arial" w:cs="Arial"/>
          <w:szCs w:val="20"/>
        </w:rPr>
      </w:pPr>
      <w:r w:rsidRPr="00B922C1">
        <w:rPr>
          <w:rFonts w:ascii="Arial" w:eastAsia="Arial" w:hAnsi="Arial" w:cs="Arial"/>
          <w:szCs w:val="16"/>
        </w:rPr>
        <w:t>Finalmente, las Reservas Presupuestales del Ministerio de Minas y Energía a 31 diciembre de 201</w:t>
      </w:r>
      <w:r>
        <w:rPr>
          <w:rFonts w:ascii="Arial" w:eastAsia="Arial" w:hAnsi="Arial" w:cs="Arial"/>
          <w:szCs w:val="16"/>
        </w:rPr>
        <w:t>7</w:t>
      </w:r>
      <w:r w:rsidRPr="00B922C1">
        <w:rPr>
          <w:rFonts w:ascii="Arial" w:eastAsia="Arial" w:hAnsi="Arial" w:cs="Arial"/>
          <w:szCs w:val="16"/>
        </w:rPr>
        <w:t xml:space="preserve"> se constituyeron por valor de $</w:t>
      </w:r>
      <w:r>
        <w:rPr>
          <w:rFonts w:ascii="Arial" w:eastAsia="Arial" w:hAnsi="Arial" w:cs="Arial"/>
          <w:szCs w:val="16"/>
        </w:rPr>
        <w:t>187.976</w:t>
      </w:r>
      <w:r w:rsidRPr="00B922C1">
        <w:rPr>
          <w:rFonts w:ascii="Arial" w:eastAsia="Arial" w:hAnsi="Arial" w:cs="Arial"/>
          <w:szCs w:val="16"/>
        </w:rPr>
        <w:t xml:space="preserve"> millones de pesos</w:t>
      </w:r>
      <w:r>
        <w:rPr>
          <w:rFonts w:ascii="Arial" w:eastAsia="Arial" w:hAnsi="Arial" w:cs="Arial"/>
          <w:szCs w:val="16"/>
        </w:rPr>
        <w:t xml:space="preserve"> ejecutando en pagos $99.583 millones de pesos, es decir un 52,98% en el semestre.</w:t>
      </w:r>
      <w:r w:rsidRPr="00BF5D56">
        <w:rPr>
          <w:rFonts w:ascii="Arial" w:eastAsia="Arial" w:hAnsi="Arial" w:cs="Arial"/>
          <w:szCs w:val="16"/>
        </w:rPr>
        <w:t xml:space="preserve"> </w:t>
      </w:r>
    </w:p>
    <w:p w14:paraId="361D72CE" w14:textId="77777777" w:rsidR="00C02282" w:rsidRPr="006A67B4" w:rsidRDefault="00C02282" w:rsidP="00C02282">
      <w:pPr>
        <w:spacing w:after="0" w:line="240" w:lineRule="auto"/>
        <w:rPr>
          <w:rFonts w:ascii="Arial" w:eastAsia="Calibri" w:hAnsi="Arial" w:cs="Arial"/>
          <w:highlight w:val="yellow"/>
        </w:rPr>
      </w:pPr>
    </w:p>
    <w:p w14:paraId="22CA1770" w14:textId="77777777" w:rsidR="00C02282" w:rsidRPr="006A67B4" w:rsidRDefault="00C02282" w:rsidP="00C02282">
      <w:pPr>
        <w:spacing w:after="0" w:line="240" w:lineRule="auto"/>
        <w:rPr>
          <w:rFonts w:ascii="Arial" w:eastAsia="Calibri" w:hAnsi="Arial" w:cs="Arial"/>
          <w:highlight w:val="yellow"/>
        </w:rPr>
      </w:pPr>
    </w:p>
    <w:p w14:paraId="56BB156B" w14:textId="77777777" w:rsidR="00C02282" w:rsidRPr="00B316A8" w:rsidRDefault="00C02282" w:rsidP="00C02282">
      <w:pPr>
        <w:pStyle w:val="Ttulo1"/>
        <w:ind w:left="426"/>
        <w:rPr>
          <w:rFonts w:ascii="Arial" w:eastAsia="Arial" w:hAnsi="Arial" w:cs="Arial"/>
          <w:b/>
          <w:color w:val="auto"/>
          <w:sz w:val="22"/>
          <w:szCs w:val="22"/>
          <w:lang w:eastAsia="es-CO"/>
        </w:rPr>
      </w:pPr>
      <w:bookmarkStart w:id="65" w:name="_Toc525652023"/>
      <w:r w:rsidRPr="00B316A8">
        <w:rPr>
          <w:rFonts w:ascii="Arial" w:eastAsia="Arial" w:hAnsi="Arial" w:cs="Arial"/>
          <w:b/>
          <w:color w:val="auto"/>
          <w:sz w:val="22"/>
          <w:szCs w:val="22"/>
          <w:lang w:eastAsia="es-CO"/>
        </w:rPr>
        <w:t>B. INSTITUTO DE PLANIFICACIÓN Y PROMOCIÓN DE SOLUCIONES ENERGÉTICAS PARA LAS ZONAS NO INTERCONECTADAS – IPSE:</w:t>
      </w:r>
      <w:bookmarkEnd w:id="65"/>
      <w:r w:rsidRPr="00B316A8">
        <w:rPr>
          <w:rFonts w:ascii="Arial" w:eastAsia="Arial" w:hAnsi="Arial" w:cs="Arial"/>
          <w:b/>
          <w:color w:val="auto"/>
          <w:sz w:val="22"/>
          <w:szCs w:val="22"/>
          <w:lang w:eastAsia="es-CO"/>
        </w:rPr>
        <w:t xml:space="preserve"> </w:t>
      </w:r>
    </w:p>
    <w:p w14:paraId="623193D1" w14:textId="77777777" w:rsidR="00C02282" w:rsidRPr="00B316A8" w:rsidRDefault="00C02282" w:rsidP="008B4625">
      <w:pPr>
        <w:pStyle w:val="Ttulo1"/>
        <w:numPr>
          <w:ilvl w:val="0"/>
          <w:numId w:val="34"/>
        </w:numPr>
        <w:rPr>
          <w:rFonts w:ascii="Arial" w:eastAsia="Calibri" w:hAnsi="Arial" w:cs="Arial"/>
          <w:color w:val="auto"/>
          <w:sz w:val="22"/>
          <w:szCs w:val="22"/>
        </w:rPr>
      </w:pPr>
      <w:bookmarkStart w:id="66" w:name="_Toc525652024"/>
      <w:r w:rsidRPr="00B316A8">
        <w:rPr>
          <w:rFonts w:ascii="Arial" w:eastAsia="Arial" w:hAnsi="Arial" w:cs="Arial"/>
          <w:b/>
          <w:color w:val="auto"/>
          <w:sz w:val="22"/>
          <w:szCs w:val="22"/>
          <w:lang w:eastAsia="es-CO"/>
        </w:rPr>
        <w:t>COMPOSICIÓN DEL PRESUPUESTO DEL IPSE</w:t>
      </w:r>
      <w:bookmarkEnd w:id="66"/>
      <w:r w:rsidRPr="00B316A8">
        <w:rPr>
          <w:rFonts w:ascii="Arial" w:eastAsia="Arial" w:hAnsi="Arial" w:cs="Arial"/>
          <w:b/>
          <w:color w:val="auto"/>
          <w:sz w:val="22"/>
          <w:szCs w:val="22"/>
          <w:lang w:eastAsia="es-CO"/>
        </w:rPr>
        <w:t xml:space="preserve"> </w:t>
      </w:r>
    </w:p>
    <w:p w14:paraId="2300B2FC" w14:textId="77777777" w:rsidR="00C02282" w:rsidRPr="00B316A8" w:rsidRDefault="00C02282" w:rsidP="00C02282">
      <w:pPr>
        <w:spacing w:after="0" w:line="240" w:lineRule="auto"/>
        <w:jc w:val="both"/>
        <w:rPr>
          <w:rFonts w:ascii="Arial" w:hAnsi="Arial" w:cs="Arial"/>
          <w:lang w:eastAsia="es-ES"/>
        </w:rPr>
      </w:pPr>
    </w:p>
    <w:p w14:paraId="6CDF4343" w14:textId="77777777" w:rsidR="00C02282" w:rsidRPr="00B316A8" w:rsidRDefault="00C02282" w:rsidP="00C02282">
      <w:pPr>
        <w:spacing w:after="0" w:line="240" w:lineRule="auto"/>
        <w:rPr>
          <w:rFonts w:ascii="Arial" w:hAnsi="Arial" w:cs="Arial"/>
          <w:lang w:eastAsia="es-ES"/>
        </w:rPr>
      </w:pPr>
      <w:r w:rsidRPr="00B316A8">
        <w:rPr>
          <w:rFonts w:ascii="Arial" w:hAnsi="Arial" w:cs="Arial"/>
          <w:sz w:val="16"/>
          <w:szCs w:val="16"/>
          <w:lang w:eastAsia="es-ES"/>
        </w:rPr>
        <w:t xml:space="preserve">                                                                                                                                                                </w:t>
      </w:r>
    </w:p>
    <w:p w14:paraId="4C2459C0" w14:textId="040A7153" w:rsidR="00C02282" w:rsidRPr="00B316A8" w:rsidRDefault="00C02282" w:rsidP="00C02282">
      <w:pPr>
        <w:pStyle w:val="Descripcin"/>
        <w:keepNext/>
        <w:jc w:val="center"/>
      </w:pPr>
      <w:bookmarkStart w:id="67" w:name="_Toc525652425"/>
      <w:r w:rsidRPr="00B316A8">
        <w:t xml:space="preserve">Gráfica </w:t>
      </w:r>
      <w:r w:rsidR="00B6251B">
        <w:fldChar w:fldCharType="begin"/>
      </w:r>
      <w:r w:rsidR="00B6251B">
        <w:instrText xml:space="preserve"> SEQ Gráfica \* ARABIC </w:instrText>
      </w:r>
      <w:r w:rsidR="00B6251B">
        <w:fldChar w:fldCharType="separate"/>
      </w:r>
      <w:r w:rsidR="00B6251B">
        <w:rPr>
          <w:noProof/>
        </w:rPr>
        <w:t>12</w:t>
      </w:r>
      <w:r w:rsidR="00B6251B">
        <w:fldChar w:fldCharType="end"/>
      </w:r>
      <w:r w:rsidRPr="00B316A8">
        <w:t xml:space="preserve"> Distribución Presupuesto de la entidad - vigencia 2018 IPSE</w:t>
      </w:r>
      <w:bookmarkEnd w:id="67"/>
    </w:p>
    <w:p w14:paraId="2993F0B2" w14:textId="77777777" w:rsidR="00C02282" w:rsidRPr="00B316A8" w:rsidRDefault="00C02282" w:rsidP="00C02282">
      <w:pPr>
        <w:keepNext/>
        <w:spacing w:after="0" w:line="240" w:lineRule="auto"/>
        <w:jc w:val="center"/>
      </w:pPr>
      <w:r w:rsidRPr="00B316A8">
        <w:rPr>
          <w:noProof/>
          <w:lang w:eastAsia="es-CO"/>
        </w:rPr>
        <w:drawing>
          <wp:inline distT="0" distB="0" distL="0" distR="0" wp14:anchorId="7679F61F" wp14:editId="3A1BED36">
            <wp:extent cx="4506587" cy="16192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3929" cy="1621888"/>
                    </a:xfrm>
                    <a:prstGeom prst="rect">
                      <a:avLst/>
                    </a:prstGeom>
                    <a:noFill/>
                    <a:ln>
                      <a:noFill/>
                    </a:ln>
                  </pic:spPr>
                </pic:pic>
              </a:graphicData>
            </a:graphic>
          </wp:inline>
        </w:drawing>
      </w:r>
    </w:p>
    <w:p w14:paraId="2B859D41" w14:textId="77777777" w:rsidR="00C02282" w:rsidRPr="00B316A8" w:rsidRDefault="00C02282" w:rsidP="00C02282">
      <w:pPr>
        <w:spacing w:after="0" w:line="240" w:lineRule="auto"/>
        <w:jc w:val="center"/>
        <w:rPr>
          <w:rFonts w:ascii="Arial" w:eastAsia="Calibri" w:hAnsi="Arial" w:cs="Arial"/>
        </w:rPr>
      </w:pPr>
      <w:r w:rsidRPr="00B316A8">
        <w:rPr>
          <w:rFonts w:ascii="Arial" w:eastAsia="Calibri" w:hAnsi="Arial" w:cs="Arial"/>
          <w:sz w:val="16"/>
          <w:szCs w:val="16"/>
        </w:rPr>
        <w:t>Fuente: SIIF Nación – Coordinación Recursos Financieros, IPSE</w:t>
      </w:r>
    </w:p>
    <w:p w14:paraId="3FEE901E" w14:textId="77777777" w:rsidR="00C02282" w:rsidRPr="00B316A8" w:rsidRDefault="00C02282" w:rsidP="008B4625">
      <w:pPr>
        <w:pStyle w:val="Ttulo2"/>
        <w:numPr>
          <w:ilvl w:val="1"/>
          <w:numId w:val="27"/>
        </w:numPr>
        <w:spacing w:line="240" w:lineRule="auto"/>
        <w:jc w:val="both"/>
        <w:rPr>
          <w:rFonts w:ascii="Arial" w:eastAsia="Calibri" w:hAnsi="Arial" w:cs="Arial"/>
          <w:color w:val="auto"/>
          <w:sz w:val="22"/>
          <w:szCs w:val="22"/>
        </w:rPr>
      </w:pPr>
      <w:bookmarkStart w:id="68" w:name="_Toc525652025"/>
      <w:r w:rsidRPr="00B316A8">
        <w:rPr>
          <w:rFonts w:ascii="Arial" w:eastAsia="Calibri" w:hAnsi="Arial" w:cs="Arial"/>
          <w:color w:val="auto"/>
          <w:sz w:val="22"/>
          <w:szCs w:val="22"/>
        </w:rPr>
        <w:t>Composición del Presupuesto de Funcionamiento del IPSE</w:t>
      </w:r>
      <w:bookmarkEnd w:id="68"/>
      <w:r w:rsidRPr="00B316A8">
        <w:rPr>
          <w:rFonts w:ascii="Arial" w:eastAsia="Calibri" w:hAnsi="Arial" w:cs="Arial"/>
          <w:color w:val="auto"/>
          <w:sz w:val="22"/>
          <w:szCs w:val="22"/>
        </w:rPr>
        <w:t xml:space="preserve"> </w:t>
      </w:r>
    </w:p>
    <w:p w14:paraId="3E1BB002" w14:textId="77777777" w:rsidR="00C02282" w:rsidRPr="00B316A8" w:rsidRDefault="00C02282" w:rsidP="00C02282">
      <w:pPr>
        <w:spacing w:after="0" w:line="240" w:lineRule="auto"/>
        <w:jc w:val="both"/>
        <w:rPr>
          <w:rFonts w:ascii="Arial" w:eastAsia="Calibri" w:hAnsi="Arial" w:cs="Arial"/>
        </w:rPr>
      </w:pPr>
    </w:p>
    <w:p w14:paraId="473BFFCA" w14:textId="77777777" w:rsidR="00C02282" w:rsidRPr="00B316A8" w:rsidRDefault="00C02282" w:rsidP="00C02282">
      <w:pPr>
        <w:spacing w:after="0" w:line="240" w:lineRule="auto"/>
        <w:jc w:val="both"/>
        <w:rPr>
          <w:rFonts w:ascii="Arial" w:eastAsia="Calibri" w:hAnsi="Arial" w:cs="Arial"/>
        </w:rPr>
      </w:pPr>
      <w:r w:rsidRPr="00B316A8">
        <w:rPr>
          <w:rFonts w:ascii="Arial" w:eastAsia="Calibri" w:hAnsi="Arial" w:cs="Arial"/>
        </w:rPr>
        <w:t>La entidad presenta un presupuesto total para funcionamiento de $31.130,9 millones distribuido de la siguiente manera:</w:t>
      </w:r>
    </w:p>
    <w:p w14:paraId="63D0B1A9" w14:textId="77777777" w:rsidR="00C02282" w:rsidRPr="00B316A8" w:rsidRDefault="00C02282" w:rsidP="00C02282">
      <w:pPr>
        <w:spacing w:after="0" w:line="240" w:lineRule="auto"/>
        <w:jc w:val="both"/>
        <w:rPr>
          <w:rFonts w:ascii="Arial" w:eastAsia="Calibri" w:hAnsi="Arial" w:cs="Arial"/>
        </w:rPr>
      </w:pPr>
    </w:p>
    <w:p w14:paraId="583C92F5" w14:textId="77777777" w:rsidR="00C02282" w:rsidRPr="00B316A8" w:rsidRDefault="00C02282" w:rsidP="00C02282">
      <w:pPr>
        <w:pStyle w:val="Descripcin"/>
        <w:keepNext/>
        <w:jc w:val="center"/>
      </w:pPr>
      <w:bookmarkStart w:id="69" w:name="_Toc525652480"/>
      <w:r w:rsidRPr="00B316A8">
        <w:t xml:space="preserve">Tabla </w:t>
      </w:r>
      <w:r w:rsidRPr="00B316A8">
        <w:fldChar w:fldCharType="begin"/>
      </w:r>
      <w:r w:rsidRPr="00B316A8">
        <w:instrText xml:space="preserve"> SEQ Tabla \* ARABIC </w:instrText>
      </w:r>
      <w:r w:rsidRPr="00B316A8">
        <w:fldChar w:fldCharType="separate"/>
      </w:r>
      <w:r w:rsidR="008B4625">
        <w:rPr>
          <w:noProof/>
        </w:rPr>
        <w:t>35</w:t>
      </w:r>
      <w:r w:rsidRPr="00B316A8">
        <w:fldChar w:fldCharType="end"/>
      </w:r>
      <w:r w:rsidRPr="00B316A8">
        <w:t>Distribución Presupuesto Funcionamiento - vigencia 2018 IPSE</w:t>
      </w:r>
      <w:bookmarkEnd w:id="69"/>
    </w:p>
    <w:tbl>
      <w:tblPr>
        <w:tblW w:w="8653" w:type="dxa"/>
        <w:tblCellMar>
          <w:left w:w="70" w:type="dxa"/>
          <w:right w:w="70" w:type="dxa"/>
        </w:tblCellMar>
        <w:tblLook w:val="04A0" w:firstRow="1" w:lastRow="0" w:firstColumn="1" w:lastColumn="0" w:noHBand="0" w:noVBand="1"/>
      </w:tblPr>
      <w:tblGrid>
        <w:gridCol w:w="4357"/>
        <w:gridCol w:w="2118"/>
        <w:gridCol w:w="2178"/>
      </w:tblGrid>
      <w:tr w:rsidR="00C02282" w:rsidRPr="00B316A8" w14:paraId="0FB7DD74" w14:textId="77777777" w:rsidTr="00E84C6B">
        <w:trPr>
          <w:trHeight w:val="802"/>
        </w:trPr>
        <w:tc>
          <w:tcPr>
            <w:tcW w:w="4357"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26DEB6CB"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Concepto</w:t>
            </w:r>
          </w:p>
        </w:tc>
        <w:tc>
          <w:tcPr>
            <w:tcW w:w="2118" w:type="dxa"/>
            <w:tcBorders>
              <w:top w:val="single" w:sz="8" w:space="0" w:color="auto"/>
              <w:left w:val="nil"/>
              <w:bottom w:val="single" w:sz="8" w:space="0" w:color="auto"/>
              <w:right w:val="single" w:sz="4" w:space="0" w:color="auto"/>
            </w:tcBorders>
            <w:shd w:val="clear" w:color="000000" w:fill="1F4E78"/>
            <w:vAlign w:val="center"/>
            <w:hideMark/>
          </w:tcPr>
          <w:p w14:paraId="491751E7"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Apropiación Inicial 2018</w:t>
            </w:r>
          </w:p>
        </w:tc>
        <w:tc>
          <w:tcPr>
            <w:tcW w:w="2178" w:type="dxa"/>
            <w:tcBorders>
              <w:top w:val="single" w:sz="8" w:space="0" w:color="auto"/>
              <w:left w:val="nil"/>
              <w:bottom w:val="single" w:sz="8" w:space="0" w:color="auto"/>
              <w:right w:val="single" w:sz="8" w:space="0" w:color="auto"/>
            </w:tcBorders>
            <w:shd w:val="clear" w:color="000000" w:fill="1F4E78"/>
            <w:vAlign w:val="center"/>
            <w:hideMark/>
          </w:tcPr>
          <w:p w14:paraId="1EADE1B0"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Apropiación</w:t>
            </w:r>
            <w:r w:rsidRPr="00B316A8">
              <w:rPr>
                <w:rFonts w:ascii="Arial" w:eastAsia="Times New Roman" w:hAnsi="Arial" w:cs="Arial"/>
                <w:b/>
                <w:bCs/>
                <w:color w:val="FFFFFF"/>
                <w:lang w:eastAsia="es-CO"/>
              </w:rPr>
              <w:br/>
              <w:t>Vigente 2018</w:t>
            </w:r>
          </w:p>
        </w:tc>
      </w:tr>
      <w:tr w:rsidR="00C02282" w:rsidRPr="00B316A8" w14:paraId="1DD27D72" w14:textId="77777777" w:rsidTr="00E84C6B">
        <w:trPr>
          <w:trHeight w:val="262"/>
        </w:trPr>
        <w:tc>
          <w:tcPr>
            <w:tcW w:w="4357" w:type="dxa"/>
            <w:tcBorders>
              <w:top w:val="nil"/>
              <w:left w:val="single" w:sz="8" w:space="0" w:color="auto"/>
              <w:bottom w:val="single" w:sz="4" w:space="0" w:color="auto"/>
              <w:right w:val="single" w:sz="4" w:space="0" w:color="auto"/>
            </w:tcBorders>
            <w:shd w:val="clear" w:color="auto" w:fill="auto"/>
            <w:noWrap/>
            <w:vAlign w:val="center"/>
            <w:hideMark/>
          </w:tcPr>
          <w:p w14:paraId="1BB76DAE"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Gastos de Personal </w:t>
            </w:r>
          </w:p>
        </w:tc>
        <w:tc>
          <w:tcPr>
            <w:tcW w:w="2118" w:type="dxa"/>
            <w:tcBorders>
              <w:top w:val="nil"/>
              <w:left w:val="nil"/>
              <w:bottom w:val="nil"/>
              <w:right w:val="single" w:sz="4" w:space="0" w:color="auto"/>
            </w:tcBorders>
            <w:shd w:val="clear" w:color="000000" w:fill="FFFFFF"/>
            <w:noWrap/>
            <w:vAlign w:val="center"/>
            <w:hideMark/>
          </w:tcPr>
          <w:p w14:paraId="66F76B13"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$7.099,68                      </w:t>
            </w:r>
          </w:p>
        </w:tc>
        <w:tc>
          <w:tcPr>
            <w:tcW w:w="2178" w:type="dxa"/>
            <w:tcBorders>
              <w:top w:val="nil"/>
              <w:left w:val="nil"/>
              <w:bottom w:val="single" w:sz="4" w:space="0" w:color="auto"/>
              <w:right w:val="single" w:sz="8" w:space="0" w:color="auto"/>
            </w:tcBorders>
            <w:shd w:val="clear" w:color="auto" w:fill="auto"/>
            <w:noWrap/>
            <w:vAlign w:val="center"/>
            <w:hideMark/>
          </w:tcPr>
          <w:p w14:paraId="3CD3A0F4"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$7.099,68                          </w:t>
            </w:r>
          </w:p>
        </w:tc>
      </w:tr>
      <w:tr w:rsidR="00C02282" w:rsidRPr="00B316A8" w14:paraId="427C77E9" w14:textId="77777777" w:rsidTr="00E84C6B">
        <w:trPr>
          <w:trHeight w:val="262"/>
        </w:trPr>
        <w:tc>
          <w:tcPr>
            <w:tcW w:w="4357" w:type="dxa"/>
            <w:tcBorders>
              <w:top w:val="nil"/>
              <w:left w:val="single" w:sz="8" w:space="0" w:color="auto"/>
              <w:bottom w:val="single" w:sz="4" w:space="0" w:color="auto"/>
              <w:right w:val="single" w:sz="4" w:space="0" w:color="auto"/>
            </w:tcBorders>
            <w:shd w:val="clear" w:color="auto" w:fill="auto"/>
            <w:noWrap/>
            <w:vAlign w:val="center"/>
            <w:hideMark/>
          </w:tcPr>
          <w:p w14:paraId="2F2338DC"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Gastos Generales </w:t>
            </w:r>
          </w:p>
        </w:tc>
        <w:tc>
          <w:tcPr>
            <w:tcW w:w="2118" w:type="dxa"/>
            <w:tcBorders>
              <w:top w:val="single" w:sz="4" w:space="0" w:color="auto"/>
              <w:left w:val="nil"/>
              <w:bottom w:val="nil"/>
              <w:right w:val="single" w:sz="4" w:space="0" w:color="auto"/>
            </w:tcBorders>
            <w:shd w:val="clear" w:color="000000" w:fill="FFFFFF"/>
            <w:noWrap/>
            <w:vAlign w:val="center"/>
            <w:hideMark/>
          </w:tcPr>
          <w:p w14:paraId="75491D78"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$4.479,99                     </w:t>
            </w:r>
          </w:p>
        </w:tc>
        <w:tc>
          <w:tcPr>
            <w:tcW w:w="2178" w:type="dxa"/>
            <w:tcBorders>
              <w:top w:val="nil"/>
              <w:left w:val="nil"/>
              <w:bottom w:val="single" w:sz="4" w:space="0" w:color="auto"/>
              <w:right w:val="single" w:sz="8" w:space="0" w:color="auto"/>
            </w:tcBorders>
            <w:shd w:val="clear" w:color="auto" w:fill="auto"/>
            <w:noWrap/>
            <w:vAlign w:val="center"/>
            <w:hideMark/>
          </w:tcPr>
          <w:p w14:paraId="10FC84B9"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$4.479,99                    </w:t>
            </w:r>
          </w:p>
        </w:tc>
      </w:tr>
      <w:tr w:rsidR="00C02282" w:rsidRPr="00B316A8" w14:paraId="4EEA72F5" w14:textId="77777777" w:rsidTr="00E84C6B">
        <w:trPr>
          <w:trHeight w:val="262"/>
        </w:trPr>
        <w:tc>
          <w:tcPr>
            <w:tcW w:w="4357" w:type="dxa"/>
            <w:tcBorders>
              <w:top w:val="nil"/>
              <w:left w:val="single" w:sz="8" w:space="0" w:color="auto"/>
              <w:bottom w:val="single" w:sz="4" w:space="0" w:color="auto"/>
              <w:right w:val="single" w:sz="4" w:space="0" w:color="auto"/>
            </w:tcBorders>
            <w:shd w:val="clear" w:color="auto" w:fill="auto"/>
            <w:noWrap/>
            <w:vAlign w:val="center"/>
            <w:hideMark/>
          </w:tcPr>
          <w:p w14:paraId="3C110328"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Transferencias </w:t>
            </w:r>
          </w:p>
        </w:tc>
        <w:tc>
          <w:tcPr>
            <w:tcW w:w="2118" w:type="dxa"/>
            <w:tcBorders>
              <w:top w:val="single" w:sz="4" w:space="0" w:color="auto"/>
              <w:left w:val="nil"/>
              <w:bottom w:val="nil"/>
              <w:right w:val="single" w:sz="4" w:space="0" w:color="auto"/>
            </w:tcBorders>
            <w:shd w:val="clear" w:color="000000" w:fill="FFFFFF"/>
            <w:noWrap/>
            <w:vAlign w:val="center"/>
            <w:hideMark/>
          </w:tcPr>
          <w:p w14:paraId="73B2E361"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$4.124,27           </w:t>
            </w:r>
          </w:p>
        </w:tc>
        <w:tc>
          <w:tcPr>
            <w:tcW w:w="2178" w:type="dxa"/>
            <w:tcBorders>
              <w:top w:val="nil"/>
              <w:left w:val="nil"/>
              <w:bottom w:val="single" w:sz="4" w:space="0" w:color="auto"/>
              <w:right w:val="single" w:sz="8" w:space="0" w:color="auto"/>
            </w:tcBorders>
            <w:shd w:val="clear" w:color="auto" w:fill="auto"/>
            <w:noWrap/>
            <w:vAlign w:val="center"/>
            <w:hideMark/>
          </w:tcPr>
          <w:p w14:paraId="30C9F5E0"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$4.124,27                            </w:t>
            </w:r>
          </w:p>
        </w:tc>
      </w:tr>
      <w:tr w:rsidR="00C02282" w:rsidRPr="00B316A8" w14:paraId="7E2C7FCE" w14:textId="77777777" w:rsidTr="00E84C6B">
        <w:trPr>
          <w:trHeight w:val="276"/>
        </w:trPr>
        <w:tc>
          <w:tcPr>
            <w:tcW w:w="4357" w:type="dxa"/>
            <w:tcBorders>
              <w:top w:val="nil"/>
              <w:left w:val="single" w:sz="8" w:space="0" w:color="auto"/>
              <w:bottom w:val="single" w:sz="8" w:space="0" w:color="auto"/>
              <w:right w:val="single" w:sz="4" w:space="0" w:color="auto"/>
            </w:tcBorders>
            <w:shd w:val="clear" w:color="auto" w:fill="auto"/>
            <w:noWrap/>
            <w:vAlign w:val="center"/>
            <w:hideMark/>
          </w:tcPr>
          <w:p w14:paraId="13490004"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Gastos de Comercialización y Operación</w:t>
            </w:r>
          </w:p>
        </w:tc>
        <w:tc>
          <w:tcPr>
            <w:tcW w:w="2118" w:type="dxa"/>
            <w:tcBorders>
              <w:top w:val="single" w:sz="4" w:space="0" w:color="auto"/>
              <w:left w:val="nil"/>
              <w:bottom w:val="single" w:sz="8" w:space="0" w:color="auto"/>
              <w:right w:val="single" w:sz="4" w:space="0" w:color="auto"/>
            </w:tcBorders>
            <w:shd w:val="clear" w:color="000000" w:fill="FFFFFF"/>
            <w:noWrap/>
            <w:vAlign w:val="center"/>
            <w:hideMark/>
          </w:tcPr>
          <w:p w14:paraId="72925937"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$15.426,97                             </w:t>
            </w:r>
          </w:p>
        </w:tc>
        <w:tc>
          <w:tcPr>
            <w:tcW w:w="2178" w:type="dxa"/>
            <w:tcBorders>
              <w:top w:val="nil"/>
              <w:left w:val="nil"/>
              <w:bottom w:val="single" w:sz="8" w:space="0" w:color="auto"/>
              <w:right w:val="single" w:sz="8" w:space="0" w:color="auto"/>
            </w:tcBorders>
            <w:shd w:val="clear" w:color="auto" w:fill="auto"/>
            <w:noWrap/>
            <w:vAlign w:val="center"/>
            <w:hideMark/>
          </w:tcPr>
          <w:p w14:paraId="737582EC" w14:textId="77777777" w:rsidR="00C02282" w:rsidRPr="00B316A8" w:rsidRDefault="00C02282" w:rsidP="006A67B4">
            <w:pPr>
              <w:spacing w:after="0" w:line="240" w:lineRule="auto"/>
              <w:jc w:val="center"/>
              <w:rPr>
                <w:rFonts w:ascii="Arial" w:eastAsia="Times New Roman" w:hAnsi="Arial" w:cs="Arial"/>
                <w:lang w:eastAsia="es-CO"/>
              </w:rPr>
            </w:pPr>
            <w:r w:rsidRPr="00B316A8">
              <w:rPr>
                <w:rFonts w:ascii="Arial" w:eastAsia="Times New Roman" w:hAnsi="Arial" w:cs="Arial"/>
                <w:lang w:eastAsia="es-CO"/>
              </w:rPr>
              <w:t xml:space="preserve">   $15.426,97                             </w:t>
            </w:r>
          </w:p>
        </w:tc>
      </w:tr>
      <w:tr w:rsidR="00C02282" w:rsidRPr="00B316A8" w14:paraId="2521BEEA" w14:textId="77777777" w:rsidTr="00E84C6B">
        <w:trPr>
          <w:trHeight w:val="288"/>
        </w:trPr>
        <w:tc>
          <w:tcPr>
            <w:tcW w:w="4357" w:type="dxa"/>
            <w:tcBorders>
              <w:top w:val="nil"/>
              <w:left w:val="single" w:sz="8" w:space="0" w:color="auto"/>
              <w:bottom w:val="single" w:sz="8" w:space="0" w:color="auto"/>
              <w:right w:val="single" w:sz="4" w:space="0" w:color="auto"/>
            </w:tcBorders>
            <w:shd w:val="clear" w:color="000000" w:fill="1F4E78"/>
            <w:vAlign w:val="center"/>
            <w:hideMark/>
          </w:tcPr>
          <w:p w14:paraId="0C300D95"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Total Funcionamiento</w:t>
            </w:r>
          </w:p>
        </w:tc>
        <w:tc>
          <w:tcPr>
            <w:tcW w:w="2118" w:type="dxa"/>
            <w:tcBorders>
              <w:top w:val="nil"/>
              <w:left w:val="nil"/>
              <w:bottom w:val="single" w:sz="8" w:space="0" w:color="auto"/>
              <w:right w:val="single" w:sz="4" w:space="0" w:color="auto"/>
            </w:tcBorders>
            <w:shd w:val="clear" w:color="000000" w:fill="1F4E78"/>
            <w:noWrap/>
            <w:vAlign w:val="center"/>
            <w:hideMark/>
          </w:tcPr>
          <w:p w14:paraId="2A85B777"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 xml:space="preserve">  $31.130,93                            </w:t>
            </w:r>
          </w:p>
        </w:tc>
        <w:tc>
          <w:tcPr>
            <w:tcW w:w="2178" w:type="dxa"/>
            <w:tcBorders>
              <w:top w:val="nil"/>
              <w:left w:val="nil"/>
              <w:bottom w:val="single" w:sz="8" w:space="0" w:color="auto"/>
              <w:right w:val="single" w:sz="4" w:space="0" w:color="auto"/>
            </w:tcBorders>
            <w:shd w:val="clear" w:color="000000" w:fill="1F4E78"/>
            <w:noWrap/>
            <w:vAlign w:val="center"/>
            <w:hideMark/>
          </w:tcPr>
          <w:p w14:paraId="66DC1BC2"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 xml:space="preserve"> $31.130,93                            </w:t>
            </w:r>
          </w:p>
        </w:tc>
      </w:tr>
    </w:tbl>
    <w:p w14:paraId="1AA5DDE5" w14:textId="77777777" w:rsidR="00C02282" w:rsidRPr="00B316A8" w:rsidRDefault="00C02282" w:rsidP="00C02282">
      <w:pPr>
        <w:spacing w:after="0" w:line="240" w:lineRule="auto"/>
        <w:jc w:val="center"/>
        <w:rPr>
          <w:rFonts w:ascii="Arial" w:eastAsia="Calibri" w:hAnsi="Arial" w:cs="Arial"/>
          <w:sz w:val="16"/>
          <w:szCs w:val="16"/>
        </w:rPr>
      </w:pPr>
      <w:r w:rsidRPr="00B316A8">
        <w:rPr>
          <w:rFonts w:ascii="Arial" w:hAnsi="Arial" w:cs="Arial"/>
          <w:sz w:val="16"/>
          <w:szCs w:val="16"/>
          <w:lang w:eastAsia="es-ES"/>
        </w:rPr>
        <w:t>Millones de pesos</w:t>
      </w:r>
    </w:p>
    <w:p w14:paraId="683E4739" w14:textId="77777777" w:rsidR="00C02282" w:rsidRPr="00B316A8" w:rsidRDefault="00C02282" w:rsidP="00C02282">
      <w:pPr>
        <w:spacing w:after="0" w:line="240" w:lineRule="auto"/>
        <w:jc w:val="center"/>
        <w:rPr>
          <w:rFonts w:ascii="Arial" w:eastAsia="Calibri" w:hAnsi="Arial" w:cs="Arial"/>
          <w:sz w:val="16"/>
          <w:szCs w:val="16"/>
        </w:rPr>
      </w:pPr>
      <w:r w:rsidRPr="00B316A8">
        <w:rPr>
          <w:rFonts w:ascii="Arial" w:eastAsia="Calibri" w:hAnsi="Arial" w:cs="Arial"/>
          <w:sz w:val="16"/>
          <w:szCs w:val="16"/>
        </w:rPr>
        <w:t>Fuente: SIIF Nación – Coordinación Recursos Financieros, IPSE</w:t>
      </w:r>
    </w:p>
    <w:p w14:paraId="383F35EA" w14:textId="77777777" w:rsidR="00C02282" w:rsidRPr="00B316A8" w:rsidRDefault="00C02282" w:rsidP="008B4625">
      <w:pPr>
        <w:pStyle w:val="Ttulo2"/>
        <w:numPr>
          <w:ilvl w:val="1"/>
          <w:numId w:val="27"/>
        </w:numPr>
        <w:spacing w:line="240" w:lineRule="auto"/>
        <w:jc w:val="both"/>
        <w:rPr>
          <w:rFonts w:ascii="Arial" w:eastAsia="Calibri" w:hAnsi="Arial" w:cs="Arial"/>
          <w:color w:val="auto"/>
          <w:sz w:val="22"/>
          <w:szCs w:val="22"/>
        </w:rPr>
      </w:pPr>
      <w:bookmarkStart w:id="70" w:name="_Toc525652026"/>
      <w:r w:rsidRPr="00B316A8">
        <w:rPr>
          <w:rFonts w:ascii="Arial" w:eastAsia="Calibri" w:hAnsi="Arial" w:cs="Arial"/>
          <w:color w:val="auto"/>
          <w:sz w:val="22"/>
          <w:szCs w:val="22"/>
        </w:rPr>
        <w:lastRenderedPageBreak/>
        <w:t>Composición del Presupuesto de Inversión del IPSE.</w:t>
      </w:r>
      <w:bookmarkEnd w:id="70"/>
    </w:p>
    <w:p w14:paraId="6C043489" w14:textId="77777777" w:rsidR="00C02282" w:rsidRPr="00B316A8" w:rsidRDefault="00C02282" w:rsidP="00C02282">
      <w:pPr>
        <w:pStyle w:val="Prrafodelista"/>
        <w:spacing w:after="0" w:line="240" w:lineRule="auto"/>
        <w:ind w:left="709"/>
        <w:jc w:val="both"/>
        <w:rPr>
          <w:rFonts w:eastAsia="Calibri" w:cs="Arial"/>
        </w:rPr>
      </w:pPr>
    </w:p>
    <w:p w14:paraId="78606680" w14:textId="705C4A8C" w:rsidR="00C02282" w:rsidRPr="00B316A8" w:rsidRDefault="00C02282" w:rsidP="00C02282">
      <w:pPr>
        <w:spacing w:after="0" w:line="240" w:lineRule="auto"/>
        <w:jc w:val="both"/>
        <w:rPr>
          <w:rFonts w:ascii="Arial" w:eastAsia="Calibri" w:hAnsi="Arial" w:cs="Arial"/>
        </w:rPr>
      </w:pPr>
      <w:r w:rsidRPr="00B316A8">
        <w:rPr>
          <w:rFonts w:ascii="Arial" w:eastAsia="Calibri" w:hAnsi="Arial" w:cs="Arial"/>
        </w:rPr>
        <w:t>La entidad cuenta con un presupuesto tota</w:t>
      </w:r>
      <w:r w:rsidR="00B316A8" w:rsidRPr="00B316A8">
        <w:rPr>
          <w:rFonts w:ascii="Arial" w:eastAsia="Calibri" w:hAnsi="Arial" w:cs="Arial"/>
        </w:rPr>
        <w:t xml:space="preserve">l para inversión de $10.600,00 </w:t>
      </w:r>
      <w:r w:rsidRPr="00B316A8">
        <w:rPr>
          <w:rFonts w:ascii="Arial" w:eastAsia="Calibri" w:hAnsi="Arial" w:cs="Arial"/>
        </w:rPr>
        <w:t>distribuido de la siguiente manera:</w:t>
      </w:r>
    </w:p>
    <w:p w14:paraId="25492A92" w14:textId="77777777" w:rsidR="00C02282" w:rsidRPr="00B316A8" w:rsidRDefault="00C02282" w:rsidP="00C02282">
      <w:pPr>
        <w:spacing w:after="0" w:line="240" w:lineRule="auto"/>
        <w:rPr>
          <w:rFonts w:ascii="Arial" w:eastAsia="Calibri" w:hAnsi="Arial" w:cs="Arial"/>
        </w:rPr>
      </w:pPr>
    </w:p>
    <w:p w14:paraId="02F2F670" w14:textId="77777777" w:rsidR="00C02282" w:rsidRPr="00B316A8" w:rsidRDefault="00C02282" w:rsidP="00C02282">
      <w:pPr>
        <w:spacing w:after="0" w:line="240" w:lineRule="auto"/>
        <w:jc w:val="center"/>
        <w:rPr>
          <w:rFonts w:ascii="Arial" w:hAnsi="Arial" w:cs="Arial"/>
          <w:b/>
          <w:sz w:val="20"/>
          <w:szCs w:val="20"/>
          <w:lang w:eastAsia="es-ES"/>
        </w:rPr>
      </w:pPr>
    </w:p>
    <w:p w14:paraId="3DE4E088" w14:textId="77777777" w:rsidR="00C02282" w:rsidRPr="00B316A8" w:rsidRDefault="00C02282" w:rsidP="00C02282">
      <w:pPr>
        <w:pStyle w:val="Descripcin"/>
        <w:keepNext/>
        <w:jc w:val="center"/>
      </w:pPr>
      <w:bookmarkStart w:id="71" w:name="_Toc525652481"/>
      <w:r w:rsidRPr="00B316A8">
        <w:t xml:space="preserve">Tabla </w:t>
      </w:r>
      <w:r w:rsidRPr="00B316A8">
        <w:fldChar w:fldCharType="begin"/>
      </w:r>
      <w:r w:rsidRPr="00B316A8">
        <w:instrText xml:space="preserve"> SEQ Tabla \* ARABIC </w:instrText>
      </w:r>
      <w:r w:rsidRPr="00B316A8">
        <w:fldChar w:fldCharType="separate"/>
      </w:r>
      <w:r w:rsidR="008B4625">
        <w:rPr>
          <w:noProof/>
        </w:rPr>
        <w:t>36</w:t>
      </w:r>
      <w:r w:rsidRPr="00B316A8">
        <w:fldChar w:fldCharType="end"/>
      </w:r>
      <w:r w:rsidRPr="00B316A8">
        <w:t>Distribución Presupuesto de Inversión - vigencia 2018 IPSE</w:t>
      </w:r>
      <w:bookmarkEnd w:id="71"/>
    </w:p>
    <w:tbl>
      <w:tblPr>
        <w:tblW w:w="9646" w:type="dxa"/>
        <w:tblCellMar>
          <w:left w:w="70" w:type="dxa"/>
          <w:right w:w="70" w:type="dxa"/>
        </w:tblCellMar>
        <w:tblLook w:val="04A0" w:firstRow="1" w:lastRow="0" w:firstColumn="1" w:lastColumn="0" w:noHBand="0" w:noVBand="1"/>
      </w:tblPr>
      <w:tblGrid>
        <w:gridCol w:w="4646"/>
        <w:gridCol w:w="2473"/>
        <w:gridCol w:w="2527"/>
      </w:tblGrid>
      <w:tr w:rsidR="00C02282" w:rsidRPr="00B316A8" w14:paraId="7809CFC8" w14:textId="77777777" w:rsidTr="006A67B4">
        <w:trPr>
          <w:trHeight w:val="6"/>
        </w:trPr>
        <w:tc>
          <w:tcPr>
            <w:tcW w:w="464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1086A3F1"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Proyecto</w:t>
            </w:r>
          </w:p>
        </w:tc>
        <w:tc>
          <w:tcPr>
            <w:tcW w:w="2473" w:type="dxa"/>
            <w:tcBorders>
              <w:top w:val="single" w:sz="8" w:space="0" w:color="auto"/>
              <w:left w:val="nil"/>
              <w:bottom w:val="nil"/>
              <w:right w:val="single" w:sz="4" w:space="0" w:color="auto"/>
            </w:tcBorders>
            <w:shd w:val="clear" w:color="000000" w:fill="1F4E78"/>
            <w:vAlign w:val="center"/>
            <w:hideMark/>
          </w:tcPr>
          <w:p w14:paraId="184C1990"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Apropiación Inicial 2018</w:t>
            </w:r>
          </w:p>
        </w:tc>
        <w:tc>
          <w:tcPr>
            <w:tcW w:w="2527" w:type="dxa"/>
            <w:tcBorders>
              <w:top w:val="single" w:sz="8" w:space="0" w:color="auto"/>
              <w:left w:val="nil"/>
              <w:bottom w:val="nil"/>
              <w:right w:val="single" w:sz="8" w:space="0" w:color="auto"/>
            </w:tcBorders>
            <w:shd w:val="clear" w:color="000000" w:fill="1F4E78"/>
            <w:vAlign w:val="center"/>
            <w:hideMark/>
          </w:tcPr>
          <w:p w14:paraId="3A7D67F4"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Apropiación</w:t>
            </w:r>
            <w:r w:rsidRPr="00B316A8">
              <w:rPr>
                <w:rFonts w:ascii="Arial" w:eastAsia="Times New Roman" w:hAnsi="Arial" w:cs="Arial"/>
                <w:b/>
                <w:bCs/>
                <w:color w:val="FFFFFF"/>
                <w:lang w:eastAsia="es-CO"/>
              </w:rPr>
              <w:br/>
              <w:t>Vigente 2018</w:t>
            </w:r>
          </w:p>
        </w:tc>
      </w:tr>
      <w:tr w:rsidR="00C02282" w:rsidRPr="00B316A8" w14:paraId="12602513" w14:textId="77777777" w:rsidTr="006A67B4">
        <w:trPr>
          <w:trHeight w:val="2"/>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14:paraId="2B752B30" w14:textId="77777777" w:rsidR="00C02282" w:rsidRPr="00B316A8" w:rsidRDefault="00C02282" w:rsidP="006A67B4">
            <w:pPr>
              <w:spacing w:after="0" w:line="240" w:lineRule="auto"/>
              <w:rPr>
                <w:rFonts w:ascii="Arial" w:eastAsia="Times New Roman" w:hAnsi="Arial" w:cs="Arial"/>
                <w:lang w:eastAsia="es-CO"/>
              </w:rPr>
            </w:pPr>
            <w:r w:rsidRPr="00B316A8">
              <w:rPr>
                <w:rFonts w:ascii="Arial" w:eastAsia="Times New Roman" w:hAnsi="Arial" w:cs="Arial"/>
                <w:lang w:eastAsia="es-CO"/>
              </w:rPr>
              <w:t>Ampliación de la Cobertura de Telemetría y Monitoreo de Variables Energéticas en la ZNI</w:t>
            </w:r>
          </w:p>
        </w:tc>
        <w:tc>
          <w:tcPr>
            <w:tcW w:w="2473" w:type="dxa"/>
            <w:tcBorders>
              <w:top w:val="single" w:sz="4" w:space="0" w:color="auto"/>
              <w:left w:val="nil"/>
              <w:bottom w:val="single" w:sz="4" w:space="0" w:color="auto"/>
              <w:right w:val="single" w:sz="4" w:space="0" w:color="auto"/>
            </w:tcBorders>
            <w:shd w:val="clear" w:color="auto" w:fill="auto"/>
            <w:noWrap/>
            <w:vAlign w:val="bottom"/>
            <w:hideMark/>
          </w:tcPr>
          <w:p w14:paraId="490689C2" w14:textId="77777777" w:rsidR="00C02282" w:rsidRPr="00B316A8" w:rsidRDefault="00C02282" w:rsidP="006A67B4">
            <w:pPr>
              <w:spacing w:after="0" w:line="240" w:lineRule="auto"/>
              <w:jc w:val="center"/>
              <w:rPr>
                <w:rFonts w:ascii="Calibri" w:eastAsia="Times New Roman" w:hAnsi="Calibri" w:cs="Times New Roman"/>
                <w:color w:val="000000"/>
                <w:lang w:eastAsia="es-CO"/>
              </w:rPr>
            </w:pPr>
            <w:r w:rsidRPr="00B316A8">
              <w:rPr>
                <w:rFonts w:ascii="Arial" w:eastAsia="Times New Roman" w:hAnsi="Arial" w:cs="Arial"/>
                <w:color w:val="000000"/>
                <w:lang w:eastAsia="es-CO"/>
              </w:rPr>
              <w:t>$1.492,66</w:t>
            </w:r>
          </w:p>
        </w:tc>
        <w:tc>
          <w:tcPr>
            <w:tcW w:w="2527" w:type="dxa"/>
            <w:tcBorders>
              <w:top w:val="single" w:sz="4" w:space="0" w:color="auto"/>
              <w:left w:val="nil"/>
              <w:bottom w:val="single" w:sz="4" w:space="0" w:color="auto"/>
              <w:right w:val="single" w:sz="8" w:space="0" w:color="auto"/>
            </w:tcBorders>
            <w:shd w:val="clear" w:color="auto" w:fill="auto"/>
            <w:noWrap/>
            <w:vAlign w:val="bottom"/>
            <w:hideMark/>
          </w:tcPr>
          <w:p w14:paraId="1ADFAF98" w14:textId="77777777" w:rsidR="00C02282" w:rsidRPr="00B316A8" w:rsidRDefault="00C02282" w:rsidP="006A67B4">
            <w:pPr>
              <w:spacing w:after="0" w:line="240" w:lineRule="auto"/>
              <w:rPr>
                <w:rFonts w:ascii="Arial" w:eastAsia="Times New Roman" w:hAnsi="Arial" w:cs="Arial"/>
                <w:color w:val="000000"/>
                <w:lang w:eastAsia="es-CO"/>
              </w:rPr>
            </w:pPr>
            <w:r w:rsidRPr="00B316A8">
              <w:rPr>
                <w:rFonts w:ascii="Calibri" w:eastAsia="Times New Roman" w:hAnsi="Calibri" w:cs="Times New Roman"/>
                <w:color w:val="000000"/>
                <w:lang w:eastAsia="es-CO"/>
              </w:rPr>
              <w:t xml:space="preserve">          </w:t>
            </w:r>
            <w:r w:rsidRPr="00B316A8">
              <w:rPr>
                <w:rFonts w:ascii="Arial" w:eastAsia="Times New Roman" w:hAnsi="Arial" w:cs="Arial"/>
                <w:color w:val="000000"/>
                <w:lang w:eastAsia="es-CO"/>
              </w:rPr>
              <w:t xml:space="preserve">$1.492,66                                  </w:t>
            </w:r>
          </w:p>
        </w:tc>
      </w:tr>
      <w:tr w:rsidR="00C02282" w:rsidRPr="00B316A8" w14:paraId="19889626" w14:textId="77777777" w:rsidTr="006A67B4">
        <w:trPr>
          <w:trHeight w:val="2"/>
        </w:trPr>
        <w:tc>
          <w:tcPr>
            <w:tcW w:w="4646" w:type="dxa"/>
            <w:tcBorders>
              <w:top w:val="nil"/>
              <w:left w:val="single" w:sz="8" w:space="0" w:color="auto"/>
              <w:bottom w:val="single" w:sz="4" w:space="0" w:color="auto"/>
              <w:right w:val="single" w:sz="4" w:space="0" w:color="auto"/>
            </w:tcBorders>
            <w:shd w:val="clear" w:color="auto" w:fill="auto"/>
            <w:noWrap/>
            <w:vAlign w:val="center"/>
          </w:tcPr>
          <w:p w14:paraId="0D7B0EFD" w14:textId="77777777" w:rsidR="00C02282" w:rsidRPr="00B316A8" w:rsidRDefault="00C02282" w:rsidP="006A67B4">
            <w:pPr>
              <w:spacing w:after="0" w:line="240" w:lineRule="auto"/>
              <w:rPr>
                <w:rFonts w:ascii="Arial" w:eastAsia="Times New Roman" w:hAnsi="Arial" w:cs="Arial"/>
                <w:lang w:eastAsia="es-CO"/>
              </w:rPr>
            </w:pPr>
            <w:r w:rsidRPr="00B316A8">
              <w:rPr>
                <w:rFonts w:ascii="Arial" w:eastAsia="Times New Roman" w:hAnsi="Arial" w:cs="Arial"/>
                <w:lang w:eastAsia="es-CO"/>
              </w:rPr>
              <w:t>Desarrollo de Soluciones Energéticas Sostenibles Para la Ampliación de Cobertura en las Zonas No Interconectadas del País</w:t>
            </w:r>
          </w:p>
        </w:tc>
        <w:tc>
          <w:tcPr>
            <w:tcW w:w="2473" w:type="dxa"/>
            <w:tcBorders>
              <w:top w:val="nil"/>
              <w:left w:val="nil"/>
              <w:bottom w:val="single" w:sz="4" w:space="0" w:color="auto"/>
              <w:right w:val="single" w:sz="4" w:space="0" w:color="auto"/>
            </w:tcBorders>
            <w:shd w:val="clear" w:color="auto" w:fill="auto"/>
            <w:noWrap/>
            <w:vAlign w:val="bottom"/>
          </w:tcPr>
          <w:p w14:paraId="44FAC585"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Arial" w:eastAsia="Times New Roman" w:hAnsi="Arial" w:cs="Arial"/>
                <w:color w:val="000000"/>
                <w:lang w:eastAsia="es-CO"/>
              </w:rPr>
              <w:t xml:space="preserve">           $4.693.61</w:t>
            </w:r>
          </w:p>
        </w:tc>
        <w:tc>
          <w:tcPr>
            <w:tcW w:w="2527" w:type="dxa"/>
            <w:tcBorders>
              <w:top w:val="nil"/>
              <w:left w:val="nil"/>
              <w:bottom w:val="single" w:sz="4" w:space="0" w:color="auto"/>
              <w:right w:val="single" w:sz="8" w:space="0" w:color="auto"/>
            </w:tcBorders>
            <w:shd w:val="clear" w:color="auto" w:fill="auto"/>
            <w:noWrap/>
            <w:vAlign w:val="bottom"/>
          </w:tcPr>
          <w:p w14:paraId="63784F57"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Arial" w:eastAsia="Times New Roman" w:hAnsi="Arial" w:cs="Arial"/>
                <w:color w:val="000000"/>
                <w:lang w:eastAsia="es-CO"/>
              </w:rPr>
              <w:t xml:space="preserve">        $4.693.61</w:t>
            </w:r>
          </w:p>
        </w:tc>
      </w:tr>
      <w:tr w:rsidR="00C02282" w:rsidRPr="00B316A8" w14:paraId="0A1BA24C" w14:textId="77777777" w:rsidTr="006A67B4">
        <w:trPr>
          <w:trHeight w:val="2"/>
        </w:trPr>
        <w:tc>
          <w:tcPr>
            <w:tcW w:w="4646" w:type="dxa"/>
            <w:tcBorders>
              <w:top w:val="nil"/>
              <w:left w:val="single" w:sz="8" w:space="0" w:color="auto"/>
              <w:bottom w:val="single" w:sz="4" w:space="0" w:color="auto"/>
              <w:right w:val="single" w:sz="4" w:space="0" w:color="auto"/>
            </w:tcBorders>
            <w:shd w:val="clear" w:color="auto" w:fill="auto"/>
            <w:noWrap/>
            <w:vAlign w:val="center"/>
          </w:tcPr>
          <w:p w14:paraId="27F4E59B" w14:textId="77777777" w:rsidR="00C02282" w:rsidRPr="00B316A8" w:rsidRDefault="00C02282" w:rsidP="006A67B4">
            <w:pPr>
              <w:spacing w:after="0" w:line="240" w:lineRule="auto"/>
              <w:rPr>
                <w:rFonts w:ascii="Arial" w:eastAsia="Times New Roman" w:hAnsi="Arial" w:cs="Arial"/>
                <w:lang w:eastAsia="es-CO"/>
              </w:rPr>
            </w:pPr>
            <w:r w:rsidRPr="00B316A8">
              <w:rPr>
                <w:rFonts w:ascii="Arial" w:eastAsia="Times New Roman" w:hAnsi="Arial" w:cs="Arial"/>
                <w:lang w:eastAsia="es-CO"/>
              </w:rPr>
              <w:t>Actualización y Organización de Archivo Total (Central de Gestión E Histórico) del IPSE</w:t>
            </w:r>
          </w:p>
        </w:tc>
        <w:tc>
          <w:tcPr>
            <w:tcW w:w="2473" w:type="dxa"/>
            <w:tcBorders>
              <w:top w:val="nil"/>
              <w:left w:val="nil"/>
              <w:bottom w:val="single" w:sz="4" w:space="0" w:color="auto"/>
              <w:right w:val="single" w:sz="4" w:space="0" w:color="auto"/>
            </w:tcBorders>
            <w:shd w:val="clear" w:color="auto" w:fill="auto"/>
            <w:noWrap/>
            <w:vAlign w:val="bottom"/>
          </w:tcPr>
          <w:p w14:paraId="79192ED1"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Arial" w:eastAsia="Times New Roman" w:hAnsi="Arial" w:cs="Arial"/>
                <w:color w:val="000000"/>
                <w:lang w:eastAsia="es-CO"/>
              </w:rPr>
              <w:t xml:space="preserve">           $1.000,00</w:t>
            </w:r>
          </w:p>
        </w:tc>
        <w:tc>
          <w:tcPr>
            <w:tcW w:w="2527" w:type="dxa"/>
            <w:tcBorders>
              <w:top w:val="nil"/>
              <w:left w:val="nil"/>
              <w:bottom w:val="single" w:sz="4" w:space="0" w:color="auto"/>
              <w:right w:val="single" w:sz="8" w:space="0" w:color="auto"/>
            </w:tcBorders>
            <w:shd w:val="clear" w:color="auto" w:fill="auto"/>
            <w:noWrap/>
            <w:vAlign w:val="bottom"/>
          </w:tcPr>
          <w:p w14:paraId="5625FB04"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Arial" w:eastAsia="Times New Roman" w:hAnsi="Arial" w:cs="Arial"/>
                <w:color w:val="000000"/>
                <w:lang w:eastAsia="es-CO"/>
              </w:rPr>
              <w:t xml:space="preserve">        $1.000,00</w:t>
            </w:r>
          </w:p>
        </w:tc>
      </w:tr>
      <w:tr w:rsidR="00C02282" w:rsidRPr="00B316A8" w14:paraId="760FFAED" w14:textId="77777777" w:rsidTr="006A67B4">
        <w:trPr>
          <w:trHeight w:val="2"/>
        </w:trPr>
        <w:tc>
          <w:tcPr>
            <w:tcW w:w="4646" w:type="dxa"/>
            <w:tcBorders>
              <w:top w:val="nil"/>
              <w:left w:val="single" w:sz="8" w:space="0" w:color="auto"/>
              <w:bottom w:val="single" w:sz="4" w:space="0" w:color="auto"/>
              <w:right w:val="single" w:sz="4" w:space="0" w:color="auto"/>
            </w:tcBorders>
            <w:shd w:val="clear" w:color="auto" w:fill="auto"/>
            <w:noWrap/>
            <w:vAlign w:val="center"/>
          </w:tcPr>
          <w:p w14:paraId="612DE8EB" w14:textId="77777777" w:rsidR="00C02282" w:rsidRPr="00B316A8" w:rsidRDefault="00C02282" w:rsidP="006A67B4">
            <w:pPr>
              <w:spacing w:after="0" w:line="240" w:lineRule="auto"/>
              <w:rPr>
                <w:rFonts w:ascii="Arial" w:eastAsia="Times New Roman" w:hAnsi="Arial" w:cs="Arial"/>
                <w:lang w:eastAsia="es-CO"/>
              </w:rPr>
            </w:pPr>
            <w:r w:rsidRPr="00B316A8">
              <w:rPr>
                <w:rFonts w:ascii="Arial" w:eastAsia="Times New Roman" w:hAnsi="Arial" w:cs="Arial"/>
                <w:lang w:eastAsia="es-CO"/>
              </w:rPr>
              <w:t>Fortalecimiento de la Gestión de Tecnología de Información y Comunicaciones en el IPSE</w:t>
            </w:r>
          </w:p>
        </w:tc>
        <w:tc>
          <w:tcPr>
            <w:tcW w:w="2473" w:type="dxa"/>
            <w:tcBorders>
              <w:top w:val="nil"/>
              <w:left w:val="nil"/>
              <w:bottom w:val="single" w:sz="4" w:space="0" w:color="auto"/>
              <w:right w:val="single" w:sz="4" w:space="0" w:color="auto"/>
            </w:tcBorders>
            <w:shd w:val="clear" w:color="auto" w:fill="auto"/>
            <w:noWrap/>
            <w:vAlign w:val="bottom"/>
          </w:tcPr>
          <w:p w14:paraId="394D58C3" w14:textId="77777777" w:rsidR="00C02282" w:rsidRPr="00B316A8" w:rsidRDefault="00C02282" w:rsidP="006A67B4">
            <w:pPr>
              <w:spacing w:after="0" w:line="240" w:lineRule="auto"/>
              <w:jc w:val="center"/>
              <w:rPr>
                <w:rFonts w:ascii="Calibri" w:eastAsia="Times New Roman" w:hAnsi="Calibri" w:cs="Times New Roman"/>
                <w:color w:val="000000"/>
                <w:lang w:eastAsia="es-CO"/>
              </w:rPr>
            </w:pPr>
            <w:r w:rsidRPr="00B316A8">
              <w:rPr>
                <w:rFonts w:ascii="Arial" w:eastAsia="Times New Roman" w:hAnsi="Arial" w:cs="Arial"/>
                <w:color w:val="000000"/>
                <w:lang w:eastAsia="es-CO"/>
              </w:rPr>
              <w:t>$1.260,00</w:t>
            </w:r>
          </w:p>
        </w:tc>
        <w:tc>
          <w:tcPr>
            <w:tcW w:w="2527" w:type="dxa"/>
            <w:tcBorders>
              <w:top w:val="nil"/>
              <w:left w:val="nil"/>
              <w:bottom w:val="single" w:sz="4" w:space="0" w:color="auto"/>
              <w:right w:val="single" w:sz="8" w:space="0" w:color="auto"/>
            </w:tcBorders>
            <w:shd w:val="clear" w:color="auto" w:fill="auto"/>
            <w:noWrap/>
            <w:vAlign w:val="bottom"/>
          </w:tcPr>
          <w:p w14:paraId="6752FF10"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Arial" w:eastAsia="Times New Roman" w:hAnsi="Arial" w:cs="Arial"/>
                <w:color w:val="000000"/>
                <w:lang w:eastAsia="es-CO"/>
              </w:rPr>
              <w:t xml:space="preserve">        $1.260,00</w:t>
            </w:r>
          </w:p>
        </w:tc>
      </w:tr>
      <w:tr w:rsidR="00C02282" w:rsidRPr="00B316A8" w14:paraId="368E0C99" w14:textId="77777777" w:rsidTr="006A67B4">
        <w:trPr>
          <w:trHeight w:val="2"/>
        </w:trPr>
        <w:tc>
          <w:tcPr>
            <w:tcW w:w="4646" w:type="dxa"/>
            <w:tcBorders>
              <w:top w:val="nil"/>
              <w:left w:val="single" w:sz="8" w:space="0" w:color="auto"/>
              <w:bottom w:val="single" w:sz="4" w:space="0" w:color="auto"/>
              <w:right w:val="single" w:sz="4" w:space="0" w:color="auto"/>
            </w:tcBorders>
            <w:shd w:val="clear" w:color="auto" w:fill="auto"/>
            <w:noWrap/>
            <w:vAlign w:val="center"/>
            <w:hideMark/>
          </w:tcPr>
          <w:p w14:paraId="5E1A4870" w14:textId="77777777" w:rsidR="00C02282" w:rsidRPr="00B316A8" w:rsidRDefault="00C02282" w:rsidP="006A67B4">
            <w:pPr>
              <w:rPr>
                <w:rFonts w:ascii="Arial" w:hAnsi="Arial" w:cs="Arial"/>
                <w:color w:val="000000"/>
              </w:rPr>
            </w:pPr>
            <w:r w:rsidRPr="00B316A8">
              <w:rPr>
                <w:rFonts w:ascii="Arial" w:hAnsi="Arial" w:cs="Arial"/>
                <w:color w:val="000000"/>
              </w:rPr>
              <w:t>Diseño y Estructuración de proyectos energético en las ZNI Nacional.</w:t>
            </w:r>
          </w:p>
        </w:tc>
        <w:tc>
          <w:tcPr>
            <w:tcW w:w="2473" w:type="dxa"/>
            <w:tcBorders>
              <w:top w:val="nil"/>
              <w:left w:val="nil"/>
              <w:bottom w:val="single" w:sz="4" w:space="0" w:color="auto"/>
              <w:right w:val="single" w:sz="4" w:space="0" w:color="auto"/>
            </w:tcBorders>
            <w:shd w:val="clear" w:color="auto" w:fill="auto"/>
            <w:noWrap/>
            <w:vAlign w:val="bottom"/>
            <w:hideMark/>
          </w:tcPr>
          <w:p w14:paraId="3159D192" w14:textId="77777777" w:rsidR="00C02282" w:rsidRPr="00B316A8" w:rsidRDefault="00C02282" w:rsidP="006A67B4">
            <w:pPr>
              <w:spacing w:after="0" w:line="240" w:lineRule="auto"/>
              <w:jc w:val="center"/>
              <w:rPr>
                <w:rFonts w:ascii="Arial" w:eastAsia="Times New Roman" w:hAnsi="Arial" w:cs="Arial"/>
                <w:color w:val="000000"/>
                <w:lang w:eastAsia="es-CO"/>
              </w:rPr>
            </w:pPr>
            <w:r w:rsidRPr="00B316A8">
              <w:rPr>
                <w:rFonts w:ascii="Arial" w:eastAsia="Times New Roman" w:hAnsi="Arial" w:cs="Arial"/>
                <w:color w:val="000000"/>
                <w:lang w:eastAsia="es-CO"/>
              </w:rPr>
              <w:t>$2.153,71</w:t>
            </w:r>
          </w:p>
          <w:p w14:paraId="5DC9A28F"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Calibri" w:eastAsia="Times New Roman" w:hAnsi="Calibri" w:cs="Times New Roman"/>
                <w:color w:val="000000"/>
                <w:lang w:eastAsia="es-CO"/>
              </w:rPr>
              <w:t xml:space="preserve">                                      </w:t>
            </w:r>
          </w:p>
        </w:tc>
        <w:tc>
          <w:tcPr>
            <w:tcW w:w="2527" w:type="dxa"/>
            <w:tcBorders>
              <w:top w:val="nil"/>
              <w:left w:val="nil"/>
              <w:bottom w:val="single" w:sz="4" w:space="0" w:color="auto"/>
              <w:right w:val="single" w:sz="8" w:space="0" w:color="auto"/>
            </w:tcBorders>
            <w:shd w:val="clear" w:color="auto" w:fill="auto"/>
            <w:noWrap/>
            <w:vAlign w:val="bottom"/>
            <w:hideMark/>
          </w:tcPr>
          <w:p w14:paraId="1B6E1D98" w14:textId="77777777" w:rsidR="00C02282" w:rsidRPr="00B316A8" w:rsidRDefault="00C02282" w:rsidP="006A67B4">
            <w:pPr>
              <w:spacing w:after="0" w:line="240" w:lineRule="auto"/>
              <w:rPr>
                <w:rFonts w:ascii="Arial" w:eastAsia="Times New Roman" w:hAnsi="Arial" w:cs="Arial"/>
                <w:color w:val="000000"/>
                <w:lang w:eastAsia="es-CO"/>
              </w:rPr>
            </w:pPr>
            <w:r w:rsidRPr="00B316A8">
              <w:rPr>
                <w:rFonts w:ascii="Arial" w:eastAsia="Times New Roman" w:hAnsi="Arial" w:cs="Arial"/>
                <w:color w:val="000000"/>
                <w:lang w:eastAsia="es-CO"/>
              </w:rPr>
              <w:t xml:space="preserve">        $2.153,71</w:t>
            </w:r>
          </w:p>
          <w:p w14:paraId="6A721B4B" w14:textId="77777777" w:rsidR="00C02282" w:rsidRPr="00B316A8" w:rsidRDefault="00C02282" w:rsidP="006A67B4">
            <w:pPr>
              <w:spacing w:after="0" w:line="240" w:lineRule="auto"/>
              <w:rPr>
                <w:rFonts w:ascii="Calibri" w:eastAsia="Times New Roman" w:hAnsi="Calibri" w:cs="Times New Roman"/>
                <w:color w:val="000000"/>
                <w:lang w:eastAsia="es-CO"/>
              </w:rPr>
            </w:pPr>
            <w:r w:rsidRPr="00B316A8">
              <w:rPr>
                <w:rFonts w:ascii="Calibri" w:eastAsia="Times New Roman" w:hAnsi="Calibri" w:cs="Times New Roman"/>
                <w:color w:val="000000"/>
                <w:lang w:eastAsia="es-CO"/>
              </w:rPr>
              <w:t xml:space="preserve">                                 </w:t>
            </w:r>
          </w:p>
        </w:tc>
      </w:tr>
      <w:tr w:rsidR="00C02282" w:rsidRPr="00B316A8" w14:paraId="6D680DB5" w14:textId="77777777" w:rsidTr="006A67B4">
        <w:trPr>
          <w:trHeight w:val="60"/>
        </w:trPr>
        <w:tc>
          <w:tcPr>
            <w:tcW w:w="464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02862932"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Total Inversión</w:t>
            </w:r>
          </w:p>
        </w:tc>
        <w:tc>
          <w:tcPr>
            <w:tcW w:w="2473" w:type="dxa"/>
            <w:tcBorders>
              <w:top w:val="nil"/>
              <w:left w:val="nil"/>
              <w:bottom w:val="single" w:sz="8" w:space="0" w:color="auto"/>
              <w:right w:val="single" w:sz="4" w:space="0" w:color="auto"/>
            </w:tcBorders>
            <w:shd w:val="clear" w:color="000000" w:fill="1F4E78"/>
            <w:noWrap/>
            <w:vAlign w:val="center"/>
            <w:hideMark/>
          </w:tcPr>
          <w:p w14:paraId="6FE70DF2"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 xml:space="preserve"> $10.600.00                         </w:t>
            </w:r>
          </w:p>
        </w:tc>
        <w:tc>
          <w:tcPr>
            <w:tcW w:w="2527" w:type="dxa"/>
            <w:tcBorders>
              <w:top w:val="nil"/>
              <w:left w:val="nil"/>
              <w:bottom w:val="single" w:sz="8" w:space="0" w:color="auto"/>
              <w:right w:val="single" w:sz="4" w:space="0" w:color="auto"/>
            </w:tcBorders>
            <w:shd w:val="clear" w:color="000000" w:fill="1F4E78"/>
            <w:noWrap/>
            <w:vAlign w:val="center"/>
            <w:hideMark/>
          </w:tcPr>
          <w:p w14:paraId="0E0EF242" w14:textId="77777777" w:rsidR="00C02282" w:rsidRPr="00B316A8" w:rsidRDefault="00C02282" w:rsidP="006A67B4">
            <w:pPr>
              <w:spacing w:after="0" w:line="240" w:lineRule="auto"/>
              <w:jc w:val="center"/>
              <w:rPr>
                <w:rFonts w:ascii="Arial" w:eastAsia="Times New Roman" w:hAnsi="Arial" w:cs="Arial"/>
                <w:b/>
                <w:bCs/>
                <w:color w:val="FFFFFF"/>
                <w:lang w:eastAsia="es-CO"/>
              </w:rPr>
            </w:pPr>
            <w:r w:rsidRPr="00B316A8">
              <w:rPr>
                <w:rFonts w:ascii="Arial" w:eastAsia="Times New Roman" w:hAnsi="Arial" w:cs="Arial"/>
                <w:b/>
                <w:bCs/>
                <w:color w:val="FFFFFF"/>
                <w:lang w:eastAsia="es-CO"/>
              </w:rPr>
              <w:t>$10.600.00</w:t>
            </w:r>
          </w:p>
          <w:p w14:paraId="6E708340" w14:textId="77777777" w:rsidR="00C02282" w:rsidRPr="00B316A8" w:rsidRDefault="00C02282" w:rsidP="006A67B4">
            <w:pPr>
              <w:spacing w:after="0" w:line="240" w:lineRule="auto"/>
              <w:jc w:val="center"/>
              <w:rPr>
                <w:rFonts w:ascii="Arial" w:eastAsia="Times New Roman" w:hAnsi="Arial" w:cs="Arial"/>
                <w:b/>
                <w:bCs/>
                <w:color w:val="FFFFFF"/>
                <w:lang w:eastAsia="es-CO"/>
              </w:rPr>
            </w:pPr>
          </w:p>
        </w:tc>
      </w:tr>
    </w:tbl>
    <w:p w14:paraId="4BE2C254" w14:textId="77777777" w:rsidR="00C02282" w:rsidRPr="00B316A8" w:rsidRDefault="00C02282" w:rsidP="00C02282">
      <w:pPr>
        <w:spacing w:after="0" w:line="240" w:lineRule="auto"/>
        <w:jc w:val="center"/>
        <w:rPr>
          <w:rFonts w:ascii="Arial" w:eastAsia="Calibri" w:hAnsi="Arial" w:cs="Arial"/>
          <w:sz w:val="16"/>
          <w:szCs w:val="16"/>
        </w:rPr>
      </w:pPr>
      <w:r w:rsidRPr="00B316A8">
        <w:rPr>
          <w:rFonts w:ascii="Arial" w:hAnsi="Arial" w:cs="Arial"/>
          <w:sz w:val="16"/>
          <w:szCs w:val="16"/>
          <w:lang w:eastAsia="es-ES"/>
        </w:rPr>
        <w:t>Millones de pesos</w:t>
      </w:r>
    </w:p>
    <w:p w14:paraId="5545E7CE" w14:textId="77777777" w:rsidR="00C02282" w:rsidRDefault="00C02282" w:rsidP="00C02282">
      <w:pPr>
        <w:spacing w:after="0" w:line="240" w:lineRule="auto"/>
        <w:jc w:val="center"/>
        <w:rPr>
          <w:rFonts w:ascii="Arial" w:eastAsia="Calibri" w:hAnsi="Arial" w:cs="Arial"/>
          <w:sz w:val="16"/>
          <w:szCs w:val="16"/>
        </w:rPr>
      </w:pPr>
      <w:r w:rsidRPr="00B316A8">
        <w:rPr>
          <w:rFonts w:ascii="Arial" w:eastAsia="Calibri" w:hAnsi="Arial" w:cs="Arial"/>
          <w:sz w:val="16"/>
          <w:szCs w:val="16"/>
        </w:rPr>
        <w:t>Fuente: SIIF Nación – Coordinación Recursos Financieros, IPSE</w:t>
      </w:r>
    </w:p>
    <w:p w14:paraId="4808EE8E" w14:textId="77777777" w:rsidR="00B316A8" w:rsidRDefault="00B316A8" w:rsidP="00C02282">
      <w:pPr>
        <w:spacing w:after="0" w:line="240" w:lineRule="auto"/>
        <w:jc w:val="center"/>
        <w:rPr>
          <w:rFonts w:ascii="Arial" w:eastAsia="Calibri" w:hAnsi="Arial" w:cs="Arial"/>
          <w:sz w:val="16"/>
          <w:szCs w:val="16"/>
        </w:rPr>
      </w:pPr>
    </w:p>
    <w:p w14:paraId="26346D07" w14:textId="77777777" w:rsidR="00B316A8" w:rsidRPr="00C768EA" w:rsidRDefault="00B316A8" w:rsidP="00B316A8">
      <w:pPr>
        <w:spacing w:after="0" w:line="240" w:lineRule="auto"/>
        <w:rPr>
          <w:rFonts w:ascii="Arial" w:hAnsi="Arial" w:cs="Arial"/>
          <w:bCs/>
        </w:rPr>
      </w:pPr>
      <w:r w:rsidRPr="00C768EA">
        <w:rPr>
          <w:rFonts w:ascii="Arial" w:hAnsi="Arial" w:cs="Arial"/>
          <w:bCs/>
        </w:rPr>
        <w:t>Actualmente cuenta con</w:t>
      </w:r>
      <w:r>
        <w:rPr>
          <w:rFonts w:ascii="Arial" w:hAnsi="Arial" w:cs="Arial"/>
          <w:bCs/>
        </w:rPr>
        <w:t xml:space="preserve"> un aplazamiento de recursos por valor de $1.036,0 millones, cuya</w:t>
      </w:r>
      <w:r w:rsidRPr="00C768EA">
        <w:rPr>
          <w:rFonts w:ascii="Arial" w:hAnsi="Arial" w:cs="Arial"/>
          <w:bCs/>
        </w:rPr>
        <w:t xml:space="preserve"> afectaci</w:t>
      </w:r>
      <w:r>
        <w:rPr>
          <w:rFonts w:ascii="Arial" w:hAnsi="Arial" w:cs="Arial"/>
          <w:bCs/>
        </w:rPr>
        <w:t>ón presupuestal se presenta en los siguientes proyectos:</w:t>
      </w:r>
    </w:p>
    <w:p w14:paraId="444760BD" w14:textId="77777777" w:rsidR="00B316A8" w:rsidRPr="00931FEF" w:rsidRDefault="00B316A8" w:rsidP="00B316A8">
      <w:pPr>
        <w:spacing w:after="0" w:line="240" w:lineRule="auto"/>
        <w:rPr>
          <w:rFonts w:ascii="Arial" w:eastAsia="Calibri" w:hAnsi="Arial" w:cs="Arial"/>
          <w:sz w:val="20"/>
          <w:szCs w:val="20"/>
        </w:rPr>
      </w:pPr>
    </w:p>
    <w:p w14:paraId="0156F92C" w14:textId="77777777" w:rsidR="00B316A8" w:rsidRPr="00931FEF" w:rsidRDefault="00B316A8" w:rsidP="00B316A8">
      <w:pPr>
        <w:spacing w:after="0" w:line="240" w:lineRule="auto"/>
        <w:rPr>
          <w:rFonts w:ascii="Arial" w:eastAsia="Calibri" w:hAnsi="Arial" w:cs="Arial"/>
          <w:sz w:val="20"/>
          <w:szCs w:val="20"/>
        </w:rPr>
      </w:pPr>
      <w:r w:rsidRPr="00171B28">
        <w:rPr>
          <w:rFonts w:ascii="Arial" w:eastAsia="Calibri" w:hAnsi="Arial" w:cs="Arial"/>
        </w:rPr>
        <w:t>CODIFIC</w:t>
      </w:r>
      <w:r>
        <w:rPr>
          <w:rFonts w:ascii="Arial" w:eastAsia="Calibri" w:hAnsi="Arial" w:cs="Arial"/>
        </w:rPr>
        <w:t>A</w:t>
      </w:r>
      <w:r w:rsidRPr="00171B28">
        <w:rPr>
          <w:rFonts w:ascii="Arial" w:eastAsia="Calibri" w:hAnsi="Arial" w:cs="Arial"/>
        </w:rPr>
        <w:t>CION PRESUPUESTAL</w:t>
      </w:r>
      <w:r w:rsidRPr="00931FEF">
        <w:rPr>
          <w:rFonts w:ascii="Arial" w:eastAsia="Calibri" w:hAnsi="Arial" w:cs="Arial"/>
          <w:sz w:val="20"/>
          <w:szCs w:val="20"/>
        </w:rPr>
        <w:t>:</w:t>
      </w:r>
    </w:p>
    <w:p w14:paraId="00A1BD8B" w14:textId="77777777" w:rsidR="00B316A8" w:rsidRPr="00931FEF" w:rsidRDefault="00B316A8" w:rsidP="00B316A8">
      <w:pPr>
        <w:spacing w:after="0" w:line="240" w:lineRule="auto"/>
        <w:rPr>
          <w:rFonts w:ascii="Arial" w:eastAsia="Calibri" w:hAnsi="Arial" w:cs="Arial"/>
          <w:sz w:val="20"/>
          <w:szCs w:val="20"/>
        </w:rPr>
      </w:pPr>
    </w:p>
    <w:p w14:paraId="57F12595" w14:textId="77777777" w:rsidR="00B316A8" w:rsidRPr="00171B28" w:rsidRDefault="00B316A8" w:rsidP="00B316A8">
      <w:pPr>
        <w:spacing w:after="0" w:line="240" w:lineRule="auto"/>
        <w:rPr>
          <w:rFonts w:ascii="Arial" w:eastAsia="Calibri" w:hAnsi="Arial" w:cs="Arial"/>
        </w:rPr>
      </w:pPr>
      <w:r w:rsidRPr="00171B28">
        <w:rPr>
          <w:rFonts w:ascii="Arial" w:eastAsia="Calibri" w:hAnsi="Arial" w:cs="Arial"/>
        </w:rPr>
        <w:t xml:space="preserve">2102 1900 2    Ampliación de la cobertura de telemetría y monitoreo de variables energéticas en   </w:t>
      </w:r>
    </w:p>
    <w:p w14:paraId="593BB149" w14:textId="77777777" w:rsidR="00B316A8" w:rsidRDefault="00B316A8" w:rsidP="00B316A8">
      <w:pPr>
        <w:spacing w:after="0" w:line="240" w:lineRule="auto"/>
        <w:rPr>
          <w:rFonts w:ascii="Arial" w:eastAsia="Calibri" w:hAnsi="Arial" w:cs="Arial"/>
        </w:rPr>
      </w:pPr>
      <w:r w:rsidRPr="00171B28">
        <w:rPr>
          <w:rFonts w:ascii="Arial" w:eastAsia="Calibri" w:hAnsi="Arial" w:cs="Arial"/>
        </w:rPr>
        <w:t xml:space="preserve">                        Las ZNI - $586,10 millones de pesos</w:t>
      </w:r>
      <w:r>
        <w:rPr>
          <w:rFonts w:ascii="Arial" w:eastAsia="Calibri" w:hAnsi="Arial" w:cs="Arial"/>
        </w:rPr>
        <w:t>.</w:t>
      </w:r>
    </w:p>
    <w:p w14:paraId="620D1B2E" w14:textId="77777777" w:rsidR="00B316A8" w:rsidRPr="00171B28" w:rsidRDefault="00B316A8" w:rsidP="00B316A8">
      <w:pPr>
        <w:spacing w:after="0" w:line="240" w:lineRule="auto"/>
        <w:rPr>
          <w:rFonts w:ascii="Arial" w:eastAsia="Calibri" w:hAnsi="Arial" w:cs="Arial"/>
        </w:rPr>
      </w:pPr>
    </w:p>
    <w:p w14:paraId="2BD88F80" w14:textId="77777777" w:rsidR="00B316A8" w:rsidRPr="00171B28" w:rsidRDefault="00B316A8" w:rsidP="00B316A8">
      <w:pPr>
        <w:spacing w:after="0" w:line="240" w:lineRule="auto"/>
        <w:rPr>
          <w:rFonts w:ascii="Arial" w:eastAsia="Calibri" w:hAnsi="Arial" w:cs="Arial"/>
        </w:rPr>
      </w:pPr>
      <w:r w:rsidRPr="00171B28">
        <w:rPr>
          <w:rFonts w:ascii="Arial" w:eastAsia="Calibri" w:hAnsi="Arial" w:cs="Arial"/>
        </w:rPr>
        <w:t xml:space="preserve">2199 1900 1    Actualización y Organización del Archivo Total (Central, de Gestión e Histórico) </w:t>
      </w:r>
    </w:p>
    <w:p w14:paraId="2E05E889" w14:textId="77777777" w:rsidR="00B316A8" w:rsidRPr="00171B28" w:rsidRDefault="00B316A8" w:rsidP="00B316A8">
      <w:pPr>
        <w:spacing w:after="0" w:line="240" w:lineRule="auto"/>
        <w:rPr>
          <w:rFonts w:ascii="Arial" w:eastAsia="Calibri" w:hAnsi="Arial" w:cs="Arial"/>
        </w:rPr>
      </w:pPr>
      <w:r w:rsidRPr="00171B28">
        <w:rPr>
          <w:rFonts w:ascii="Arial" w:eastAsia="Calibri" w:hAnsi="Arial" w:cs="Arial"/>
        </w:rPr>
        <w:t xml:space="preserve">                        Del IPSE - $450,0 millones.</w:t>
      </w:r>
    </w:p>
    <w:p w14:paraId="0EF9F4E3" w14:textId="40E47E77" w:rsidR="00B316A8" w:rsidRDefault="00B316A8" w:rsidP="00C02282">
      <w:pPr>
        <w:spacing w:after="0" w:line="240" w:lineRule="auto"/>
        <w:jc w:val="center"/>
        <w:rPr>
          <w:rFonts w:ascii="Arial" w:eastAsia="Calibri" w:hAnsi="Arial" w:cs="Arial"/>
        </w:rPr>
      </w:pPr>
    </w:p>
    <w:p w14:paraId="18D48196" w14:textId="28583D10" w:rsidR="00E84C6B" w:rsidRDefault="00E84C6B" w:rsidP="00C02282">
      <w:pPr>
        <w:spacing w:after="0" w:line="240" w:lineRule="auto"/>
        <w:jc w:val="center"/>
        <w:rPr>
          <w:rFonts w:ascii="Arial" w:eastAsia="Calibri" w:hAnsi="Arial" w:cs="Arial"/>
        </w:rPr>
      </w:pPr>
    </w:p>
    <w:p w14:paraId="5C2B69A0" w14:textId="14CCA4AD" w:rsidR="00E84C6B" w:rsidRDefault="00E84C6B" w:rsidP="00C02282">
      <w:pPr>
        <w:spacing w:after="0" w:line="240" w:lineRule="auto"/>
        <w:jc w:val="center"/>
        <w:rPr>
          <w:rFonts w:ascii="Arial" w:eastAsia="Calibri" w:hAnsi="Arial" w:cs="Arial"/>
        </w:rPr>
      </w:pPr>
    </w:p>
    <w:p w14:paraId="09D64197" w14:textId="265549F5" w:rsidR="00E84C6B" w:rsidRDefault="00E84C6B" w:rsidP="00C02282">
      <w:pPr>
        <w:spacing w:after="0" w:line="240" w:lineRule="auto"/>
        <w:jc w:val="center"/>
        <w:rPr>
          <w:rFonts w:ascii="Arial" w:eastAsia="Calibri" w:hAnsi="Arial" w:cs="Arial"/>
        </w:rPr>
      </w:pPr>
    </w:p>
    <w:p w14:paraId="31030BE1" w14:textId="1638451D" w:rsidR="00E84C6B" w:rsidRDefault="00E84C6B" w:rsidP="00C02282">
      <w:pPr>
        <w:spacing w:after="0" w:line="240" w:lineRule="auto"/>
        <w:jc w:val="center"/>
        <w:rPr>
          <w:rFonts w:ascii="Arial" w:eastAsia="Calibri" w:hAnsi="Arial" w:cs="Arial"/>
        </w:rPr>
      </w:pPr>
    </w:p>
    <w:p w14:paraId="07C02841" w14:textId="57335F85" w:rsidR="00E84C6B" w:rsidRDefault="00E84C6B" w:rsidP="00C02282">
      <w:pPr>
        <w:spacing w:after="0" w:line="240" w:lineRule="auto"/>
        <w:jc w:val="center"/>
        <w:rPr>
          <w:rFonts w:ascii="Arial" w:eastAsia="Calibri" w:hAnsi="Arial" w:cs="Arial"/>
        </w:rPr>
      </w:pPr>
    </w:p>
    <w:p w14:paraId="68E45472" w14:textId="77777777" w:rsidR="00E84C6B" w:rsidRPr="00B316A8" w:rsidRDefault="00E84C6B" w:rsidP="00C02282">
      <w:pPr>
        <w:spacing w:after="0" w:line="240" w:lineRule="auto"/>
        <w:jc w:val="center"/>
        <w:rPr>
          <w:rFonts w:ascii="Arial" w:eastAsia="Calibri" w:hAnsi="Arial" w:cs="Arial"/>
        </w:rPr>
      </w:pPr>
    </w:p>
    <w:p w14:paraId="75DABB20" w14:textId="77777777" w:rsidR="00C02282" w:rsidRPr="00B316A8" w:rsidRDefault="00C02282" w:rsidP="008B4625">
      <w:pPr>
        <w:pStyle w:val="Ttulo1"/>
        <w:numPr>
          <w:ilvl w:val="0"/>
          <w:numId w:val="27"/>
        </w:numPr>
        <w:rPr>
          <w:rFonts w:ascii="Arial" w:eastAsia="Arial" w:hAnsi="Arial" w:cs="Arial"/>
          <w:b/>
          <w:color w:val="auto"/>
          <w:sz w:val="22"/>
          <w:szCs w:val="22"/>
          <w:lang w:eastAsia="es-CO"/>
        </w:rPr>
      </w:pPr>
      <w:bookmarkStart w:id="72" w:name="_Toc525652027"/>
      <w:r w:rsidRPr="00B316A8">
        <w:rPr>
          <w:rFonts w:ascii="Arial" w:eastAsia="Arial" w:hAnsi="Arial" w:cs="Arial"/>
          <w:b/>
          <w:color w:val="auto"/>
          <w:sz w:val="22"/>
          <w:szCs w:val="22"/>
          <w:lang w:eastAsia="es-CO"/>
        </w:rPr>
        <w:lastRenderedPageBreak/>
        <w:t>INGRESOS Y GASTOS DEL IPSE</w:t>
      </w:r>
      <w:bookmarkEnd w:id="72"/>
      <w:r w:rsidRPr="00B316A8">
        <w:rPr>
          <w:rFonts w:ascii="Arial" w:eastAsia="Arial" w:hAnsi="Arial" w:cs="Arial"/>
          <w:b/>
          <w:color w:val="auto"/>
          <w:sz w:val="22"/>
          <w:szCs w:val="22"/>
          <w:lang w:eastAsia="es-CO"/>
        </w:rPr>
        <w:t xml:space="preserve"> </w:t>
      </w:r>
    </w:p>
    <w:p w14:paraId="6349AD0A" w14:textId="77777777" w:rsidR="00C02282" w:rsidRPr="00B316A8" w:rsidRDefault="00C02282" w:rsidP="008B4625">
      <w:pPr>
        <w:pStyle w:val="Ttulo2"/>
        <w:numPr>
          <w:ilvl w:val="1"/>
          <w:numId w:val="27"/>
        </w:numPr>
        <w:rPr>
          <w:rFonts w:ascii="Arial" w:eastAsia="Calibri" w:hAnsi="Arial" w:cs="Arial"/>
          <w:color w:val="auto"/>
          <w:sz w:val="22"/>
          <w:szCs w:val="22"/>
        </w:rPr>
      </w:pPr>
      <w:bookmarkStart w:id="73" w:name="_Toc525652028"/>
      <w:r w:rsidRPr="00B316A8">
        <w:rPr>
          <w:rFonts w:ascii="Arial" w:eastAsia="Calibri" w:hAnsi="Arial" w:cs="Arial"/>
          <w:color w:val="auto"/>
          <w:sz w:val="22"/>
          <w:szCs w:val="22"/>
        </w:rPr>
        <w:t>Ingresos IPSE</w:t>
      </w:r>
      <w:bookmarkEnd w:id="73"/>
    </w:p>
    <w:p w14:paraId="1C804090" w14:textId="77777777" w:rsidR="00C02282" w:rsidRPr="00B316A8" w:rsidRDefault="00C02282" w:rsidP="00C02282">
      <w:pPr>
        <w:spacing w:after="0" w:line="240" w:lineRule="auto"/>
        <w:jc w:val="both"/>
        <w:rPr>
          <w:rFonts w:ascii="Arial" w:eastAsia="Calibri" w:hAnsi="Arial" w:cs="Arial"/>
        </w:rPr>
      </w:pPr>
    </w:p>
    <w:p w14:paraId="7F398550" w14:textId="77777777" w:rsidR="00C02282" w:rsidRPr="00B316A8" w:rsidRDefault="00C02282" w:rsidP="00C02282">
      <w:pPr>
        <w:jc w:val="both"/>
        <w:rPr>
          <w:rFonts w:ascii="Arial" w:eastAsia="Calibri" w:hAnsi="Arial" w:cs="Arial"/>
        </w:rPr>
      </w:pPr>
      <w:r w:rsidRPr="00B316A8">
        <w:rPr>
          <w:rFonts w:ascii="Arial" w:eastAsia="Calibri" w:hAnsi="Arial" w:cs="Arial"/>
        </w:rPr>
        <w:t>El siguiente cuadro presenta el recaudo sobre el aforo vigente.</w:t>
      </w:r>
    </w:p>
    <w:p w14:paraId="5CBC4652" w14:textId="77777777" w:rsidR="00C02282" w:rsidRPr="006A67B4" w:rsidRDefault="00C02282" w:rsidP="00C02282">
      <w:pPr>
        <w:spacing w:after="0" w:line="240" w:lineRule="auto"/>
        <w:ind w:left="1416"/>
        <w:jc w:val="both"/>
        <w:rPr>
          <w:rFonts w:ascii="Arial" w:hAnsi="Arial" w:cs="Arial"/>
          <w:b/>
          <w:sz w:val="20"/>
          <w:szCs w:val="20"/>
          <w:highlight w:val="yellow"/>
          <w:lang w:eastAsia="es-ES"/>
        </w:rPr>
      </w:pPr>
      <w:r w:rsidRPr="006A67B4">
        <w:rPr>
          <w:rFonts w:ascii="Arial" w:hAnsi="Arial" w:cs="Arial"/>
          <w:b/>
          <w:sz w:val="20"/>
          <w:szCs w:val="20"/>
          <w:highlight w:val="yellow"/>
          <w:lang w:eastAsia="es-ES"/>
        </w:rPr>
        <w:t xml:space="preserve">      </w:t>
      </w:r>
    </w:p>
    <w:p w14:paraId="3DE2A629" w14:textId="77777777" w:rsidR="00C02282" w:rsidRPr="00B316A8" w:rsidRDefault="00C02282" w:rsidP="00C02282">
      <w:pPr>
        <w:pStyle w:val="Descripcin"/>
        <w:keepNext/>
        <w:jc w:val="center"/>
      </w:pPr>
      <w:bookmarkStart w:id="74" w:name="_Toc525652482"/>
      <w:r w:rsidRPr="00B316A8">
        <w:t xml:space="preserve">Tabla </w:t>
      </w:r>
      <w:r w:rsidRPr="00B316A8">
        <w:fldChar w:fldCharType="begin"/>
      </w:r>
      <w:r w:rsidRPr="00B316A8">
        <w:instrText xml:space="preserve"> SEQ Tabla \* ARABIC </w:instrText>
      </w:r>
      <w:r w:rsidRPr="00B316A8">
        <w:fldChar w:fldCharType="separate"/>
      </w:r>
      <w:r w:rsidR="008B4625">
        <w:rPr>
          <w:noProof/>
        </w:rPr>
        <w:t>37</w:t>
      </w:r>
      <w:r w:rsidRPr="00B316A8">
        <w:fldChar w:fldCharType="end"/>
      </w:r>
      <w:r w:rsidRPr="00B316A8">
        <w:t>Recaudo por fuentes propias IPSE</w:t>
      </w:r>
      <w:bookmarkEnd w:id="74"/>
    </w:p>
    <w:p w14:paraId="3B0D3BBA" w14:textId="01277DD0" w:rsidR="00C02282" w:rsidRPr="00B316A8" w:rsidRDefault="00B316A8" w:rsidP="00C02282">
      <w:pPr>
        <w:spacing w:after="0" w:line="240" w:lineRule="auto"/>
        <w:jc w:val="center"/>
        <w:rPr>
          <w:rFonts w:ascii="Arial" w:eastAsia="Calibri" w:hAnsi="Arial" w:cs="Arial"/>
          <w:sz w:val="16"/>
          <w:szCs w:val="16"/>
        </w:rPr>
      </w:pPr>
      <w:r w:rsidRPr="00B316A8">
        <w:rPr>
          <w:noProof/>
          <w:lang w:eastAsia="es-CO"/>
        </w:rPr>
        <w:drawing>
          <wp:inline distT="0" distB="0" distL="0" distR="0" wp14:anchorId="63125214" wp14:editId="50E3A7FA">
            <wp:extent cx="5886450" cy="3276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3276600"/>
                    </a:xfrm>
                    <a:prstGeom prst="rect">
                      <a:avLst/>
                    </a:prstGeom>
                    <a:noFill/>
                    <a:ln>
                      <a:noFill/>
                    </a:ln>
                  </pic:spPr>
                </pic:pic>
              </a:graphicData>
            </a:graphic>
          </wp:inline>
        </w:drawing>
      </w:r>
    </w:p>
    <w:p w14:paraId="05B91754" w14:textId="77777777" w:rsidR="00C02282" w:rsidRPr="00B316A8" w:rsidRDefault="00C02282" w:rsidP="00C02282">
      <w:pPr>
        <w:spacing w:after="0" w:line="240" w:lineRule="auto"/>
        <w:jc w:val="center"/>
        <w:rPr>
          <w:rFonts w:ascii="Arial" w:eastAsia="Calibri" w:hAnsi="Arial" w:cs="Arial"/>
          <w:sz w:val="16"/>
          <w:szCs w:val="16"/>
        </w:rPr>
      </w:pPr>
      <w:r w:rsidRPr="00B316A8">
        <w:rPr>
          <w:rFonts w:ascii="Arial" w:hAnsi="Arial" w:cs="Arial"/>
          <w:sz w:val="16"/>
          <w:szCs w:val="16"/>
          <w:lang w:eastAsia="es-ES"/>
        </w:rPr>
        <w:t>Millones de pesos</w:t>
      </w:r>
    </w:p>
    <w:p w14:paraId="28C0B34E" w14:textId="77777777" w:rsidR="00C02282" w:rsidRPr="00B316A8" w:rsidRDefault="00C02282" w:rsidP="00C02282">
      <w:pPr>
        <w:spacing w:after="0" w:line="240" w:lineRule="auto"/>
        <w:jc w:val="center"/>
        <w:rPr>
          <w:rFonts w:ascii="Arial" w:eastAsia="Calibri" w:hAnsi="Arial" w:cs="Arial"/>
          <w:sz w:val="16"/>
          <w:szCs w:val="16"/>
        </w:rPr>
      </w:pPr>
      <w:r w:rsidRPr="00B316A8">
        <w:rPr>
          <w:rFonts w:ascii="Arial" w:eastAsia="Calibri" w:hAnsi="Arial" w:cs="Arial"/>
          <w:sz w:val="16"/>
          <w:szCs w:val="16"/>
        </w:rPr>
        <w:t>Fuente: SIIF Nación – Coordinación Recursos Financieros, IPSE</w:t>
      </w:r>
    </w:p>
    <w:p w14:paraId="03AB7D3F" w14:textId="77777777" w:rsidR="00C02282" w:rsidRPr="00B316A8" w:rsidRDefault="00C02282" w:rsidP="00C02282">
      <w:pPr>
        <w:spacing w:line="240" w:lineRule="auto"/>
        <w:rPr>
          <w:rFonts w:ascii="Arial" w:hAnsi="Arial" w:cs="Arial"/>
          <w:b/>
          <w:lang w:eastAsia="es-CO"/>
        </w:rPr>
      </w:pPr>
    </w:p>
    <w:p w14:paraId="611EF2BF" w14:textId="4CFDAC9B" w:rsidR="00B316A8" w:rsidRPr="00B316A8" w:rsidRDefault="00B316A8" w:rsidP="00B316A8">
      <w:pPr>
        <w:spacing w:after="0" w:line="240" w:lineRule="auto"/>
        <w:rPr>
          <w:rFonts w:ascii="Arial" w:eastAsia="Calibri" w:hAnsi="Arial" w:cs="Arial"/>
        </w:rPr>
      </w:pPr>
      <w:r w:rsidRPr="00B316A8">
        <w:rPr>
          <w:rFonts w:ascii="Arial" w:eastAsia="Calibri" w:hAnsi="Arial" w:cs="Arial"/>
        </w:rPr>
        <w:t>El recaudo a la fecha, supera el valor a aforar en esta vigencia fiscal.</w:t>
      </w:r>
    </w:p>
    <w:p w14:paraId="64F09F6B" w14:textId="1009E5BA" w:rsidR="00C02282" w:rsidRDefault="00C02282" w:rsidP="00C02282">
      <w:pPr>
        <w:jc w:val="both"/>
        <w:rPr>
          <w:rFonts w:ascii="Arial" w:eastAsia="Calibri" w:hAnsi="Arial" w:cs="Arial"/>
        </w:rPr>
      </w:pPr>
    </w:p>
    <w:p w14:paraId="66BED427" w14:textId="5ED1389B" w:rsidR="00E84C6B" w:rsidRDefault="00E84C6B" w:rsidP="00C02282">
      <w:pPr>
        <w:jc w:val="both"/>
        <w:rPr>
          <w:rFonts w:ascii="Arial" w:eastAsia="Calibri" w:hAnsi="Arial" w:cs="Arial"/>
        </w:rPr>
      </w:pPr>
    </w:p>
    <w:p w14:paraId="1B75785D" w14:textId="5C8B7EFC" w:rsidR="00E84C6B" w:rsidRDefault="00E84C6B" w:rsidP="00C02282">
      <w:pPr>
        <w:jc w:val="both"/>
        <w:rPr>
          <w:rFonts w:ascii="Arial" w:eastAsia="Calibri" w:hAnsi="Arial" w:cs="Arial"/>
        </w:rPr>
      </w:pPr>
    </w:p>
    <w:p w14:paraId="6E938374" w14:textId="28927836" w:rsidR="00E84C6B" w:rsidRDefault="00E84C6B" w:rsidP="00C02282">
      <w:pPr>
        <w:jc w:val="both"/>
        <w:rPr>
          <w:rFonts w:ascii="Arial" w:eastAsia="Calibri" w:hAnsi="Arial" w:cs="Arial"/>
        </w:rPr>
      </w:pPr>
    </w:p>
    <w:p w14:paraId="161A699D" w14:textId="77777777" w:rsidR="00E84C6B" w:rsidRPr="00B316A8" w:rsidRDefault="00E84C6B" w:rsidP="00C02282">
      <w:pPr>
        <w:jc w:val="both"/>
        <w:rPr>
          <w:rFonts w:ascii="Arial" w:eastAsia="Calibri" w:hAnsi="Arial" w:cs="Arial"/>
        </w:rPr>
      </w:pPr>
    </w:p>
    <w:p w14:paraId="7E20BB49" w14:textId="77777777" w:rsidR="00C02282" w:rsidRPr="00B316A8" w:rsidRDefault="00C02282" w:rsidP="008B4625">
      <w:pPr>
        <w:pStyle w:val="Ttulo2"/>
        <w:numPr>
          <w:ilvl w:val="1"/>
          <w:numId w:val="27"/>
        </w:numPr>
        <w:rPr>
          <w:rFonts w:ascii="Arial" w:eastAsia="Calibri" w:hAnsi="Arial" w:cs="Arial"/>
          <w:color w:val="auto"/>
          <w:sz w:val="22"/>
          <w:szCs w:val="22"/>
        </w:rPr>
      </w:pPr>
      <w:bookmarkStart w:id="75" w:name="_Toc525652029"/>
      <w:r w:rsidRPr="00B316A8">
        <w:rPr>
          <w:rFonts w:ascii="Arial" w:eastAsia="Calibri" w:hAnsi="Arial" w:cs="Arial"/>
          <w:color w:val="auto"/>
          <w:sz w:val="22"/>
          <w:szCs w:val="22"/>
        </w:rPr>
        <w:lastRenderedPageBreak/>
        <w:t>Gastos IPSE</w:t>
      </w:r>
      <w:bookmarkEnd w:id="75"/>
    </w:p>
    <w:p w14:paraId="48BDE38B" w14:textId="77777777" w:rsidR="00C02282" w:rsidRPr="00B316A8" w:rsidRDefault="00C02282" w:rsidP="008B4625">
      <w:pPr>
        <w:pStyle w:val="Ttulo3"/>
        <w:numPr>
          <w:ilvl w:val="2"/>
          <w:numId w:val="27"/>
        </w:numPr>
        <w:rPr>
          <w:rFonts w:ascii="Arial" w:eastAsia="Calibri" w:hAnsi="Arial" w:cs="Arial"/>
          <w:color w:val="auto"/>
        </w:rPr>
      </w:pPr>
      <w:bookmarkStart w:id="76" w:name="_Toc525652030"/>
      <w:r w:rsidRPr="00B316A8">
        <w:rPr>
          <w:rFonts w:ascii="Arial" w:eastAsia="Calibri" w:hAnsi="Arial" w:cs="Arial"/>
          <w:color w:val="auto"/>
        </w:rPr>
        <w:t>Ejecución presupuestal Gastos de Funcionamiento</w:t>
      </w:r>
      <w:bookmarkEnd w:id="76"/>
    </w:p>
    <w:p w14:paraId="37CF2749" w14:textId="77777777" w:rsidR="00C02282" w:rsidRPr="00B316A8" w:rsidRDefault="00C02282" w:rsidP="00C02282">
      <w:pPr>
        <w:spacing w:after="0" w:line="240" w:lineRule="auto"/>
      </w:pPr>
    </w:p>
    <w:p w14:paraId="642DB25E" w14:textId="68C66360" w:rsidR="00B316A8" w:rsidRDefault="00B316A8" w:rsidP="00B316A8">
      <w:pPr>
        <w:spacing w:after="0" w:line="360" w:lineRule="auto"/>
        <w:jc w:val="both"/>
        <w:rPr>
          <w:rFonts w:ascii="Arial" w:eastAsia="Calibri" w:hAnsi="Arial" w:cs="Arial"/>
        </w:rPr>
      </w:pPr>
      <w:r w:rsidRPr="00B316A8">
        <w:rPr>
          <w:rFonts w:ascii="Arial" w:eastAsia="Calibri" w:hAnsi="Arial" w:cs="Arial"/>
        </w:rPr>
        <w:t>En Gastos de funcionamiento la entidad comprometió $12.711,25 millones (41%) y obligó $5.170,63 millones (17%) de la siguiente manera:</w:t>
      </w:r>
    </w:p>
    <w:p w14:paraId="1F44BC20" w14:textId="1A6A09D0" w:rsidR="00E84C6B" w:rsidRPr="00B316A8" w:rsidRDefault="00E84C6B" w:rsidP="00E84C6B">
      <w:pPr>
        <w:pStyle w:val="Descripcin"/>
        <w:keepNext/>
        <w:jc w:val="center"/>
      </w:pPr>
      <w:bookmarkStart w:id="77" w:name="_Toc525652483"/>
      <w:r>
        <w:t>T</w:t>
      </w:r>
      <w:r w:rsidRPr="00B316A8">
        <w:t xml:space="preserve">abla </w:t>
      </w:r>
      <w:r w:rsidRPr="00B316A8">
        <w:fldChar w:fldCharType="begin"/>
      </w:r>
      <w:r w:rsidRPr="00B316A8">
        <w:instrText xml:space="preserve"> SEQ Tabla \* ARABIC </w:instrText>
      </w:r>
      <w:r w:rsidRPr="00B316A8">
        <w:fldChar w:fldCharType="separate"/>
      </w:r>
      <w:r>
        <w:rPr>
          <w:noProof/>
        </w:rPr>
        <w:t>38</w:t>
      </w:r>
      <w:r w:rsidRPr="00B316A8">
        <w:fldChar w:fldCharType="end"/>
      </w:r>
      <w:r>
        <w:t xml:space="preserve"> </w:t>
      </w:r>
      <w:r w:rsidRPr="00B316A8">
        <w:t>Comportamiento de la Ejecución Presupuestal, Gastos de Funcionamiento 2018 IPSE</w:t>
      </w:r>
      <w:bookmarkEnd w:id="77"/>
    </w:p>
    <w:p w14:paraId="66064B8D" w14:textId="36BC8311" w:rsidR="00C02282" w:rsidRPr="00B316A8" w:rsidRDefault="00B316A8" w:rsidP="00C02282">
      <w:pPr>
        <w:spacing w:after="0" w:line="240" w:lineRule="auto"/>
        <w:jc w:val="center"/>
        <w:rPr>
          <w:rFonts w:ascii="Arial" w:eastAsia="Calibri" w:hAnsi="Arial" w:cs="Arial"/>
          <w:sz w:val="16"/>
          <w:szCs w:val="16"/>
        </w:rPr>
      </w:pPr>
      <w:r w:rsidRPr="0019683D">
        <w:rPr>
          <w:noProof/>
          <w:bdr w:val="single" w:sz="4" w:space="0" w:color="auto"/>
          <w:lang w:eastAsia="es-CO"/>
        </w:rPr>
        <w:drawing>
          <wp:inline distT="0" distB="0" distL="0" distR="0" wp14:anchorId="78FCFE6F" wp14:editId="31AB49A0">
            <wp:extent cx="5625321" cy="55714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0034" cy="5576158"/>
                    </a:xfrm>
                    <a:prstGeom prst="rect">
                      <a:avLst/>
                    </a:prstGeom>
                    <a:noFill/>
                    <a:ln>
                      <a:noFill/>
                    </a:ln>
                  </pic:spPr>
                </pic:pic>
              </a:graphicData>
            </a:graphic>
          </wp:inline>
        </w:drawing>
      </w:r>
      <w:r w:rsidR="00C02282" w:rsidRPr="00B316A8">
        <w:rPr>
          <w:rFonts w:ascii="Arial" w:hAnsi="Arial" w:cs="Arial"/>
          <w:sz w:val="16"/>
          <w:szCs w:val="16"/>
          <w:lang w:eastAsia="es-ES"/>
        </w:rPr>
        <w:t>Millones de pesos</w:t>
      </w:r>
    </w:p>
    <w:p w14:paraId="1A8D4381" w14:textId="77777777" w:rsidR="00C02282" w:rsidRPr="00B316A8" w:rsidRDefault="00C02282" w:rsidP="00C02282">
      <w:pPr>
        <w:jc w:val="center"/>
        <w:rPr>
          <w:rFonts w:ascii="Arial" w:eastAsia="Calibri" w:hAnsi="Arial" w:cs="Arial"/>
          <w:sz w:val="16"/>
          <w:szCs w:val="16"/>
        </w:rPr>
      </w:pPr>
      <w:r w:rsidRPr="00B316A8">
        <w:rPr>
          <w:rFonts w:ascii="Arial" w:eastAsia="Calibri" w:hAnsi="Arial" w:cs="Arial"/>
          <w:sz w:val="16"/>
          <w:szCs w:val="16"/>
        </w:rPr>
        <w:t>Fuente: SIIF Nación – Coordinación Recursos Financieros, IPSE</w:t>
      </w:r>
    </w:p>
    <w:p w14:paraId="5B2D1A77" w14:textId="77777777" w:rsidR="00C02282" w:rsidRPr="00B316A8" w:rsidRDefault="00C02282" w:rsidP="008B4625">
      <w:pPr>
        <w:pStyle w:val="Ttulo3"/>
        <w:numPr>
          <w:ilvl w:val="2"/>
          <w:numId w:val="27"/>
        </w:numPr>
        <w:rPr>
          <w:rFonts w:ascii="Arial" w:eastAsia="Calibri" w:hAnsi="Arial" w:cs="Arial"/>
          <w:color w:val="auto"/>
        </w:rPr>
      </w:pPr>
      <w:bookmarkStart w:id="78" w:name="_Toc525652031"/>
      <w:r w:rsidRPr="00B316A8">
        <w:rPr>
          <w:rFonts w:ascii="Arial" w:eastAsia="Calibri" w:hAnsi="Arial" w:cs="Arial"/>
          <w:color w:val="auto"/>
        </w:rPr>
        <w:lastRenderedPageBreak/>
        <w:t>Ejecución presupuestal Gastos de Inversión</w:t>
      </w:r>
      <w:bookmarkEnd w:id="78"/>
    </w:p>
    <w:p w14:paraId="6C5D312D" w14:textId="77777777" w:rsidR="00C02282" w:rsidRPr="00B316A8" w:rsidRDefault="00C02282" w:rsidP="00C02282">
      <w:pPr>
        <w:spacing w:after="0"/>
        <w:rPr>
          <w:rFonts w:ascii="Arial" w:eastAsia="Calibri" w:hAnsi="Arial" w:cs="Arial"/>
        </w:rPr>
      </w:pPr>
    </w:p>
    <w:p w14:paraId="36FF1241" w14:textId="222F92DB" w:rsidR="00B316A8" w:rsidRPr="00B316A8" w:rsidRDefault="00B316A8" w:rsidP="00B316A8">
      <w:pPr>
        <w:spacing w:after="0"/>
        <w:jc w:val="both"/>
        <w:rPr>
          <w:rFonts w:ascii="Arial" w:eastAsia="Calibri" w:hAnsi="Arial" w:cs="Arial"/>
        </w:rPr>
      </w:pPr>
      <w:r w:rsidRPr="00B316A8">
        <w:rPr>
          <w:rFonts w:ascii="Arial" w:eastAsia="Calibri" w:hAnsi="Arial" w:cs="Arial"/>
        </w:rPr>
        <w:t>En Gastos de Inversión la entidad comprometió $2.760,9 millones (29%) y obligó $385,5</w:t>
      </w:r>
      <w:r>
        <w:rPr>
          <w:rFonts w:ascii="Arial" w:eastAsia="Calibri" w:hAnsi="Arial" w:cs="Arial"/>
        </w:rPr>
        <w:t xml:space="preserve"> millones</w:t>
      </w:r>
      <w:r w:rsidRPr="00B316A8">
        <w:rPr>
          <w:rFonts w:ascii="Arial" w:eastAsia="Calibri" w:hAnsi="Arial" w:cs="Arial"/>
        </w:rPr>
        <w:t xml:space="preserve"> (4%) de la siguiente manera:</w:t>
      </w:r>
    </w:p>
    <w:p w14:paraId="726C1995" w14:textId="77777777" w:rsidR="00B316A8" w:rsidRPr="00B316A8" w:rsidRDefault="00B316A8" w:rsidP="00B316A8">
      <w:pPr>
        <w:spacing w:after="0"/>
        <w:jc w:val="both"/>
        <w:rPr>
          <w:rFonts w:ascii="Arial" w:eastAsia="Calibri" w:hAnsi="Arial" w:cs="Arial"/>
        </w:rPr>
      </w:pPr>
    </w:p>
    <w:p w14:paraId="4FEEBC93" w14:textId="77777777" w:rsidR="00C02282" w:rsidRPr="00B316A8" w:rsidRDefault="00C02282" w:rsidP="00C02282">
      <w:pPr>
        <w:pStyle w:val="Descripcin"/>
        <w:keepNext/>
        <w:jc w:val="center"/>
      </w:pPr>
      <w:bookmarkStart w:id="79" w:name="_Toc525652484"/>
      <w:r w:rsidRPr="00B316A8">
        <w:t xml:space="preserve">Tabla </w:t>
      </w:r>
      <w:r w:rsidRPr="00B316A8">
        <w:fldChar w:fldCharType="begin"/>
      </w:r>
      <w:r w:rsidRPr="00B316A8">
        <w:instrText xml:space="preserve"> SEQ Tabla \* ARABIC </w:instrText>
      </w:r>
      <w:r w:rsidRPr="00B316A8">
        <w:fldChar w:fldCharType="separate"/>
      </w:r>
      <w:r w:rsidR="008B4625">
        <w:rPr>
          <w:noProof/>
        </w:rPr>
        <w:t>39</w:t>
      </w:r>
      <w:r w:rsidRPr="00B316A8">
        <w:fldChar w:fldCharType="end"/>
      </w:r>
      <w:r w:rsidRPr="00B316A8">
        <w:t>Comportamiento de la Ejecución Presupuestal, Gastos de Inversión 2018 IPSE</w:t>
      </w:r>
      <w:bookmarkEnd w:id="79"/>
    </w:p>
    <w:p w14:paraId="14C52C6C" w14:textId="349F148A" w:rsidR="00C02282" w:rsidRPr="00B316A8" w:rsidRDefault="00B316A8" w:rsidP="00C02282">
      <w:pPr>
        <w:spacing w:after="0" w:line="240" w:lineRule="auto"/>
        <w:jc w:val="center"/>
        <w:rPr>
          <w:rFonts w:ascii="Arial" w:eastAsia="Calibri" w:hAnsi="Arial" w:cs="Arial"/>
          <w:sz w:val="16"/>
          <w:szCs w:val="16"/>
        </w:rPr>
      </w:pPr>
      <w:r w:rsidRPr="00B316A8">
        <w:rPr>
          <w:noProof/>
          <w:bdr w:val="single" w:sz="4" w:space="0" w:color="auto"/>
          <w:lang w:eastAsia="es-CO"/>
        </w:rPr>
        <w:drawing>
          <wp:inline distT="0" distB="0" distL="0" distR="0" wp14:anchorId="55E3D364" wp14:editId="4A324D83">
            <wp:extent cx="5971540" cy="40247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4024706"/>
                    </a:xfrm>
                    <a:prstGeom prst="rect">
                      <a:avLst/>
                    </a:prstGeom>
                    <a:noFill/>
                    <a:ln>
                      <a:noFill/>
                    </a:ln>
                  </pic:spPr>
                </pic:pic>
              </a:graphicData>
            </a:graphic>
          </wp:inline>
        </w:drawing>
      </w:r>
      <w:r w:rsidR="00C02282" w:rsidRPr="00B316A8">
        <w:rPr>
          <w:rFonts w:ascii="Arial" w:hAnsi="Arial" w:cs="Arial"/>
          <w:sz w:val="16"/>
          <w:szCs w:val="16"/>
          <w:lang w:eastAsia="es-ES"/>
        </w:rPr>
        <w:t>Millones de pesos</w:t>
      </w:r>
    </w:p>
    <w:p w14:paraId="6B45D69E" w14:textId="77777777" w:rsidR="00C02282" w:rsidRPr="00B316A8" w:rsidRDefault="00C02282" w:rsidP="00C02282">
      <w:pPr>
        <w:jc w:val="center"/>
        <w:rPr>
          <w:rFonts w:ascii="Arial" w:eastAsia="Calibri" w:hAnsi="Arial" w:cs="Arial"/>
          <w:sz w:val="16"/>
          <w:szCs w:val="16"/>
        </w:rPr>
      </w:pPr>
      <w:r w:rsidRPr="00B316A8">
        <w:rPr>
          <w:rFonts w:ascii="Arial" w:eastAsia="Calibri" w:hAnsi="Arial" w:cs="Arial"/>
          <w:sz w:val="16"/>
          <w:szCs w:val="16"/>
        </w:rPr>
        <w:t>Fuente: SIIF Nación – Coordinación Recursos Financieros, IPSE</w:t>
      </w:r>
    </w:p>
    <w:p w14:paraId="3DB2E78A" w14:textId="77777777" w:rsidR="00C02282" w:rsidRPr="00B316A8" w:rsidRDefault="00C02282" w:rsidP="008B4625">
      <w:pPr>
        <w:pStyle w:val="Ttulo1"/>
        <w:numPr>
          <w:ilvl w:val="0"/>
          <w:numId w:val="27"/>
        </w:numPr>
        <w:rPr>
          <w:rFonts w:ascii="Arial" w:eastAsia="Arial" w:hAnsi="Arial" w:cs="Arial"/>
          <w:b/>
          <w:color w:val="auto"/>
          <w:sz w:val="22"/>
          <w:szCs w:val="22"/>
          <w:lang w:eastAsia="es-CO"/>
        </w:rPr>
      </w:pPr>
      <w:bookmarkStart w:id="80" w:name="_Toc525652032"/>
      <w:r w:rsidRPr="00B316A8">
        <w:rPr>
          <w:rFonts w:ascii="Arial" w:eastAsia="Arial" w:hAnsi="Arial" w:cs="Arial"/>
          <w:b/>
          <w:color w:val="auto"/>
          <w:sz w:val="22"/>
          <w:szCs w:val="22"/>
          <w:lang w:eastAsia="es-CO"/>
        </w:rPr>
        <w:t>COMPOSICIÓN REZAGO PRESUPUESTAL DEL IPSE</w:t>
      </w:r>
      <w:bookmarkEnd w:id="80"/>
    </w:p>
    <w:p w14:paraId="13698003" w14:textId="77777777" w:rsidR="00C02282" w:rsidRPr="00B316A8" w:rsidRDefault="00C02282" w:rsidP="008B4625">
      <w:pPr>
        <w:pStyle w:val="Ttulo2"/>
        <w:numPr>
          <w:ilvl w:val="1"/>
          <w:numId w:val="27"/>
        </w:numPr>
        <w:rPr>
          <w:rFonts w:ascii="Arial" w:eastAsia="Calibri" w:hAnsi="Arial" w:cs="Arial"/>
          <w:color w:val="auto"/>
          <w:sz w:val="22"/>
          <w:szCs w:val="22"/>
        </w:rPr>
      </w:pPr>
      <w:bookmarkStart w:id="81" w:name="_Toc525652033"/>
      <w:r w:rsidRPr="00B316A8">
        <w:rPr>
          <w:rFonts w:ascii="Arial" w:eastAsia="Calibri" w:hAnsi="Arial" w:cs="Arial"/>
          <w:color w:val="auto"/>
          <w:sz w:val="22"/>
          <w:szCs w:val="22"/>
        </w:rPr>
        <w:t>Ejecución reservas presupuestales IPSE</w:t>
      </w:r>
      <w:bookmarkEnd w:id="81"/>
    </w:p>
    <w:p w14:paraId="5160B5A0" w14:textId="77777777" w:rsidR="00C02282" w:rsidRPr="00B316A8" w:rsidRDefault="00C02282" w:rsidP="00C02282">
      <w:pPr>
        <w:spacing w:after="0" w:line="240" w:lineRule="auto"/>
      </w:pPr>
    </w:p>
    <w:p w14:paraId="6CE7D852" w14:textId="646144F4" w:rsidR="00B316A8" w:rsidRPr="00B316A8" w:rsidRDefault="00B316A8" w:rsidP="00B316A8">
      <w:pPr>
        <w:jc w:val="both"/>
        <w:rPr>
          <w:rFonts w:ascii="Arial" w:eastAsia="Calibri" w:hAnsi="Arial" w:cs="Arial"/>
        </w:rPr>
      </w:pPr>
      <w:r w:rsidRPr="00B316A8">
        <w:rPr>
          <w:rFonts w:ascii="Arial" w:eastAsia="Calibri" w:hAnsi="Arial" w:cs="Arial"/>
        </w:rPr>
        <w:t>Del valor total constituido como reservas presupuestales, ($33.800,5 millones) se ha reducido $9,09 millones quedando un valor total a ejecutar en esta vigencia fis</w:t>
      </w:r>
      <w:r w:rsidR="00FE1111">
        <w:rPr>
          <w:rFonts w:ascii="Arial" w:eastAsia="Calibri" w:hAnsi="Arial" w:cs="Arial"/>
        </w:rPr>
        <w:t xml:space="preserve">cal </w:t>
      </w:r>
      <w:r w:rsidRPr="00B316A8">
        <w:rPr>
          <w:rFonts w:ascii="Arial" w:eastAsia="Calibri" w:hAnsi="Arial" w:cs="Arial"/>
        </w:rPr>
        <w:t>de $33.791,4 millones, de los cuales se ha ejecutado el 24%, de la siguiente manera:</w:t>
      </w:r>
    </w:p>
    <w:p w14:paraId="462885BF" w14:textId="77777777" w:rsidR="00C02282" w:rsidRPr="00B316A8" w:rsidRDefault="00C02282" w:rsidP="00C02282">
      <w:pPr>
        <w:pStyle w:val="Descripcin"/>
        <w:keepNext/>
        <w:jc w:val="center"/>
      </w:pPr>
      <w:bookmarkStart w:id="82" w:name="_Toc525652485"/>
      <w:r w:rsidRPr="00B316A8">
        <w:lastRenderedPageBreak/>
        <w:t xml:space="preserve">Tabla </w:t>
      </w:r>
      <w:r w:rsidRPr="00B316A8">
        <w:fldChar w:fldCharType="begin"/>
      </w:r>
      <w:r w:rsidRPr="00B316A8">
        <w:instrText xml:space="preserve"> SEQ Tabla \* ARABIC </w:instrText>
      </w:r>
      <w:r w:rsidRPr="00B316A8">
        <w:fldChar w:fldCharType="separate"/>
      </w:r>
      <w:r w:rsidR="008B4625">
        <w:rPr>
          <w:noProof/>
        </w:rPr>
        <w:t>40</w:t>
      </w:r>
      <w:r w:rsidRPr="00B316A8">
        <w:fldChar w:fldCharType="end"/>
      </w:r>
      <w:r w:rsidRPr="00B316A8">
        <w:t xml:space="preserve"> Ejecución  reservas presupuestales, 2018 IPSE</w:t>
      </w:r>
      <w:bookmarkEnd w:id="82"/>
    </w:p>
    <w:p w14:paraId="1B9FBD31" w14:textId="7C36372E" w:rsidR="00C02282" w:rsidRPr="00B316A8" w:rsidRDefault="00B316A8" w:rsidP="00C02282">
      <w:pPr>
        <w:spacing w:after="0"/>
        <w:jc w:val="center"/>
        <w:rPr>
          <w:rFonts w:ascii="Arial" w:eastAsia="Calibri" w:hAnsi="Arial" w:cs="Arial"/>
          <w:sz w:val="16"/>
          <w:szCs w:val="16"/>
        </w:rPr>
      </w:pPr>
      <w:r w:rsidRPr="00B316A8">
        <w:rPr>
          <w:noProof/>
          <w:lang w:eastAsia="es-CO"/>
        </w:rPr>
        <w:drawing>
          <wp:inline distT="0" distB="0" distL="0" distR="0" wp14:anchorId="46EFCAA2" wp14:editId="5EA86A4D">
            <wp:extent cx="5971540" cy="467627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4676278"/>
                    </a:xfrm>
                    <a:prstGeom prst="rect">
                      <a:avLst/>
                    </a:prstGeom>
                    <a:noFill/>
                    <a:ln>
                      <a:noFill/>
                    </a:ln>
                  </pic:spPr>
                </pic:pic>
              </a:graphicData>
            </a:graphic>
          </wp:inline>
        </w:drawing>
      </w:r>
    </w:p>
    <w:p w14:paraId="5A29BB3E" w14:textId="77777777" w:rsidR="00C02282" w:rsidRPr="00B316A8" w:rsidRDefault="00C02282" w:rsidP="00C02282">
      <w:pPr>
        <w:spacing w:after="0" w:line="240" w:lineRule="auto"/>
        <w:jc w:val="center"/>
        <w:rPr>
          <w:rFonts w:ascii="Arial" w:eastAsia="Calibri" w:hAnsi="Arial" w:cs="Arial"/>
          <w:sz w:val="16"/>
          <w:szCs w:val="16"/>
        </w:rPr>
      </w:pPr>
      <w:r w:rsidRPr="00B316A8">
        <w:rPr>
          <w:rFonts w:ascii="Arial" w:hAnsi="Arial" w:cs="Arial"/>
          <w:sz w:val="16"/>
          <w:szCs w:val="16"/>
          <w:lang w:eastAsia="es-ES"/>
        </w:rPr>
        <w:t>Millones de pesos</w:t>
      </w:r>
    </w:p>
    <w:p w14:paraId="0E012D71" w14:textId="77777777" w:rsidR="00C02282" w:rsidRPr="00B316A8" w:rsidRDefault="00C02282" w:rsidP="00C02282">
      <w:pPr>
        <w:spacing w:after="0"/>
        <w:jc w:val="center"/>
      </w:pPr>
      <w:r w:rsidRPr="00B316A8">
        <w:rPr>
          <w:rFonts w:ascii="Arial" w:eastAsia="Calibri" w:hAnsi="Arial" w:cs="Arial"/>
          <w:sz w:val="16"/>
          <w:szCs w:val="16"/>
        </w:rPr>
        <w:t>Fuente: SIIF Nación – Coordinación Recursos Financieros, IPSE</w:t>
      </w:r>
    </w:p>
    <w:p w14:paraId="5E38FB73" w14:textId="77777777" w:rsidR="00C02282" w:rsidRPr="00B316A8" w:rsidRDefault="00C02282" w:rsidP="008B4625">
      <w:pPr>
        <w:pStyle w:val="Ttulo2"/>
        <w:numPr>
          <w:ilvl w:val="1"/>
          <w:numId w:val="31"/>
        </w:numPr>
        <w:rPr>
          <w:rFonts w:ascii="Arial" w:eastAsia="Calibri" w:hAnsi="Arial" w:cs="Arial"/>
          <w:color w:val="auto"/>
          <w:sz w:val="22"/>
          <w:szCs w:val="22"/>
        </w:rPr>
      </w:pPr>
      <w:bookmarkStart w:id="83" w:name="_Toc525652034"/>
      <w:r w:rsidRPr="00B316A8">
        <w:rPr>
          <w:rFonts w:ascii="Arial" w:eastAsia="Calibri" w:hAnsi="Arial" w:cs="Arial"/>
          <w:color w:val="auto"/>
          <w:sz w:val="22"/>
          <w:szCs w:val="22"/>
        </w:rPr>
        <w:t>Ejecución cuentas por pagar IPSE</w:t>
      </w:r>
      <w:bookmarkEnd w:id="83"/>
    </w:p>
    <w:p w14:paraId="4B135BD8" w14:textId="77777777" w:rsidR="00C02282" w:rsidRPr="006A67B4" w:rsidRDefault="00C02282" w:rsidP="00C02282">
      <w:pPr>
        <w:pStyle w:val="Prrafodelista"/>
        <w:ind w:left="555"/>
        <w:rPr>
          <w:highlight w:val="yellow"/>
        </w:rPr>
      </w:pPr>
    </w:p>
    <w:p w14:paraId="7CE87262" w14:textId="77777777" w:rsidR="00B316A8" w:rsidRPr="007D59B4" w:rsidRDefault="00B316A8" w:rsidP="00B316A8">
      <w:pPr>
        <w:spacing w:after="0" w:line="240" w:lineRule="auto"/>
        <w:contextualSpacing/>
        <w:jc w:val="both"/>
        <w:rPr>
          <w:rFonts w:ascii="Arial" w:hAnsi="Arial" w:cs="Arial"/>
        </w:rPr>
      </w:pPr>
      <w:r w:rsidRPr="007D59B4">
        <w:rPr>
          <w:rFonts w:ascii="Arial" w:eastAsia="Calibri" w:hAnsi="Arial" w:cs="Arial"/>
        </w:rPr>
        <w:t xml:space="preserve">Del valor total constituido como cuentas por pagar ($87.944,0 millones), la entidad ha reducido </w:t>
      </w:r>
      <w:r w:rsidRPr="007D59B4">
        <w:rPr>
          <w:rFonts w:ascii="Arial" w:hAnsi="Arial" w:cs="Arial"/>
        </w:rPr>
        <w:t>un valor de $2,38 millones en el rubro Sueldos de personal de Nómina, quedando un valor total a ejecutar de $87.941.6 millones, de los cuales se ha ejecutado el 99%, de la siguiente manera:</w:t>
      </w:r>
    </w:p>
    <w:p w14:paraId="52C44D09" w14:textId="77777777" w:rsidR="00C02282" w:rsidRPr="006A67B4" w:rsidRDefault="00C02282" w:rsidP="00C02282">
      <w:pPr>
        <w:spacing w:after="0" w:line="240" w:lineRule="auto"/>
        <w:rPr>
          <w:rFonts w:eastAsia="Calibri" w:cs="Arial"/>
          <w:highlight w:val="yellow"/>
        </w:rPr>
      </w:pPr>
      <w:r w:rsidRPr="006A67B4">
        <w:rPr>
          <w:rFonts w:cs="Arial"/>
          <w:sz w:val="16"/>
          <w:szCs w:val="16"/>
          <w:highlight w:val="yellow"/>
          <w:lang w:eastAsia="es-ES"/>
        </w:rPr>
        <w:t xml:space="preserve">                                                                                                                                                                                                                   </w:t>
      </w:r>
    </w:p>
    <w:p w14:paraId="4FCC218B" w14:textId="77777777" w:rsidR="00C02282" w:rsidRPr="00B316A8" w:rsidRDefault="00C02282" w:rsidP="00C02282">
      <w:pPr>
        <w:pStyle w:val="Descripcin"/>
        <w:keepNext/>
        <w:jc w:val="center"/>
      </w:pPr>
      <w:bookmarkStart w:id="84" w:name="_Toc525652486"/>
      <w:r w:rsidRPr="00B316A8">
        <w:lastRenderedPageBreak/>
        <w:t xml:space="preserve">Tabla </w:t>
      </w:r>
      <w:r w:rsidRPr="00B316A8">
        <w:fldChar w:fldCharType="begin"/>
      </w:r>
      <w:r w:rsidRPr="00B316A8">
        <w:instrText xml:space="preserve"> SEQ Tabla \* ARABIC </w:instrText>
      </w:r>
      <w:r w:rsidRPr="00B316A8">
        <w:fldChar w:fldCharType="separate"/>
      </w:r>
      <w:r w:rsidR="008B4625">
        <w:rPr>
          <w:noProof/>
        </w:rPr>
        <w:t>41</w:t>
      </w:r>
      <w:r w:rsidRPr="00B316A8">
        <w:fldChar w:fldCharType="end"/>
      </w:r>
      <w:r w:rsidRPr="00B316A8">
        <w:t>Ejecución presupuestal cuentas por pagar 2018 IPSE</w:t>
      </w:r>
      <w:bookmarkEnd w:id="84"/>
    </w:p>
    <w:p w14:paraId="652FB214" w14:textId="2F08C3DD" w:rsidR="00C02282" w:rsidRPr="00B316A8" w:rsidRDefault="00B316A8" w:rsidP="00C02282">
      <w:pPr>
        <w:spacing w:after="0" w:line="240" w:lineRule="auto"/>
        <w:jc w:val="center"/>
        <w:rPr>
          <w:rFonts w:ascii="Arial" w:eastAsia="Calibri" w:hAnsi="Arial" w:cs="Arial"/>
          <w:sz w:val="16"/>
          <w:szCs w:val="16"/>
        </w:rPr>
      </w:pPr>
      <w:r w:rsidRPr="00B316A8">
        <w:rPr>
          <w:noProof/>
          <w:lang w:eastAsia="es-CO"/>
        </w:rPr>
        <w:drawing>
          <wp:inline distT="0" distB="0" distL="0" distR="0" wp14:anchorId="7E4EC29C" wp14:editId="2E8CC5E5">
            <wp:extent cx="5969969" cy="54483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9969" cy="5448300"/>
                    </a:xfrm>
                    <a:prstGeom prst="rect">
                      <a:avLst/>
                    </a:prstGeom>
                    <a:noFill/>
                    <a:ln>
                      <a:noFill/>
                    </a:ln>
                  </pic:spPr>
                </pic:pic>
              </a:graphicData>
            </a:graphic>
          </wp:inline>
        </w:drawing>
      </w:r>
      <w:r w:rsidR="00C02282" w:rsidRPr="00B316A8">
        <w:rPr>
          <w:rFonts w:ascii="Arial" w:hAnsi="Arial" w:cs="Arial"/>
          <w:sz w:val="16"/>
          <w:szCs w:val="16"/>
          <w:lang w:eastAsia="es-ES"/>
        </w:rPr>
        <w:t>Millones de pesos</w:t>
      </w:r>
    </w:p>
    <w:p w14:paraId="71CF8846" w14:textId="77777777" w:rsidR="00C02282" w:rsidRPr="00B316A8" w:rsidRDefault="00C02282" w:rsidP="00C02282">
      <w:pPr>
        <w:jc w:val="center"/>
      </w:pPr>
      <w:r w:rsidRPr="00B316A8">
        <w:rPr>
          <w:rFonts w:ascii="Arial" w:eastAsia="Calibri" w:hAnsi="Arial" w:cs="Arial"/>
          <w:sz w:val="16"/>
          <w:szCs w:val="16"/>
        </w:rPr>
        <w:t>Fuente: SIIF Nación – Coordinación Recursos Financieros, IPSE</w:t>
      </w:r>
    </w:p>
    <w:p w14:paraId="41ABCB8F" w14:textId="77777777" w:rsidR="00C02282" w:rsidRPr="006A67B4" w:rsidRDefault="00C02282" w:rsidP="00C02282">
      <w:pPr>
        <w:pStyle w:val="Prrafodelista"/>
        <w:spacing w:after="0" w:line="240" w:lineRule="auto"/>
        <w:ind w:left="720"/>
        <w:contextualSpacing/>
        <w:rPr>
          <w:rFonts w:eastAsia="Calibri" w:cs="Arial"/>
          <w:highlight w:val="yellow"/>
        </w:rPr>
      </w:pPr>
    </w:p>
    <w:p w14:paraId="76ACF69A" w14:textId="77777777" w:rsidR="00C02282" w:rsidRPr="002149CF" w:rsidRDefault="00C02282" w:rsidP="008B4625">
      <w:pPr>
        <w:pStyle w:val="Ttulo1"/>
        <w:numPr>
          <w:ilvl w:val="0"/>
          <w:numId w:val="27"/>
        </w:numPr>
        <w:rPr>
          <w:rFonts w:ascii="Arial" w:eastAsia="Arial" w:hAnsi="Arial" w:cs="Arial"/>
          <w:b/>
          <w:color w:val="auto"/>
          <w:sz w:val="22"/>
          <w:szCs w:val="22"/>
          <w:lang w:eastAsia="es-CO"/>
        </w:rPr>
      </w:pPr>
      <w:bookmarkStart w:id="85" w:name="_Toc525652035"/>
      <w:r w:rsidRPr="002149CF">
        <w:rPr>
          <w:rFonts w:ascii="Arial" w:eastAsia="Arial" w:hAnsi="Arial" w:cs="Arial"/>
          <w:b/>
          <w:color w:val="auto"/>
          <w:sz w:val="22"/>
          <w:szCs w:val="22"/>
          <w:lang w:eastAsia="es-CO"/>
        </w:rPr>
        <w:t>CONCLUSIONES Y /O COMENTARIOS IPSE</w:t>
      </w:r>
      <w:bookmarkEnd w:id="85"/>
    </w:p>
    <w:p w14:paraId="647D60FD" w14:textId="77777777" w:rsidR="00C02282" w:rsidRPr="006A67B4" w:rsidRDefault="00C02282" w:rsidP="00C02282">
      <w:pPr>
        <w:spacing w:after="0" w:line="240" w:lineRule="auto"/>
        <w:rPr>
          <w:highlight w:val="yellow"/>
          <w:lang w:eastAsia="es-CO"/>
        </w:rPr>
      </w:pPr>
    </w:p>
    <w:p w14:paraId="7845406D" w14:textId="286D6091" w:rsidR="00B316A8" w:rsidRPr="00932E5E" w:rsidRDefault="00B316A8" w:rsidP="00B316A8">
      <w:pPr>
        <w:spacing w:line="240" w:lineRule="auto"/>
        <w:rPr>
          <w:rFonts w:ascii="Arial" w:hAnsi="Arial" w:cs="Arial"/>
          <w:b/>
          <w:lang w:eastAsia="es-CO"/>
        </w:rPr>
      </w:pPr>
      <w:r>
        <w:rPr>
          <w:rFonts w:ascii="Arial" w:hAnsi="Arial" w:cs="Arial"/>
          <w:b/>
          <w:lang w:eastAsia="es-CO"/>
        </w:rPr>
        <w:t xml:space="preserve">4.1 </w:t>
      </w:r>
      <w:r w:rsidRPr="00932E5E">
        <w:rPr>
          <w:rFonts w:ascii="Arial" w:hAnsi="Arial" w:cs="Arial"/>
          <w:b/>
          <w:lang w:eastAsia="es-CO"/>
        </w:rPr>
        <w:t>INGRESOS</w:t>
      </w:r>
    </w:p>
    <w:p w14:paraId="13C5811F" w14:textId="323B6DBC" w:rsidR="00B316A8" w:rsidRDefault="00B316A8" w:rsidP="00B316A8">
      <w:pPr>
        <w:jc w:val="both"/>
        <w:rPr>
          <w:rFonts w:ascii="Arial" w:eastAsia="Calibri" w:hAnsi="Arial" w:cs="Arial"/>
        </w:rPr>
      </w:pPr>
      <w:r>
        <w:rPr>
          <w:rFonts w:ascii="Arial" w:eastAsia="Calibri" w:hAnsi="Arial" w:cs="Arial"/>
        </w:rPr>
        <w:t>El recaudo efectivo acumulado por fuentes propias finalizo con un 140%, respecto al aforo vigente, causado básicamente por los dividendos y participaciones reconocidas por CEDENAR.</w:t>
      </w:r>
    </w:p>
    <w:p w14:paraId="1AF74EEA" w14:textId="71E78247" w:rsidR="00B316A8" w:rsidRDefault="00B316A8" w:rsidP="00B316A8">
      <w:pPr>
        <w:jc w:val="both"/>
        <w:rPr>
          <w:rFonts w:ascii="Arial" w:eastAsia="Calibri" w:hAnsi="Arial" w:cs="Arial"/>
        </w:rPr>
      </w:pPr>
      <w:r>
        <w:rPr>
          <w:rFonts w:ascii="Arial" w:eastAsia="Calibri" w:hAnsi="Arial" w:cs="Arial"/>
        </w:rPr>
        <w:lastRenderedPageBreak/>
        <w:t xml:space="preserve">Es </w:t>
      </w:r>
      <w:r w:rsidR="00E84C6B">
        <w:rPr>
          <w:rFonts w:ascii="Arial" w:eastAsia="Calibri" w:hAnsi="Arial" w:cs="Arial"/>
        </w:rPr>
        <w:t>decir,</w:t>
      </w:r>
      <w:r>
        <w:rPr>
          <w:rFonts w:ascii="Arial" w:eastAsia="Calibri" w:hAnsi="Arial" w:cs="Arial"/>
        </w:rPr>
        <w:t xml:space="preserve"> se presenta un recaudo de ingresos mayor al aforo solicitado el cual asciende a $6,6 millones.</w:t>
      </w:r>
    </w:p>
    <w:p w14:paraId="1C9B39E2" w14:textId="32B416C0" w:rsidR="00B316A8" w:rsidRPr="00932E5E" w:rsidRDefault="00B316A8" w:rsidP="00B316A8">
      <w:pPr>
        <w:spacing w:line="240" w:lineRule="auto"/>
        <w:rPr>
          <w:rFonts w:ascii="Arial" w:hAnsi="Arial" w:cs="Arial"/>
          <w:b/>
          <w:lang w:eastAsia="es-CO"/>
        </w:rPr>
      </w:pPr>
      <w:r>
        <w:rPr>
          <w:rFonts w:ascii="Arial" w:hAnsi="Arial" w:cs="Arial"/>
          <w:b/>
          <w:lang w:eastAsia="es-CO"/>
        </w:rPr>
        <w:t>4.2 GASTOS</w:t>
      </w:r>
    </w:p>
    <w:p w14:paraId="0A084289" w14:textId="77777777" w:rsidR="00B316A8" w:rsidRDefault="00B316A8" w:rsidP="00B316A8">
      <w:pPr>
        <w:jc w:val="both"/>
        <w:rPr>
          <w:rFonts w:ascii="Arial" w:eastAsia="Calibri" w:hAnsi="Arial" w:cs="Arial"/>
          <w:b/>
        </w:rPr>
      </w:pPr>
      <w:r>
        <w:rPr>
          <w:rFonts w:ascii="Arial" w:eastAsia="Calibri" w:hAnsi="Arial" w:cs="Arial"/>
          <w:b/>
        </w:rPr>
        <w:t>4.2.1 Gastos de Funcionamiento</w:t>
      </w:r>
    </w:p>
    <w:p w14:paraId="79ED346B" w14:textId="41D99533" w:rsidR="00B316A8" w:rsidRDefault="00B316A8" w:rsidP="00B316A8">
      <w:pPr>
        <w:jc w:val="both"/>
        <w:rPr>
          <w:rFonts w:ascii="Arial" w:eastAsia="Calibri" w:hAnsi="Arial" w:cs="Arial"/>
        </w:rPr>
      </w:pPr>
      <w:r>
        <w:rPr>
          <w:rFonts w:ascii="Arial" w:eastAsia="Calibri" w:hAnsi="Arial" w:cs="Arial"/>
          <w:b/>
        </w:rPr>
        <w:t>4</w:t>
      </w:r>
      <w:r w:rsidRPr="004C0ACD">
        <w:rPr>
          <w:rFonts w:ascii="Arial" w:eastAsia="Calibri" w:hAnsi="Arial" w:cs="Arial"/>
          <w:b/>
        </w:rPr>
        <w:t>.2</w:t>
      </w:r>
      <w:r>
        <w:rPr>
          <w:rFonts w:ascii="Arial" w:eastAsia="Calibri" w:hAnsi="Arial" w:cs="Arial"/>
          <w:b/>
        </w:rPr>
        <w:t>.1.1</w:t>
      </w:r>
      <w:r w:rsidRPr="004C0ACD">
        <w:rPr>
          <w:rFonts w:ascii="Arial" w:eastAsia="Calibri" w:hAnsi="Arial" w:cs="Arial"/>
        </w:rPr>
        <w:t xml:space="preserve"> </w:t>
      </w:r>
      <w:r w:rsidRPr="004C0ACD">
        <w:rPr>
          <w:rFonts w:ascii="Arial" w:eastAsia="Calibri" w:hAnsi="Arial" w:cs="Arial"/>
          <w:b/>
        </w:rPr>
        <w:t xml:space="preserve">Gastos </w:t>
      </w:r>
      <w:r>
        <w:rPr>
          <w:rFonts w:ascii="Arial" w:eastAsia="Calibri" w:hAnsi="Arial" w:cs="Arial"/>
          <w:b/>
        </w:rPr>
        <w:t>de Personal</w:t>
      </w:r>
    </w:p>
    <w:p w14:paraId="1C00E4FC" w14:textId="77777777" w:rsidR="00B316A8" w:rsidRPr="0051603C" w:rsidRDefault="00B316A8" w:rsidP="00B316A8">
      <w:pPr>
        <w:jc w:val="both"/>
        <w:rPr>
          <w:rFonts w:ascii="Arial" w:eastAsia="Calibri" w:hAnsi="Arial" w:cs="Arial"/>
        </w:rPr>
      </w:pPr>
      <w:r>
        <w:rPr>
          <w:rFonts w:ascii="Arial" w:eastAsia="Calibri" w:hAnsi="Arial" w:cs="Arial"/>
        </w:rPr>
        <w:t xml:space="preserve">Es importante señalar que la apropiación asignada en los rubros que corresponden al pago de la nómina de los funcionarios del IPSE, es insuficiente, por cuanto el IPSE debe cumplir con los </w:t>
      </w:r>
      <w:r w:rsidRPr="00921307">
        <w:rPr>
          <w:rFonts w:ascii="Arial" w:eastAsia="Calibri" w:hAnsi="Arial" w:cs="Arial"/>
        </w:rPr>
        <w:t xml:space="preserve">objetivos y metas </w:t>
      </w:r>
      <w:r>
        <w:rPr>
          <w:rFonts w:ascii="Arial" w:eastAsia="Calibri" w:hAnsi="Arial" w:cs="Arial"/>
        </w:rPr>
        <w:t>institucionales propuestos a realizar en esta vigencia fiscal, razón por la cual el Gobierno Nacional le asigna $720,6 millones, al rubro Servicios Personales Indirectos; de los cuales ha comprometido $509,2 millones equivalentes al 71% del valor total asignado a este rubro.</w:t>
      </w:r>
    </w:p>
    <w:p w14:paraId="695D519D" w14:textId="7AE46FAD" w:rsidR="00B316A8" w:rsidRPr="004C0ACD" w:rsidRDefault="00B316A8" w:rsidP="00B316A8">
      <w:pPr>
        <w:jc w:val="both"/>
        <w:rPr>
          <w:rFonts w:ascii="Arial" w:eastAsia="Calibri" w:hAnsi="Arial" w:cs="Arial"/>
        </w:rPr>
      </w:pPr>
      <w:r>
        <w:rPr>
          <w:rFonts w:ascii="Arial" w:eastAsia="Calibri" w:hAnsi="Arial" w:cs="Arial"/>
          <w:b/>
        </w:rPr>
        <w:t>4</w:t>
      </w:r>
      <w:r w:rsidRPr="004C0ACD">
        <w:rPr>
          <w:rFonts w:ascii="Arial" w:eastAsia="Calibri" w:hAnsi="Arial" w:cs="Arial"/>
          <w:b/>
        </w:rPr>
        <w:t>.2</w:t>
      </w:r>
      <w:r>
        <w:rPr>
          <w:rFonts w:ascii="Arial" w:eastAsia="Calibri" w:hAnsi="Arial" w:cs="Arial"/>
          <w:b/>
        </w:rPr>
        <w:t>.1.2</w:t>
      </w:r>
      <w:r>
        <w:rPr>
          <w:rFonts w:ascii="Arial" w:eastAsia="Calibri" w:hAnsi="Arial" w:cs="Arial"/>
        </w:rPr>
        <w:t xml:space="preserve"> </w:t>
      </w:r>
      <w:r w:rsidRPr="004C0ACD">
        <w:rPr>
          <w:rFonts w:ascii="Arial" w:eastAsia="Calibri" w:hAnsi="Arial" w:cs="Arial"/>
          <w:b/>
        </w:rPr>
        <w:t>Gastos Generales</w:t>
      </w:r>
    </w:p>
    <w:p w14:paraId="3C10EB79" w14:textId="77777777" w:rsidR="00B316A8" w:rsidRPr="00486A85" w:rsidRDefault="00B316A8" w:rsidP="00B316A8">
      <w:pPr>
        <w:autoSpaceDE w:val="0"/>
        <w:autoSpaceDN w:val="0"/>
        <w:adjustRightInd w:val="0"/>
        <w:jc w:val="both"/>
        <w:rPr>
          <w:rFonts w:ascii="Arial" w:eastAsia="Times New Roman" w:hAnsi="Arial" w:cs="Arial"/>
          <w:color w:val="000000"/>
          <w:lang w:val="es-ES" w:eastAsia="es-ES"/>
        </w:rPr>
      </w:pPr>
      <w:r w:rsidRPr="00486A85">
        <w:rPr>
          <w:rFonts w:ascii="Arial" w:eastAsia="Calibri" w:hAnsi="Arial" w:cs="Arial"/>
        </w:rPr>
        <w:t xml:space="preserve">Este rubro finalizó el trimestre con una apropiación de $4.479,9 millones, de los cuales ha comprometido el 57%, </w:t>
      </w:r>
      <w:r w:rsidRPr="00486A85">
        <w:rPr>
          <w:rFonts w:ascii="Arial" w:eastAsia="Times New Roman" w:hAnsi="Arial" w:cs="Arial"/>
          <w:color w:val="000000"/>
          <w:lang w:val="es-ES" w:eastAsia="es-ES"/>
        </w:rPr>
        <w:t xml:space="preserve">destacándose gastos destinados al normal funcionamiento del Instituto, tales como: pago de servicios públicos, pago de administración, la provisión del servicio de comunicación satelital </w:t>
      </w:r>
      <w:proofErr w:type="spellStart"/>
      <w:r w:rsidRPr="00486A85">
        <w:rPr>
          <w:rFonts w:ascii="Arial" w:eastAsia="Times New Roman" w:hAnsi="Arial" w:cs="Arial"/>
          <w:color w:val="000000"/>
          <w:lang w:val="es-ES" w:eastAsia="es-ES"/>
        </w:rPr>
        <w:t>Vsat</w:t>
      </w:r>
      <w:proofErr w:type="spellEnd"/>
      <w:r w:rsidRPr="00486A85">
        <w:rPr>
          <w:rFonts w:ascii="Arial" w:eastAsia="Times New Roman" w:hAnsi="Arial" w:cs="Arial"/>
          <w:color w:val="000000"/>
          <w:lang w:val="es-ES" w:eastAsia="es-ES"/>
        </w:rPr>
        <w:t xml:space="preserve"> para transmisión de datos de telemetría, desde los medidores instalados en la localidades de las ZNI seleccionadas por el IPSE, hasta el Centro Nacional de Monitoreo, la contratación de los servicios de canal dedicado de internet en fibra óptica para las tres (3) sedes del IPSE, internet móvil, alojamiento del portal, plataforma de correo para el IPSE para las ZNI entre otros.</w:t>
      </w:r>
    </w:p>
    <w:p w14:paraId="07C9F491" w14:textId="31677EA6" w:rsidR="00B316A8" w:rsidRPr="0051603C" w:rsidRDefault="00B316A8" w:rsidP="00B316A8">
      <w:pPr>
        <w:jc w:val="both"/>
        <w:rPr>
          <w:rFonts w:ascii="Arial" w:eastAsia="Calibri" w:hAnsi="Arial" w:cs="Arial"/>
          <w:b/>
        </w:rPr>
      </w:pPr>
      <w:r>
        <w:rPr>
          <w:rFonts w:ascii="Arial" w:eastAsia="Calibri" w:hAnsi="Arial" w:cs="Arial"/>
          <w:b/>
        </w:rPr>
        <w:t>4.2</w:t>
      </w:r>
      <w:r w:rsidRPr="004C0ACD">
        <w:rPr>
          <w:rFonts w:ascii="Arial" w:eastAsia="Calibri" w:hAnsi="Arial" w:cs="Arial"/>
          <w:b/>
        </w:rPr>
        <w:t>.</w:t>
      </w:r>
      <w:r>
        <w:rPr>
          <w:rFonts w:ascii="Arial" w:eastAsia="Calibri" w:hAnsi="Arial" w:cs="Arial"/>
          <w:b/>
        </w:rPr>
        <w:t xml:space="preserve">1.3 </w:t>
      </w:r>
      <w:r w:rsidRPr="004C0ACD">
        <w:rPr>
          <w:rFonts w:ascii="Arial" w:eastAsia="Calibri" w:hAnsi="Arial" w:cs="Arial"/>
          <w:b/>
        </w:rPr>
        <w:t>Transferencias Corrientes</w:t>
      </w:r>
    </w:p>
    <w:p w14:paraId="69B80111" w14:textId="77777777" w:rsidR="00B316A8" w:rsidRDefault="00B316A8" w:rsidP="00B316A8">
      <w:pPr>
        <w:jc w:val="both"/>
        <w:rPr>
          <w:rFonts w:ascii="Arial" w:eastAsia="Calibri" w:hAnsi="Arial" w:cs="Arial"/>
        </w:rPr>
      </w:pPr>
      <w:r>
        <w:rPr>
          <w:rFonts w:ascii="Arial" w:eastAsia="Calibri" w:hAnsi="Arial" w:cs="Arial"/>
        </w:rPr>
        <w:t>De los recursos apropiados en este rubro en cuantía de $</w:t>
      </w:r>
      <w:r>
        <w:rPr>
          <w:rFonts w:ascii="Arial" w:eastAsia="Times New Roman" w:hAnsi="Arial" w:cs="Arial"/>
          <w:bCs/>
          <w:color w:val="000000"/>
          <w:lang w:val="es-ES" w:eastAsia="es-ES"/>
        </w:rPr>
        <w:t xml:space="preserve">4.124,2 </w:t>
      </w:r>
      <w:r w:rsidRPr="006B66C6">
        <w:rPr>
          <w:rFonts w:ascii="Arial" w:eastAsia="Times New Roman" w:hAnsi="Arial" w:cs="Arial"/>
          <w:bCs/>
          <w:color w:val="000000"/>
          <w:lang w:val="es-ES" w:eastAsia="es-ES"/>
        </w:rPr>
        <w:t>millones,</w:t>
      </w:r>
      <w:r>
        <w:rPr>
          <w:rFonts w:ascii="Arial" w:eastAsia="Times New Roman" w:hAnsi="Arial" w:cs="Arial"/>
          <w:bCs/>
          <w:color w:val="000000"/>
          <w:lang w:val="es-ES" w:eastAsia="es-ES"/>
        </w:rPr>
        <w:t xml:space="preserve"> </w:t>
      </w:r>
      <w:r>
        <w:rPr>
          <w:rFonts w:ascii="Arial" w:eastAsia="Calibri" w:hAnsi="Arial" w:cs="Arial"/>
        </w:rPr>
        <w:t xml:space="preserve">el IPSE ha ejecutado el 6%, los cuales corresponden al pago por concepto de mesadas pensionales y cuotas partes pensionales. </w:t>
      </w:r>
    </w:p>
    <w:p w14:paraId="530DD153" w14:textId="77777777" w:rsidR="00B316A8" w:rsidRDefault="00B316A8" w:rsidP="00B316A8">
      <w:pPr>
        <w:jc w:val="both"/>
        <w:rPr>
          <w:rFonts w:ascii="Arial" w:eastAsia="Calibri" w:hAnsi="Arial" w:cs="Arial"/>
        </w:rPr>
      </w:pPr>
      <w:r>
        <w:rPr>
          <w:rFonts w:ascii="Arial" w:eastAsia="Calibri" w:hAnsi="Arial" w:cs="Arial"/>
        </w:rPr>
        <w:t>No obstante, gran parte de estos recursos asignados, es decir $3.438,9 millones, son destinados al rubro sentencias y conciliaciones; monto que a la fecha no presenta ejecución.</w:t>
      </w:r>
    </w:p>
    <w:p w14:paraId="5424496C" w14:textId="77777777" w:rsidR="00B316A8" w:rsidRPr="0051603C" w:rsidRDefault="00B316A8" w:rsidP="008B4625">
      <w:pPr>
        <w:pStyle w:val="Prrafodelista"/>
        <w:numPr>
          <w:ilvl w:val="3"/>
          <w:numId w:val="56"/>
        </w:numPr>
        <w:contextualSpacing/>
        <w:jc w:val="both"/>
        <w:rPr>
          <w:rFonts w:eastAsia="Calibri" w:cs="Arial"/>
          <w:b/>
        </w:rPr>
      </w:pPr>
      <w:r w:rsidRPr="0051603C">
        <w:rPr>
          <w:rFonts w:eastAsia="Calibri" w:cs="Arial"/>
          <w:b/>
        </w:rPr>
        <w:t>Gastos de Comercialización y Producción</w:t>
      </w:r>
    </w:p>
    <w:p w14:paraId="0F21A022" w14:textId="7A0BB661" w:rsidR="00B316A8" w:rsidRDefault="00B316A8" w:rsidP="00B316A8">
      <w:pPr>
        <w:jc w:val="both"/>
        <w:rPr>
          <w:rFonts w:ascii="Arial" w:eastAsia="Calibri" w:hAnsi="Arial" w:cs="Arial"/>
          <w:bCs/>
        </w:rPr>
      </w:pPr>
      <w:r>
        <w:rPr>
          <w:rFonts w:ascii="Arial" w:eastAsia="Calibri" w:hAnsi="Arial" w:cs="Arial"/>
          <w:lang w:val="es-ES"/>
        </w:rPr>
        <w:t>De la apropiación asignada en este rubro en cuantía de $</w:t>
      </w:r>
      <w:r>
        <w:rPr>
          <w:rFonts w:ascii="Arial" w:eastAsia="Calibri" w:hAnsi="Arial" w:cs="Arial"/>
          <w:bCs/>
        </w:rPr>
        <w:t xml:space="preserve">15.426,9 </w:t>
      </w:r>
      <w:r w:rsidRPr="00ED7AA3">
        <w:rPr>
          <w:rFonts w:ascii="Arial" w:eastAsia="Calibri" w:hAnsi="Arial" w:cs="Arial"/>
          <w:bCs/>
        </w:rPr>
        <w:t>millones</w:t>
      </w:r>
      <w:r>
        <w:rPr>
          <w:rFonts w:ascii="Arial" w:eastAsia="Calibri" w:hAnsi="Arial" w:cs="Arial"/>
          <w:bCs/>
        </w:rPr>
        <w:t xml:space="preserve">, la entidad comprometió el 41% </w:t>
      </w:r>
      <w:r w:rsidR="00E84C6B">
        <w:rPr>
          <w:rFonts w:ascii="Arial" w:eastAsia="Calibri" w:hAnsi="Arial" w:cs="Arial"/>
          <w:bCs/>
        </w:rPr>
        <w:t>y obligó</w:t>
      </w:r>
      <w:r>
        <w:rPr>
          <w:rFonts w:ascii="Arial" w:eastAsia="Calibri" w:hAnsi="Arial" w:cs="Arial"/>
          <w:bCs/>
        </w:rPr>
        <w:t xml:space="preserve"> el 2%.</w:t>
      </w:r>
    </w:p>
    <w:p w14:paraId="18090169" w14:textId="77777777" w:rsidR="00B316A8" w:rsidRPr="00ED7AA3" w:rsidRDefault="00B316A8" w:rsidP="00B316A8">
      <w:pPr>
        <w:jc w:val="both"/>
        <w:rPr>
          <w:rFonts w:ascii="Arial" w:eastAsia="Calibri" w:hAnsi="Arial" w:cs="Arial"/>
          <w:bCs/>
        </w:rPr>
      </w:pPr>
      <w:r>
        <w:rPr>
          <w:rFonts w:ascii="Arial" w:eastAsia="Calibri" w:hAnsi="Arial" w:cs="Arial"/>
          <w:bCs/>
        </w:rPr>
        <w:t>Dentro de la ejecución de esta cuenta,</w:t>
      </w:r>
      <w:r w:rsidRPr="00ED7AA3">
        <w:rPr>
          <w:rFonts w:ascii="Arial" w:eastAsia="Times New Roman" w:hAnsi="Arial" w:cs="Arial"/>
          <w:iCs/>
          <w:lang w:val="es-ES" w:eastAsia="es-ES_tradnl"/>
        </w:rPr>
        <w:t xml:space="preserve"> </w:t>
      </w:r>
      <w:r>
        <w:rPr>
          <w:rFonts w:ascii="Arial" w:eastAsia="Times New Roman" w:hAnsi="Arial" w:cs="Arial"/>
          <w:iCs/>
          <w:lang w:val="es-ES" w:eastAsia="es-ES_tradnl"/>
        </w:rPr>
        <w:t xml:space="preserve">es importante señalar que </w:t>
      </w:r>
      <w:r w:rsidRPr="00ED7AA3">
        <w:rPr>
          <w:rFonts w:ascii="Arial" w:eastAsia="Times New Roman" w:hAnsi="Arial" w:cs="Arial"/>
          <w:iCs/>
          <w:lang w:val="es-ES" w:eastAsia="es-ES_tradnl"/>
        </w:rPr>
        <w:t xml:space="preserve">el 10 de julio de 2004, la Compañía Anónima de Administración y Fomento Eléctrico CADAFE, hoy CORPOELEC, por el Gobierno Venezolano y el Instituto de Planificación y Promoción de Soluciones Energéticas para </w:t>
      </w:r>
      <w:r w:rsidRPr="00ED7AA3">
        <w:rPr>
          <w:rFonts w:ascii="Arial" w:eastAsia="Times New Roman" w:hAnsi="Arial" w:cs="Arial"/>
          <w:iCs/>
          <w:lang w:val="es-ES" w:eastAsia="es-ES_tradnl"/>
        </w:rPr>
        <w:lastRenderedPageBreak/>
        <w:t xml:space="preserve">las Zonas No Interconectadas — IPSE, en representación del Gobierno Colombiano, </w:t>
      </w:r>
      <w:r>
        <w:rPr>
          <w:rFonts w:ascii="Arial" w:eastAsia="Times New Roman" w:hAnsi="Arial" w:cs="Arial"/>
          <w:iCs/>
          <w:lang w:val="es-ES" w:eastAsia="es-ES_tradnl"/>
        </w:rPr>
        <w:t xml:space="preserve"> </w:t>
      </w:r>
      <w:r w:rsidRPr="00ED7AA3">
        <w:rPr>
          <w:rFonts w:ascii="Arial" w:eastAsia="Times New Roman" w:hAnsi="Arial" w:cs="Arial"/>
          <w:iCs/>
          <w:lang w:val="es-ES" w:eastAsia="es-ES_tradnl"/>
        </w:rPr>
        <w:t>celebraron el Contrato 046-2004, CADAFE-IPSE para el traspaso de las obras construidas en Venezuela para la interconexión Puerto Nuevo – Puerto Páez – Puerto Carreño y el suministro de energía eléctrica a Puerto Carreño por el término de 20 años.</w:t>
      </w:r>
    </w:p>
    <w:p w14:paraId="2C87D071" w14:textId="77777777" w:rsidR="00B316A8" w:rsidRPr="00547AA1" w:rsidRDefault="00B316A8" w:rsidP="00B316A8">
      <w:pPr>
        <w:pStyle w:val="NormalWeb"/>
        <w:spacing w:before="0" w:beforeAutospacing="0" w:after="0" w:afterAutospacing="0"/>
        <w:jc w:val="both"/>
        <w:rPr>
          <w:rFonts w:ascii="Arial" w:hAnsi="Arial" w:cs="Arial"/>
          <w:i/>
          <w:sz w:val="22"/>
          <w:szCs w:val="22"/>
          <w:lang w:val="es-ES"/>
        </w:rPr>
      </w:pPr>
      <w:r>
        <w:rPr>
          <w:rFonts w:ascii="Arial" w:hAnsi="Arial" w:cs="Arial"/>
          <w:sz w:val="22"/>
          <w:szCs w:val="22"/>
        </w:rPr>
        <w:t>Así mismo, e</w:t>
      </w:r>
      <w:r w:rsidRPr="00A22D9D">
        <w:rPr>
          <w:rFonts w:ascii="Arial" w:hAnsi="Arial" w:cs="Arial"/>
          <w:sz w:val="22"/>
          <w:szCs w:val="22"/>
        </w:rPr>
        <w:t xml:space="preserve">n una de las cláusulas del contrato </w:t>
      </w:r>
      <w:r>
        <w:rPr>
          <w:rFonts w:ascii="Arial" w:hAnsi="Arial" w:cs="Arial"/>
          <w:sz w:val="22"/>
          <w:szCs w:val="22"/>
        </w:rPr>
        <w:t>mencionado</w:t>
      </w:r>
      <w:r w:rsidRPr="00A22D9D">
        <w:rPr>
          <w:rFonts w:ascii="Arial" w:hAnsi="Arial" w:cs="Arial"/>
          <w:sz w:val="22"/>
          <w:szCs w:val="22"/>
        </w:rPr>
        <w:t xml:space="preserve">, se estableció </w:t>
      </w:r>
      <w:r w:rsidRPr="00A22D9D">
        <w:rPr>
          <w:rFonts w:ascii="Arial" w:hAnsi="Arial" w:cs="Arial"/>
          <w:color w:val="000000"/>
          <w:sz w:val="22"/>
          <w:szCs w:val="22"/>
        </w:rPr>
        <w:t>que cada tres (3) años se debía negociar por mutuo acuerdo el componente G de generación de la tarifa de energía</w:t>
      </w:r>
      <w:r>
        <w:rPr>
          <w:rFonts w:ascii="Arial" w:hAnsi="Arial" w:cs="Arial"/>
          <w:color w:val="000000"/>
          <w:sz w:val="22"/>
          <w:szCs w:val="22"/>
        </w:rPr>
        <w:t xml:space="preserve">, </w:t>
      </w:r>
      <w:r w:rsidRPr="000B437C">
        <w:rPr>
          <w:rFonts w:ascii="Arial" w:hAnsi="Arial" w:cs="Arial"/>
          <w:color w:val="000000"/>
          <w:sz w:val="22"/>
          <w:szCs w:val="22"/>
        </w:rPr>
        <w:t xml:space="preserve">sin embargo </w:t>
      </w:r>
      <w:r>
        <w:rPr>
          <w:rFonts w:ascii="Arial" w:hAnsi="Arial" w:cs="Arial"/>
          <w:color w:val="000000"/>
          <w:sz w:val="22"/>
          <w:szCs w:val="22"/>
        </w:rPr>
        <w:t>han</w:t>
      </w:r>
      <w:r w:rsidRPr="000B437C">
        <w:rPr>
          <w:rFonts w:ascii="Arial" w:hAnsi="Arial" w:cs="Arial"/>
          <w:color w:val="000000"/>
          <w:sz w:val="22"/>
          <w:szCs w:val="22"/>
        </w:rPr>
        <w:t xml:space="preserve"> </w:t>
      </w:r>
      <w:r>
        <w:rPr>
          <w:rFonts w:ascii="Arial" w:hAnsi="Arial" w:cs="Arial"/>
          <w:color w:val="000000"/>
          <w:sz w:val="22"/>
          <w:szCs w:val="22"/>
        </w:rPr>
        <w:t>transcurrido 13</w:t>
      </w:r>
      <w:r w:rsidRPr="000B437C">
        <w:rPr>
          <w:rFonts w:ascii="Arial" w:hAnsi="Arial" w:cs="Arial"/>
          <w:color w:val="000000"/>
          <w:sz w:val="22"/>
          <w:szCs w:val="22"/>
        </w:rPr>
        <w:t xml:space="preserve"> años sin</w:t>
      </w:r>
      <w:r>
        <w:rPr>
          <w:rFonts w:ascii="Arial" w:hAnsi="Arial" w:cs="Arial"/>
          <w:color w:val="000000"/>
          <w:sz w:val="22"/>
          <w:szCs w:val="22"/>
        </w:rPr>
        <w:t xml:space="preserve"> que se hubiera </w:t>
      </w:r>
      <w:r w:rsidRPr="000B437C">
        <w:rPr>
          <w:rFonts w:ascii="Arial" w:hAnsi="Arial" w:cs="Arial"/>
          <w:color w:val="000000"/>
          <w:sz w:val="22"/>
          <w:szCs w:val="22"/>
        </w:rPr>
        <w:t>tenido en cuenta esta situación, por tal motivo la tari</w:t>
      </w:r>
      <w:r>
        <w:rPr>
          <w:rFonts w:ascii="Arial" w:hAnsi="Arial" w:cs="Arial"/>
          <w:color w:val="000000"/>
          <w:sz w:val="22"/>
          <w:szCs w:val="22"/>
        </w:rPr>
        <w:t>fa inicialmente contratada quedo</w:t>
      </w:r>
      <w:r w:rsidRPr="000B437C">
        <w:rPr>
          <w:rFonts w:ascii="Arial" w:hAnsi="Arial" w:cs="Arial"/>
          <w:color w:val="000000"/>
          <w:sz w:val="22"/>
          <w:szCs w:val="22"/>
        </w:rPr>
        <w:t xml:space="preserve"> rezagada frente a los costos de generación</w:t>
      </w:r>
      <w:r>
        <w:rPr>
          <w:rFonts w:ascii="Arial" w:hAnsi="Arial" w:cs="Arial"/>
          <w:color w:val="000000"/>
          <w:sz w:val="22"/>
          <w:szCs w:val="22"/>
        </w:rPr>
        <w:t>, razón por la cual en el año 2018</w:t>
      </w:r>
      <w:r w:rsidRPr="00A22D9D">
        <w:rPr>
          <w:rFonts w:ascii="Arial" w:hAnsi="Arial" w:cs="Arial"/>
          <w:color w:val="000000"/>
          <w:sz w:val="22"/>
          <w:szCs w:val="22"/>
        </w:rPr>
        <w:t xml:space="preserve"> por decisión administrativa se procedió a realizar los pagos por el suministro de energía a las tarifas vigentes y</w:t>
      </w:r>
      <w:r>
        <w:rPr>
          <w:rFonts w:ascii="Arial" w:hAnsi="Arial" w:cs="Arial"/>
          <w:color w:val="000000"/>
          <w:sz w:val="22"/>
          <w:szCs w:val="22"/>
        </w:rPr>
        <w:t xml:space="preserve"> establecidas en dicho contrato, mientras se pueda llegar a algún acuerdo.</w:t>
      </w:r>
    </w:p>
    <w:p w14:paraId="71545AD6" w14:textId="77777777" w:rsidR="00B316A8" w:rsidRPr="0051603C" w:rsidRDefault="00B316A8" w:rsidP="00B316A8">
      <w:pPr>
        <w:pStyle w:val="NormalWeb"/>
        <w:spacing w:before="0" w:beforeAutospacing="0" w:after="0" w:afterAutospacing="0"/>
        <w:jc w:val="both"/>
        <w:rPr>
          <w:rFonts w:ascii="Arial" w:hAnsi="Arial" w:cs="Arial"/>
          <w:color w:val="000000"/>
          <w:sz w:val="22"/>
          <w:szCs w:val="22"/>
        </w:rPr>
      </w:pPr>
    </w:p>
    <w:p w14:paraId="4C2DB123" w14:textId="77777777" w:rsidR="00B316A8" w:rsidRDefault="00B316A8" w:rsidP="00B316A8">
      <w:pPr>
        <w:jc w:val="both"/>
        <w:rPr>
          <w:rFonts w:ascii="Arial" w:eastAsia="Times New Roman" w:hAnsi="Arial" w:cs="Arial"/>
          <w:color w:val="000000"/>
          <w:lang w:val="es-ES" w:eastAsia="es-ES"/>
        </w:rPr>
      </w:pPr>
      <w:r>
        <w:rPr>
          <w:rFonts w:ascii="Arial" w:eastAsia="Times New Roman" w:hAnsi="Arial" w:cs="Arial"/>
          <w:color w:val="000000"/>
          <w:lang w:val="es-ES" w:eastAsia="es-ES"/>
        </w:rPr>
        <w:t xml:space="preserve">Por otra parte, </w:t>
      </w:r>
      <w:r w:rsidRPr="00A22D9D">
        <w:rPr>
          <w:rFonts w:ascii="Arial" w:eastAsia="Times New Roman" w:hAnsi="Arial" w:cs="Arial"/>
          <w:color w:val="000000"/>
          <w:lang w:val="es-ES" w:eastAsia="es-ES"/>
        </w:rPr>
        <w:t>el IPSE</w:t>
      </w:r>
      <w:r>
        <w:rPr>
          <w:rFonts w:ascii="Arial" w:eastAsia="Times New Roman" w:hAnsi="Arial" w:cs="Arial"/>
          <w:color w:val="000000"/>
          <w:lang w:val="es-ES" w:eastAsia="es-ES"/>
        </w:rPr>
        <w:t xml:space="preserve"> </w:t>
      </w:r>
      <w:r w:rsidRPr="00A22D9D">
        <w:rPr>
          <w:rFonts w:ascii="Arial" w:eastAsia="Times New Roman" w:hAnsi="Arial" w:cs="Arial"/>
          <w:color w:val="000000"/>
          <w:lang w:val="es-ES" w:eastAsia="es-ES"/>
        </w:rPr>
        <w:t>en las áreas de servicio exclusivo</w:t>
      </w:r>
      <w:r>
        <w:rPr>
          <w:rFonts w:ascii="Arial" w:eastAsia="Times New Roman" w:hAnsi="Arial" w:cs="Arial"/>
          <w:color w:val="000000"/>
          <w:lang w:val="es-ES" w:eastAsia="es-ES"/>
        </w:rPr>
        <w:t xml:space="preserve"> de Amazonas, ha fortalecido</w:t>
      </w:r>
      <w:r w:rsidRPr="00A22D9D">
        <w:rPr>
          <w:rFonts w:ascii="Arial" w:eastAsia="Times New Roman" w:hAnsi="Arial" w:cs="Arial"/>
          <w:color w:val="000000"/>
          <w:lang w:val="es-ES" w:eastAsia="es-ES"/>
        </w:rPr>
        <w:t xml:space="preserve"> la ejecución de estos recursos con la contra</w:t>
      </w:r>
      <w:r>
        <w:rPr>
          <w:rFonts w:ascii="Arial" w:eastAsia="Times New Roman" w:hAnsi="Arial" w:cs="Arial"/>
          <w:color w:val="000000"/>
          <w:lang w:val="es-ES" w:eastAsia="es-ES"/>
        </w:rPr>
        <w:t>tación de personal idóneo que le ha permitido apoyar</w:t>
      </w:r>
      <w:r w:rsidRPr="00A22D9D">
        <w:rPr>
          <w:rFonts w:ascii="Arial" w:eastAsia="Times New Roman" w:hAnsi="Arial" w:cs="Arial"/>
          <w:color w:val="000000"/>
          <w:lang w:val="es-ES" w:eastAsia="es-ES"/>
        </w:rPr>
        <w:t xml:space="preserve"> </w:t>
      </w:r>
      <w:r>
        <w:rPr>
          <w:rFonts w:ascii="Arial" w:eastAsia="Times New Roman" w:hAnsi="Arial" w:cs="Arial"/>
          <w:color w:val="000000"/>
          <w:lang w:val="es-ES" w:eastAsia="es-ES"/>
        </w:rPr>
        <w:t xml:space="preserve">a </w:t>
      </w:r>
      <w:r w:rsidRPr="00A22D9D">
        <w:rPr>
          <w:rFonts w:ascii="Arial" w:eastAsia="Times New Roman" w:hAnsi="Arial" w:cs="Arial"/>
          <w:color w:val="000000"/>
          <w:lang w:val="es-ES" w:eastAsia="es-ES"/>
        </w:rPr>
        <w:t>la entidad en las actividades propias a desarrollar</w:t>
      </w:r>
      <w:r>
        <w:rPr>
          <w:rFonts w:ascii="Arial" w:eastAsia="Times New Roman" w:hAnsi="Arial" w:cs="Arial"/>
          <w:color w:val="000000"/>
          <w:lang w:val="es-ES" w:eastAsia="es-ES"/>
        </w:rPr>
        <w:t>.</w:t>
      </w:r>
    </w:p>
    <w:p w14:paraId="0FF16D0D" w14:textId="77777777" w:rsidR="00B316A8" w:rsidRPr="0051603C" w:rsidRDefault="00B316A8" w:rsidP="008B4625">
      <w:pPr>
        <w:pStyle w:val="Prrafodelista"/>
        <w:numPr>
          <w:ilvl w:val="2"/>
          <w:numId w:val="56"/>
        </w:numPr>
        <w:jc w:val="both"/>
        <w:rPr>
          <w:rFonts w:eastAsia="Times New Roman" w:cs="Arial"/>
          <w:b/>
          <w:color w:val="000000"/>
          <w:lang w:val="es-ES" w:eastAsia="es-ES"/>
        </w:rPr>
      </w:pPr>
      <w:r w:rsidRPr="0051603C">
        <w:rPr>
          <w:rFonts w:eastAsia="Times New Roman" w:cs="Arial"/>
          <w:b/>
          <w:color w:val="000000"/>
          <w:lang w:val="es-ES" w:eastAsia="es-ES"/>
        </w:rPr>
        <w:t>GASTOS DE INVERSION</w:t>
      </w:r>
    </w:p>
    <w:p w14:paraId="3BF13D53" w14:textId="1CB22C97" w:rsidR="00B316A8" w:rsidRPr="0051603C" w:rsidRDefault="00B316A8" w:rsidP="00B316A8">
      <w:pPr>
        <w:jc w:val="both"/>
        <w:rPr>
          <w:rFonts w:ascii="Arial" w:eastAsia="Calibri" w:hAnsi="Arial" w:cs="Arial"/>
          <w:bCs/>
        </w:rPr>
      </w:pPr>
      <w:r>
        <w:rPr>
          <w:rFonts w:ascii="Arial" w:eastAsia="Calibri" w:hAnsi="Arial" w:cs="Arial"/>
          <w:bCs/>
        </w:rPr>
        <w:t>Los compromisos en este rubro se encuentran en un 29</w:t>
      </w:r>
      <w:r w:rsidRPr="0051603C">
        <w:rPr>
          <w:rFonts w:ascii="Arial" w:eastAsia="Calibri" w:hAnsi="Arial" w:cs="Arial"/>
          <w:bCs/>
        </w:rPr>
        <w:t>%</w:t>
      </w:r>
      <w:r>
        <w:rPr>
          <w:rFonts w:ascii="Arial" w:eastAsia="Calibri" w:hAnsi="Arial" w:cs="Arial"/>
          <w:bCs/>
        </w:rPr>
        <w:t xml:space="preserve"> y las obligaciones en un 4</w:t>
      </w:r>
      <w:r w:rsidRPr="0051603C">
        <w:rPr>
          <w:rFonts w:ascii="Arial" w:eastAsia="Calibri" w:hAnsi="Arial" w:cs="Arial"/>
          <w:bCs/>
        </w:rPr>
        <w:t>% respecto a la apropiación,</w:t>
      </w:r>
      <w:r w:rsidRPr="0051603C">
        <w:rPr>
          <w:rFonts w:ascii="Arial" w:hAnsi="Arial" w:cs="Arial"/>
        </w:rPr>
        <w:t xml:space="preserve"> </w:t>
      </w:r>
      <w:r w:rsidRPr="0051603C">
        <w:rPr>
          <w:rFonts w:ascii="Arial" w:hAnsi="Arial" w:cs="Arial"/>
          <w:lang w:val="es-ES"/>
        </w:rPr>
        <w:t xml:space="preserve">recursos que </w:t>
      </w:r>
      <w:r w:rsidR="00E84C6B" w:rsidRPr="0051603C">
        <w:rPr>
          <w:rFonts w:ascii="Arial" w:hAnsi="Arial" w:cs="Arial"/>
          <w:color w:val="000000"/>
        </w:rPr>
        <w:t>corresponden al</w:t>
      </w:r>
      <w:r w:rsidRPr="0051603C">
        <w:rPr>
          <w:rFonts w:ascii="Arial" w:hAnsi="Arial" w:cs="Arial"/>
          <w:color w:val="000000"/>
        </w:rPr>
        <w:t xml:space="preserve"> pago por concepto de prestación de servicios y ARL. </w:t>
      </w:r>
    </w:p>
    <w:p w14:paraId="30CA7C6F" w14:textId="77777777" w:rsidR="00B316A8" w:rsidRPr="00D65485" w:rsidRDefault="00B316A8" w:rsidP="00B316A8">
      <w:pPr>
        <w:jc w:val="both"/>
        <w:rPr>
          <w:rFonts w:ascii="Arial" w:eastAsia="Calibri" w:hAnsi="Arial" w:cs="Arial"/>
          <w:sz w:val="20"/>
          <w:szCs w:val="20"/>
        </w:rPr>
      </w:pPr>
      <w:r>
        <w:rPr>
          <w:rFonts w:ascii="Arial" w:eastAsia="Times New Roman" w:hAnsi="Arial" w:cs="Arial"/>
          <w:b/>
          <w:color w:val="000000"/>
          <w:lang w:val="es-ES" w:eastAsia="es-ES"/>
        </w:rPr>
        <w:t>4.2.3 REZAGO PRESUPUESTAL</w:t>
      </w:r>
      <w:r w:rsidRPr="00D65485">
        <w:rPr>
          <w:rFonts w:ascii="Arial" w:eastAsia="Calibri" w:hAnsi="Arial" w:cs="Arial"/>
          <w:sz w:val="20"/>
          <w:szCs w:val="20"/>
        </w:rPr>
        <w:t xml:space="preserve"> </w:t>
      </w:r>
    </w:p>
    <w:p w14:paraId="63147BA6" w14:textId="77777777" w:rsidR="00B316A8" w:rsidRPr="006B4053" w:rsidRDefault="00B316A8" w:rsidP="00B316A8">
      <w:pPr>
        <w:jc w:val="both"/>
        <w:rPr>
          <w:rFonts w:ascii="Arial" w:eastAsia="Calibri" w:hAnsi="Arial" w:cs="Arial"/>
        </w:rPr>
      </w:pPr>
      <w:r w:rsidRPr="006B4053">
        <w:rPr>
          <w:rFonts w:ascii="Arial" w:eastAsia="Calibri" w:hAnsi="Arial" w:cs="Arial"/>
        </w:rPr>
        <w:t>Al cierre de la vigencia fiscal 2017, el IPSE constituyo reservas y cuentas por pagar, por valor de $121.744.6 millones, de la siguiente manera:</w:t>
      </w:r>
    </w:p>
    <w:p w14:paraId="23D87A87" w14:textId="77777777" w:rsidR="00B316A8" w:rsidRDefault="00B316A8" w:rsidP="008B4625">
      <w:pPr>
        <w:pStyle w:val="Prrafodelista"/>
        <w:numPr>
          <w:ilvl w:val="0"/>
          <w:numId w:val="57"/>
        </w:numPr>
        <w:spacing w:after="0" w:line="240" w:lineRule="auto"/>
        <w:contextualSpacing/>
        <w:jc w:val="both"/>
        <w:rPr>
          <w:rFonts w:eastAsia="Calibri" w:cs="Arial"/>
        </w:rPr>
      </w:pPr>
      <w:r w:rsidRPr="00537C25">
        <w:rPr>
          <w:rFonts w:eastAsia="Calibri" w:cs="Arial"/>
          <w:b/>
        </w:rPr>
        <w:t>Reservas presupuestales</w:t>
      </w:r>
      <w:r w:rsidRPr="006B4053">
        <w:rPr>
          <w:rFonts w:eastAsia="Calibri" w:cs="Arial"/>
        </w:rPr>
        <w:t xml:space="preserve">: $33.800,5 millones, de las cuales la entidad a la fecha ha reducido $9,09 millones del rubro Gastos Generales - Adquisición de Bienes y Servicios, quedando un valor total a ejecutar en este rubro de $958.2 millones. </w:t>
      </w:r>
    </w:p>
    <w:p w14:paraId="42E1641C" w14:textId="77777777" w:rsidR="00B316A8" w:rsidRPr="007D59B4" w:rsidRDefault="00B316A8" w:rsidP="00B316A8">
      <w:pPr>
        <w:pStyle w:val="Prrafodelista"/>
        <w:spacing w:after="0" w:line="240" w:lineRule="auto"/>
        <w:ind w:left="720"/>
        <w:contextualSpacing/>
        <w:jc w:val="both"/>
        <w:rPr>
          <w:rFonts w:eastAsia="Calibri" w:cs="Arial"/>
        </w:rPr>
      </w:pPr>
    </w:p>
    <w:p w14:paraId="5BCA628F" w14:textId="038793C8" w:rsidR="00B316A8" w:rsidRPr="00D65485" w:rsidRDefault="00B316A8" w:rsidP="00B316A8">
      <w:pPr>
        <w:pStyle w:val="Prrafodelista"/>
        <w:jc w:val="both"/>
        <w:rPr>
          <w:rFonts w:eastAsia="Calibri" w:cs="Arial"/>
        </w:rPr>
      </w:pPr>
      <w:r w:rsidRPr="00D65485">
        <w:rPr>
          <w:rFonts w:eastAsia="Calibri" w:cs="Arial"/>
        </w:rPr>
        <w:t xml:space="preserve">Es </w:t>
      </w:r>
      <w:r w:rsidR="00E84C6B" w:rsidRPr="00D65485">
        <w:rPr>
          <w:rFonts w:eastAsia="Calibri" w:cs="Arial"/>
        </w:rPr>
        <w:t>decir,</w:t>
      </w:r>
      <w:r w:rsidRPr="00D65485">
        <w:rPr>
          <w:rFonts w:eastAsia="Calibri" w:cs="Arial"/>
        </w:rPr>
        <w:t xml:space="preserve"> la constitución de Reservas Presupuestales al 30-06-2018, quedaron en $33.791,4 millones para ser ejecutadas en esta vigencia fiscal.</w:t>
      </w:r>
    </w:p>
    <w:p w14:paraId="7E33E05C" w14:textId="1AA057E2" w:rsidR="00B316A8" w:rsidRPr="00D65485" w:rsidRDefault="00B316A8" w:rsidP="008B4625">
      <w:pPr>
        <w:pStyle w:val="Prrafodelista"/>
        <w:numPr>
          <w:ilvl w:val="0"/>
          <w:numId w:val="57"/>
        </w:numPr>
        <w:spacing w:after="0" w:line="240" w:lineRule="auto"/>
        <w:contextualSpacing/>
        <w:jc w:val="both"/>
        <w:rPr>
          <w:rFonts w:cs="Arial"/>
        </w:rPr>
      </w:pPr>
      <w:r w:rsidRPr="00537C25">
        <w:rPr>
          <w:rFonts w:eastAsia="Calibri" w:cs="Arial"/>
          <w:b/>
        </w:rPr>
        <w:t>Cuentas por pagar</w:t>
      </w:r>
      <w:r w:rsidRPr="00537C25">
        <w:rPr>
          <w:rFonts w:eastAsia="Calibri" w:cs="Arial"/>
        </w:rPr>
        <w:t>:</w:t>
      </w:r>
      <w:r w:rsidRPr="00D65485">
        <w:rPr>
          <w:rFonts w:eastAsia="Calibri" w:cs="Arial"/>
        </w:rPr>
        <w:t xml:space="preserve"> $87.944,0 millones, de los </w:t>
      </w:r>
      <w:r w:rsidR="00E84C6B" w:rsidRPr="00D65485">
        <w:rPr>
          <w:rFonts w:eastAsia="Calibri" w:cs="Arial"/>
        </w:rPr>
        <w:t>cuales,</w:t>
      </w:r>
      <w:r w:rsidRPr="00D65485">
        <w:rPr>
          <w:rFonts w:eastAsia="Calibri" w:cs="Arial"/>
        </w:rPr>
        <w:t xml:space="preserve"> en el mes de mayo de 2018, la entidad redujo </w:t>
      </w:r>
      <w:r w:rsidRPr="00D65485">
        <w:rPr>
          <w:rFonts w:cs="Arial"/>
        </w:rPr>
        <w:t>un valor de $2,38 millones en el rubro Sueldos de personal de Nómina, quedando un valor total a ejecutar de $87.941,6 millones.</w:t>
      </w:r>
    </w:p>
    <w:p w14:paraId="27333684" w14:textId="77777777" w:rsidR="00B316A8" w:rsidRPr="00D65485" w:rsidRDefault="00B316A8" w:rsidP="00B316A8">
      <w:pPr>
        <w:ind w:left="360"/>
        <w:jc w:val="both"/>
        <w:rPr>
          <w:rFonts w:ascii="Arial" w:eastAsia="Times New Roman" w:hAnsi="Arial" w:cs="Arial"/>
          <w:b/>
          <w:color w:val="000000"/>
          <w:lang w:val="es-ES" w:eastAsia="es-ES"/>
        </w:rPr>
      </w:pPr>
    </w:p>
    <w:p w14:paraId="37DC67E9" w14:textId="77777777" w:rsidR="00C02282" w:rsidRPr="006A67B4" w:rsidRDefault="00C02282" w:rsidP="00C02282">
      <w:pPr>
        <w:jc w:val="both"/>
        <w:rPr>
          <w:rFonts w:ascii="Arial" w:eastAsia="Calibri" w:hAnsi="Arial" w:cs="Arial"/>
          <w:highlight w:val="yellow"/>
        </w:rPr>
      </w:pPr>
    </w:p>
    <w:p w14:paraId="1D8B2239" w14:textId="77777777" w:rsidR="00C02282" w:rsidRPr="006A67B4" w:rsidRDefault="00C02282" w:rsidP="00C02282">
      <w:pPr>
        <w:pStyle w:val="Ttulo1"/>
        <w:ind w:left="426"/>
        <w:rPr>
          <w:rFonts w:ascii="Arial" w:eastAsia="Arial" w:hAnsi="Arial" w:cs="Arial"/>
          <w:b/>
          <w:color w:val="auto"/>
          <w:sz w:val="22"/>
          <w:szCs w:val="22"/>
          <w:lang w:eastAsia="es-CO"/>
        </w:rPr>
      </w:pPr>
      <w:bookmarkStart w:id="86" w:name="_Toc525652036"/>
      <w:r w:rsidRPr="006A67B4">
        <w:rPr>
          <w:rFonts w:ascii="Arial" w:eastAsia="Arial" w:hAnsi="Arial" w:cs="Arial"/>
          <w:b/>
          <w:color w:val="auto"/>
          <w:sz w:val="22"/>
          <w:szCs w:val="22"/>
          <w:lang w:eastAsia="es-CO"/>
        </w:rPr>
        <w:t>C. AGENCIA NACIONAL DE HIDROCARBUROS - ANH</w:t>
      </w:r>
      <w:bookmarkEnd w:id="86"/>
    </w:p>
    <w:p w14:paraId="7DACB09B" w14:textId="77777777" w:rsidR="00C02282" w:rsidRPr="006A67B4" w:rsidRDefault="00C02282" w:rsidP="00C02282">
      <w:pPr>
        <w:jc w:val="center"/>
        <w:rPr>
          <w:rFonts w:ascii="Arial" w:hAnsi="Arial" w:cs="Arial"/>
          <w:b/>
          <w:bCs/>
          <w:lang w:val="es-ES" w:eastAsia="es-ES"/>
        </w:rPr>
      </w:pPr>
    </w:p>
    <w:p w14:paraId="65002A95" w14:textId="77777777" w:rsidR="00C02282" w:rsidRPr="006A67B4" w:rsidRDefault="00C02282" w:rsidP="00055F7C">
      <w:pPr>
        <w:pStyle w:val="Ttulo1"/>
        <w:numPr>
          <w:ilvl w:val="0"/>
          <w:numId w:val="11"/>
        </w:numPr>
        <w:rPr>
          <w:rFonts w:ascii="Arial" w:eastAsia="Arial" w:hAnsi="Arial" w:cs="Arial"/>
          <w:b/>
          <w:color w:val="auto"/>
          <w:sz w:val="22"/>
          <w:szCs w:val="22"/>
          <w:lang w:eastAsia="es-CO"/>
        </w:rPr>
      </w:pPr>
      <w:bookmarkStart w:id="87" w:name="_Toc515261746"/>
      <w:bookmarkStart w:id="88" w:name="_Toc515270526"/>
      <w:bookmarkStart w:id="89" w:name="_Toc525652037"/>
      <w:bookmarkStart w:id="90" w:name="_Hlk515257458"/>
      <w:bookmarkStart w:id="91" w:name="_Hlk515257900"/>
      <w:r w:rsidRPr="006A67B4">
        <w:rPr>
          <w:rFonts w:ascii="Arial" w:eastAsia="Arial" w:hAnsi="Arial" w:cs="Arial"/>
          <w:b/>
          <w:color w:val="auto"/>
          <w:sz w:val="22"/>
          <w:szCs w:val="22"/>
          <w:lang w:eastAsia="es-CO"/>
        </w:rPr>
        <w:lastRenderedPageBreak/>
        <w:t>COMPOSICIÓN DEL PRESUPUESTO DE LA</w:t>
      </w:r>
      <w:bookmarkEnd w:id="87"/>
      <w:bookmarkEnd w:id="88"/>
      <w:r w:rsidRPr="006A67B4">
        <w:rPr>
          <w:rFonts w:ascii="Arial" w:eastAsia="Arial" w:hAnsi="Arial" w:cs="Arial"/>
          <w:b/>
          <w:color w:val="auto"/>
          <w:sz w:val="22"/>
          <w:szCs w:val="22"/>
          <w:lang w:eastAsia="es-CO"/>
        </w:rPr>
        <w:t xml:space="preserve"> ANH</w:t>
      </w:r>
      <w:bookmarkEnd w:id="89"/>
    </w:p>
    <w:p w14:paraId="526E9522" w14:textId="77777777" w:rsidR="00C02282" w:rsidRPr="006A67B4" w:rsidRDefault="00C02282" w:rsidP="00C02282">
      <w:pPr>
        <w:rPr>
          <w:rFonts w:eastAsia="Calibri"/>
          <w:highlight w:val="yellow"/>
          <w:lang w:val="es-ES"/>
        </w:rPr>
      </w:pPr>
    </w:p>
    <w:p w14:paraId="40B6A0A3" w14:textId="77777777" w:rsidR="006A67B4" w:rsidRDefault="006A67B4" w:rsidP="006A67B4">
      <w:pPr>
        <w:ind w:left="426"/>
        <w:jc w:val="both"/>
        <w:rPr>
          <w:rFonts w:ascii="Arial" w:hAnsi="Arial" w:cs="Arial"/>
        </w:rPr>
      </w:pPr>
      <w:r>
        <w:rPr>
          <w:rFonts w:ascii="Arial" w:hAnsi="Arial" w:cs="Arial"/>
        </w:rPr>
        <w:t>El Presupuesto de la Agencia Nacional de Hidrocarburos – ANH para la vigencia 2018, fue aprobado mediante Ley 1873 del 20 de diciembre de 2017 y liquidado mediante Decreto 2236 del 27 de diciembre de 2017. Su financiamiento está compuesto en un 29% con recursos provenientes de Derechos Económicos y un 71% con Recursos del Balance.</w:t>
      </w:r>
    </w:p>
    <w:p w14:paraId="21A9B85D" w14:textId="3D384A3A" w:rsidR="00C02282" w:rsidRPr="006A67B4" w:rsidRDefault="00C02282" w:rsidP="00C02282">
      <w:pPr>
        <w:pStyle w:val="Descripcin"/>
        <w:keepNext/>
        <w:jc w:val="center"/>
      </w:pPr>
      <w:bookmarkStart w:id="92" w:name="_Toc525652426"/>
      <w:r w:rsidRPr="006A67B4">
        <w:t xml:space="preserve">Gráfica </w:t>
      </w:r>
      <w:r w:rsidR="00B6251B">
        <w:fldChar w:fldCharType="begin"/>
      </w:r>
      <w:r w:rsidR="00B6251B">
        <w:instrText xml:space="preserve"> SEQ Gráfica \* ARABIC </w:instrText>
      </w:r>
      <w:r w:rsidR="00B6251B">
        <w:fldChar w:fldCharType="separate"/>
      </w:r>
      <w:r w:rsidR="00B6251B">
        <w:rPr>
          <w:noProof/>
        </w:rPr>
        <w:t>13</w:t>
      </w:r>
      <w:r w:rsidR="00B6251B">
        <w:fldChar w:fldCharType="end"/>
      </w:r>
      <w:r w:rsidRPr="006A67B4">
        <w:t>Distribución Presupuesto de la ANH - vigencia 2018</w:t>
      </w:r>
      <w:bookmarkEnd w:id="92"/>
    </w:p>
    <w:p w14:paraId="07129018" w14:textId="046A2004" w:rsidR="00C02282" w:rsidRPr="006A67B4" w:rsidRDefault="006A67B4" w:rsidP="00C02282">
      <w:pPr>
        <w:ind w:left="1416"/>
        <w:jc w:val="both"/>
        <w:rPr>
          <w:rFonts w:ascii="Arial" w:hAnsi="Arial" w:cs="Arial"/>
          <w:highlight w:val="yellow"/>
          <w:lang w:val="es-ES" w:eastAsia="es-ES"/>
        </w:rPr>
      </w:pPr>
      <w:r>
        <w:rPr>
          <w:noProof/>
          <w:lang w:eastAsia="es-CO"/>
        </w:rPr>
        <w:drawing>
          <wp:inline distT="0" distB="0" distL="0" distR="0" wp14:anchorId="0ED0D0B2" wp14:editId="46325A66">
            <wp:extent cx="4438650" cy="2657475"/>
            <wp:effectExtent l="0" t="0" r="19050" b="9525"/>
            <wp:docPr id="55" name="Gráfico 55">
              <a:extLst xmlns:a="http://schemas.openxmlformats.org/drawingml/2006/main">
                <a:ext uri="{FF2B5EF4-FFF2-40B4-BE49-F238E27FC236}">
                  <a16:creationId xmlns:a16="http://schemas.microsoft.com/office/drawing/2014/main" id="{5F692FF9-42A9-4563-B15C-ED9D4F25C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2EA70E" w14:textId="77777777" w:rsidR="00C02282" w:rsidRPr="006A67B4" w:rsidRDefault="00C02282" w:rsidP="006A67B4">
      <w:pPr>
        <w:jc w:val="center"/>
        <w:rPr>
          <w:rFonts w:ascii="Arial" w:hAnsi="Arial" w:cs="Arial"/>
          <w:sz w:val="18"/>
          <w:szCs w:val="18"/>
        </w:rPr>
      </w:pPr>
      <w:bookmarkStart w:id="93" w:name="_Hlk515257554"/>
      <w:bookmarkEnd w:id="90"/>
      <w:r w:rsidRPr="006A67B4">
        <w:rPr>
          <w:rFonts w:ascii="Arial" w:hAnsi="Arial" w:cs="Arial"/>
          <w:sz w:val="18"/>
          <w:szCs w:val="18"/>
        </w:rPr>
        <w:t>Fuente: ANH</w:t>
      </w:r>
    </w:p>
    <w:p w14:paraId="0ECBC916" w14:textId="77777777" w:rsidR="00C02282" w:rsidRPr="006A67B4" w:rsidRDefault="00C02282" w:rsidP="00055F7C">
      <w:pPr>
        <w:pStyle w:val="Ttulo2"/>
        <w:numPr>
          <w:ilvl w:val="1"/>
          <w:numId w:val="11"/>
        </w:numPr>
        <w:rPr>
          <w:rFonts w:ascii="Arial" w:eastAsia="Calibri" w:hAnsi="Arial" w:cs="Arial"/>
          <w:b w:val="0"/>
          <w:color w:val="auto"/>
          <w:sz w:val="22"/>
          <w:szCs w:val="22"/>
        </w:rPr>
      </w:pPr>
      <w:bookmarkStart w:id="94" w:name="_Toc515261747"/>
      <w:bookmarkStart w:id="95" w:name="_Toc515270527"/>
      <w:bookmarkStart w:id="96" w:name="_Toc525652038"/>
      <w:r w:rsidRPr="006A67B4">
        <w:rPr>
          <w:rFonts w:ascii="Arial" w:eastAsia="Calibri" w:hAnsi="Arial" w:cs="Arial"/>
          <w:color w:val="auto"/>
          <w:sz w:val="22"/>
          <w:szCs w:val="22"/>
        </w:rPr>
        <w:t>Composición del Presupuesto de Funcionamiento de la ANH</w:t>
      </w:r>
      <w:bookmarkEnd w:id="94"/>
      <w:bookmarkEnd w:id="95"/>
      <w:bookmarkEnd w:id="96"/>
    </w:p>
    <w:p w14:paraId="3AEE145A" w14:textId="77777777" w:rsidR="00C02282" w:rsidRPr="006A67B4" w:rsidRDefault="00C02282" w:rsidP="00C02282">
      <w:pPr>
        <w:pStyle w:val="Prrafodelista"/>
        <w:jc w:val="both"/>
        <w:rPr>
          <w:rFonts w:cs="Arial"/>
        </w:rPr>
      </w:pPr>
    </w:p>
    <w:p w14:paraId="6F7D5C8B" w14:textId="353A70AC" w:rsidR="006A67B4" w:rsidRPr="006A67B4" w:rsidRDefault="006A67B4" w:rsidP="006A67B4">
      <w:pPr>
        <w:pStyle w:val="Prrafodelista"/>
        <w:jc w:val="both"/>
        <w:rPr>
          <w:rFonts w:cs="Arial"/>
        </w:rPr>
      </w:pPr>
      <w:r w:rsidRPr="006A67B4">
        <w:rPr>
          <w:rFonts w:cs="Arial"/>
        </w:rPr>
        <w:t>El Presupuesto de la Agencia Nacional de Hidrocarburos – ANH para la vigencia 2018, fue aprobado mediante Ley 1873 del 20 de diciembre de 2017 y liquidado mediante Decreto 2236 del 27 de diciembre de 2017. Su financiamiento está compuesto en un 29% con recursos provenientes de Derechos Económicos y un 71% con Recursos del Balance.</w:t>
      </w:r>
    </w:p>
    <w:p w14:paraId="375439CE" w14:textId="77777777" w:rsidR="006A67B4" w:rsidRPr="006A67B4" w:rsidRDefault="006A67B4" w:rsidP="006A67B4">
      <w:pPr>
        <w:pStyle w:val="Prrafodelista"/>
        <w:jc w:val="both"/>
        <w:rPr>
          <w:rFonts w:cs="Arial"/>
        </w:rPr>
      </w:pPr>
      <w:r w:rsidRPr="006A67B4">
        <w:rPr>
          <w:rFonts w:cs="Arial"/>
        </w:rPr>
        <w:t xml:space="preserve">La asignación para gastos de funcionamiento asciende a $ 369.412 millones, con apropiación disponible de $ 368.208 millones de pesos que se detalla brevemente así: </w:t>
      </w:r>
    </w:p>
    <w:p w14:paraId="7A6B7CED" w14:textId="1E015259" w:rsidR="00C02282" w:rsidRPr="006A67B4" w:rsidRDefault="00C02282" w:rsidP="00C02282">
      <w:pPr>
        <w:pStyle w:val="Descripcin"/>
        <w:keepNext/>
        <w:jc w:val="center"/>
      </w:pPr>
      <w:bookmarkStart w:id="97" w:name="_Toc525652487"/>
      <w:r w:rsidRPr="006A67B4">
        <w:t xml:space="preserve">Tabla </w:t>
      </w:r>
      <w:r w:rsidRPr="006A67B4">
        <w:fldChar w:fldCharType="begin"/>
      </w:r>
      <w:r w:rsidRPr="006A67B4">
        <w:instrText xml:space="preserve"> SEQ Tabla \* ARABIC </w:instrText>
      </w:r>
      <w:r w:rsidRPr="006A67B4">
        <w:fldChar w:fldCharType="separate"/>
      </w:r>
      <w:r w:rsidR="008B4625">
        <w:rPr>
          <w:noProof/>
        </w:rPr>
        <w:t>42</w:t>
      </w:r>
      <w:r w:rsidRPr="006A67B4">
        <w:fldChar w:fldCharType="end"/>
      </w:r>
      <w:r w:rsidR="006A67B4" w:rsidRPr="006A67B4">
        <w:t xml:space="preserve"> </w:t>
      </w:r>
      <w:r w:rsidRPr="006A67B4">
        <w:t>Distribución Presupuesto Funcionamiento ANH – Vigencia 2018 ANH</w:t>
      </w:r>
      <w:bookmarkEnd w:id="97"/>
    </w:p>
    <w:tbl>
      <w:tblPr>
        <w:tblW w:w="7380" w:type="dxa"/>
        <w:tblInd w:w="1404" w:type="dxa"/>
        <w:tblCellMar>
          <w:left w:w="0" w:type="dxa"/>
          <w:right w:w="0" w:type="dxa"/>
        </w:tblCellMar>
        <w:tblLook w:val="04A0" w:firstRow="1" w:lastRow="0" w:firstColumn="1" w:lastColumn="0" w:noHBand="0" w:noVBand="1"/>
      </w:tblPr>
      <w:tblGrid>
        <w:gridCol w:w="2280"/>
        <w:gridCol w:w="1200"/>
        <w:gridCol w:w="1200"/>
        <w:gridCol w:w="1200"/>
        <w:gridCol w:w="1500"/>
      </w:tblGrid>
      <w:tr w:rsidR="006A67B4" w14:paraId="607B60DC" w14:textId="77777777" w:rsidTr="006A67B4">
        <w:trPr>
          <w:trHeight w:val="499"/>
        </w:trPr>
        <w:tc>
          <w:tcPr>
            <w:tcW w:w="2280" w:type="dxa"/>
            <w:vMerge w:val="restart"/>
            <w:tcBorders>
              <w:top w:val="single" w:sz="8" w:space="0" w:color="auto"/>
              <w:left w:val="single" w:sz="8" w:space="0" w:color="auto"/>
              <w:bottom w:val="single" w:sz="8" w:space="0" w:color="000000"/>
              <w:right w:val="single" w:sz="8" w:space="0" w:color="auto"/>
            </w:tcBorders>
            <w:shd w:val="clear" w:color="auto" w:fill="4F81BD" w:themeFill="accent1"/>
            <w:tcMar>
              <w:top w:w="0" w:type="dxa"/>
              <w:left w:w="15" w:type="dxa"/>
              <w:bottom w:w="0" w:type="dxa"/>
              <w:right w:w="15" w:type="dxa"/>
            </w:tcMar>
            <w:vAlign w:val="center"/>
            <w:hideMark/>
          </w:tcPr>
          <w:p w14:paraId="3D7065CD" w14:textId="77777777" w:rsidR="006A67B4" w:rsidRDefault="006A67B4">
            <w:pPr>
              <w:jc w:val="center"/>
              <w:rPr>
                <w:rFonts w:ascii="Arial" w:hAnsi="Arial" w:cs="Arial"/>
                <w:b/>
                <w:bCs/>
                <w:color w:val="000000"/>
                <w:sz w:val="16"/>
                <w:szCs w:val="16"/>
              </w:rPr>
            </w:pPr>
            <w:r>
              <w:rPr>
                <w:rFonts w:ascii="Arial" w:hAnsi="Arial" w:cs="Arial"/>
                <w:b/>
                <w:bCs/>
                <w:sz w:val="16"/>
                <w:szCs w:val="16"/>
              </w:rPr>
              <w:t>Concepto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4F81BD" w:themeFill="accent1"/>
            <w:tcMar>
              <w:top w:w="15" w:type="dxa"/>
              <w:left w:w="15" w:type="dxa"/>
              <w:bottom w:w="0" w:type="dxa"/>
              <w:right w:w="15" w:type="dxa"/>
            </w:tcMar>
            <w:vAlign w:val="center"/>
            <w:hideMark/>
          </w:tcPr>
          <w:p w14:paraId="1BFE2C3C" w14:textId="77777777" w:rsidR="006A67B4" w:rsidRDefault="006A67B4">
            <w:pPr>
              <w:jc w:val="center"/>
              <w:rPr>
                <w:rFonts w:ascii="Arial" w:hAnsi="Arial" w:cs="Arial"/>
                <w:b/>
                <w:bCs/>
                <w:color w:val="000000"/>
                <w:sz w:val="16"/>
                <w:szCs w:val="16"/>
              </w:rPr>
            </w:pPr>
            <w:r>
              <w:rPr>
                <w:rFonts w:ascii="Arial" w:hAnsi="Arial" w:cs="Arial"/>
                <w:b/>
                <w:bCs/>
                <w:sz w:val="16"/>
                <w:szCs w:val="16"/>
              </w:rPr>
              <w:t>Apropiación Inicial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4F81BD" w:themeFill="accent1"/>
            <w:tcMar>
              <w:top w:w="15" w:type="dxa"/>
              <w:left w:w="15" w:type="dxa"/>
              <w:bottom w:w="0" w:type="dxa"/>
              <w:right w:w="15" w:type="dxa"/>
            </w:tcMar>
            <w:vAlign w:val="center"/>
            <w:hideMark/>
          </w:tcPr>
          <w:p w14:paraId="00F3CD92" w14:textId="77777777" w:rsidR="006A67B4" w:rsidRDefault="006A67B4">
            <w:pPr>
              <w:jc w:val="center"/>
              <w:rPr>
                <w:rFonts w:ascii="Arial" w:hAnsi="Arial" w:cs="Arial"/>
                <w:b/>
                <w:bCs/>
                <w:color w:val="000000"/>
                <w:sz w:val="16"/>
                <w:szCs w:val="16"/>
              </w:rPr>
            </w:pPr>
            <w:r>
              <w:rPr>
                <w:rFonts w:ascii="Arial" w:hAnsi="Arial" w:cs="Arial"/>
                <w:b/>
                <w:bCs/>
                <w:sz w:val="16"/>
                <w:szCs w:val="16"/>
              </w:rPr>
              <w:t>Apropiación Bloqueada</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4F81BD" w:themeFill="accent1"/>
            <w:tcMar>
              <w:top w:w="15" w:type="dxa"/>
              <w:left w:w="15" w:type="dxa"/>
              <w:bottom w:w="0" w:type="dxa"/>
              <w:right w:w="15" w:type="dxa"/>
            </w:tcMar>
            <w:vAlign w:val="center"/>
            <w:hideMark/>
          </w:tcPr>
          <w:p w14:paraId="2422105D" w14:textId="77777777" w:rsidR="006A67B4" w:rsidRDefault="006A67B4">
            <w:pPr>
              <w:jc w:val="center"/>
              <w:rPr>
                <w:rFonts w:ascii="Arial" w:hAnsi="Arial" w:cs="Arial"/>
                <w:b/>
                <w:bCs/>
                <w:color w:val="000000"/>
                <w:sz w:val="16"/>
                <w:szCs w:val="16"/>
              </w:rPr>
            </w:pPr>
            <w:r>
              <w:rPr>
                <w:rFonts w:ascii="Arial" w:hAnsi="Arial" w:cs="Arial"/>
                <w:b/>
                <w:bCs/>
                <w:sz w:val="16"/>
                <w:szCs w:val="16"/>
              </w:rPr>
              <w:t>Apropiación Vigente</w:t>
            </w:r>
          </w:p>
        </w:tc>
        <w:tc>
          <w:tcPr>
            <w:tcW w:w="1500" w:type="dxa"/>
            <w:vMerge w:val="restart"/>
            <w:tcBorders>
              <w:top w:val="single" w:sz="8" w:space="0" w:color="auto"/>
              <w:left w:val="single" w:sz="8" w:space="0" w:color="auto"/>
              <w:bottom w:val="single" w:sz="8" w:space="0" w:color="000000"/>
              <w:right w:val="single" w:sz="8" w:space="0" w:color="auto"/>
            </w:tcBorders>
            <w:shd w:val="clear" w:color="auto" w:fill="4F81BD" w:themeFill="accent1"/>
            <w:tcMar>
              <w:top w:w="15" w:type="dxa"/>
              <w:left w:w="15" w:type="dxa"/>
              <w:bottom w:w="0" w:type="dxa"/>
              <w:right w:w="15" w:type="dxa"/>
            </w:tcMar>
            <w:vAlign w:val="center"/>
            <w:hideMark/>
          </w:tcPr>
          <w:p w14:paraId="49DA8DB6" w14:textId="77777777" w:rsidR="006A67B4" w:rsidRDefault="006A67B4">
            <w:pPr>
              <w:jc w:val="center"/>
              <w:rPr>
                <w:rFonts w:ascii="Arial" w:hAnsi="Arial" w:cs="Arial"/>
                <w:b/>
                <w:bCs/>
                <w:color w:val="000000"/>
                <w:sz w:val="16"/>
                <w:szCs w:val="16"/>
              </w:rPr>
            </w:pPr>
            <w:r>
              <w:rPr>
                <w:rFonts w:ascii="Arial" w:hAnsi="Arial" w:cs="Arial"/>
                <w:b/>
                <w:bCs/>
                <w:sz w:val="16"/>
                <w:szCs w:val="16"/>
              </w:rPr>
              <w:t>% PARTICIPACION</w:t>
            </w:r>
          </w:p>
        </w:tc>
      </w:tr>
      <w:tr w:rsidR="006A67B4" w14:paraId="23FB6A20" w14:textId="77777777" w:rsidTr="006A67B4">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83FC311" w14:textId="77777777" w:rsidR="006A67B4" w:rsidRDefault="006A67B4">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2B59A3" w14:textId="77777777" w:rsidR="006A67B4" w:rsidRDefault="006A67B4">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1AA2CC" w14:textId="77777777" w:rsidR="006A67B4" w:rsidRDefault="006A67B4">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E44B1F" w14:textId="77777777" w:rsidR="006A67B4" w:rsidRDefault="006A67B4">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22A407" w14:textId="77777777" w:rsidR="006A67B4" w:rsidRDefault="006A67B4">
            <w:pPr>
              <w:rPr>
                <w:rFonts w:ascii="Arial" w:hAnsi="Arial" w:cs="Arial"/>
                <w:b/>
                <w:bCs/>
                <w:color w:val="000000"/>
                <w:sz w:val="16"/>
                <w:szCs w:val="16"/>
              </w:rPr>
            </w:pPr>
          </w:p>
        </w:tc>
      </w:tr>
      <w:tr w:rsidR="006A67B4" w14:paraId="496B2430" w14:textId="77777777" w:rsidTr="006A67B4">
        <w:trPr>
          <w:trHeight w:val="499"/>
        </w:trPr>
        <w:tc>
          <w:tcPr>
            <w:tcW w:w="0" w:type="auto"/>
            <w:tcBorders>
              <w:top w:val="nil"/>
              <w:left w:val="single" w:sz="8" w:space="0" w:color="auto"/>
              <w:bottom w:val="single" w:sz="8" w:space="0" w:color="auto"/>
              <w:right w:val="single" w:sz="8" w:space="0" w:color="auto"/>
            </w:tcBorders>
            <w:noWrap/>
            <w:tcMar>
              <w:top w:w="0" w:type="dxa"/>
              <w:left w:w="15" w:type="dxa"/>
              <w:bottom w:w="0" w:type="dxa"/>
              <w:right w:w="15" w:type="dxa"/>
            </w:tcMar>
            <w:vAlign w:val="center"/>
            <w:hideMark/>
          </w:tcPr>
          <w:p w14:paraId="7F230F55" w14:textId="77777777" w:rsidR="006A67B4" w:rsidRDefault="006A67B4">
            <w:pPr>
              <w:rPr>
                <w:rFonts w:ascii="Arial" w:hAnsi="Arial" w:cs="Arial"/>
                <w:color w:val="000000"/>
                <w:sz w:val="16"/>
                <w:szCs w:val="16"/>
              </w:rPr>
            </w:pPr>
            <w:r>
              <w:rPr>
                <w:rFonts w:ascii="Arial" w:hAnsi="Arial" w:cs="Arial"/>
                <w:sz w:val="16"/>
                <w:szCs w:val="16"/>
              </w:rPr>
              <w:t>Gastos de Personal</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F103B8B" w14:textId="77777777" w:rsidR="006A67B4" w:rsidRDefault="006A67B4">
            <w:pPr>
              <w:jc w:val="right"/>
              <w:rPr>
                <w:rFonts w:ascii="Arial" w:hAnsi="Arial" w:cs="Arial"/>
                <w:color w:val="000000"/>
                <w:sz w:val="16"/>
                <w:szCs w:val="16"/>
              </w:rPr>
            </w:pPr>
            <w:r>
              <w:rPr>
                <w:rFonts w:ascii="Arial" w:hAnsi="Arial" w:cs="Arial"/>
                <w:sz w:val="16"/>
                <w:szCs w:val="16"/>
              </w:rPr>
              <w:t xml:space="preserve"> $          26.551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CC93384" w14:textId="77777777" w:rsidR="006A67B4" w:rsidRDefault="006A67B4">
            <w:pPr>
              <w:jc w:val="right"/>
              <w:rPr>
                <w:rFonts w:ascii="Arial" w:hAnsi="Arial" w:cs="Arial"/>
                <w:color w:val="000000"/>
                <w:sz w:val="16"/>
                <w:szCs w:val="16"/>
              </w:rPr>
            </w:pPr>
            <w:r>
              <w:rPr>
                <w:rFonts w:ascii="Arial" w:hAnsi="Arial" w:cs="Arial"/>
                <w:sz w:val="16"/>
                <w:szCs w:val="16"/>
              </w:rPr>
              <w:t xml:space="preserve"> $            1.204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3DCA17B5" w14:textId="77777777" w:rsidR="006A67B4" w:rsidRDefault="006A67B4">
            <w:pPr>
              <w:jc w:val="right"/>
              <w:rPr>
                <w:rFonts w:ascii="Arial" w:hAnsi="Arial" w:cs="Arial"/>
                <w:color w:val="000000"/>
                <w:sz w:val="16"/>
                <w:szCs w:val="16"/>
              </w:rPr>
            </w:pPr>
            <w:r>
              <w:rPr>
                <w:rFonts w:ascii="Arial" w:hAnsi="Arial" w:cs="Arial"/>
                <w:sz w:val="16"/>
                <w:szCs w:val="16"/>
              </w:rPr>
              <w:t xml:space="preserve"> $          25.347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CFC62E8" w14:textId="77777777" w:rsidR="006A67B4" w:rsidRDefault="006A67B4">
            <w:pPr>
              <w:jc w:val="right"/>
              <w:rPr>
                <w:rFonts w:ascii="Arial" w:hAnsi="Arial" w:cs="Arial"/>
                <w:b/>
                <w:bCs/>
                <w:color w:val="000000"/>
                <w:sz w:val="16"/>
                <w:szCs w:val="16"/>
              </w:rPr>
            </w:pPr>
            <w:r>
              <w:rPr>
                <w:rFonts w:ascii="Arial" w:hAnsi="Arial" w:cs="Arial"/>
                <w:b/>
                <w:bCs/>
                <w:sz w:val="16"/>
                <w:szCs w:val="16"/>
              </w:rPr>
              <w:t>6,88%</w:t>
            </w:r>
          </w:p>
        </w:tc>
      </w:tr>
      <w:tr w:rsidR="006A67B4" w14:paraId="6D700A2F" w14:textId="77777777" w:rsidTr="006A67B4">
        <w:trPr>
          <w:trHeight w:val="499"/>
        </w:trPr>
        <w:tc>
          <w:tcPr>
            <w:tcW w:w="0" w:type="auto"/>
            <w:tcBorders>
              <w:top w:val="nil"/>
              <w:left w:val="single" w:sz="8" w:space="0" w:color="auto"/>
              <w:bottom w:val="single" w:sz="8" w:space="0" w:color="auto"/>
              <w:right w:val="single" w:sz="8" w:space="0" w:color="auto"/>
            </w:tcBorders>
            <w:noWrap/>
            <w:tcMar>
              <w:top w:w="0" w:type="dxa"/>
              <w:left w:w="15" w:type="dxa"/>
              <w:bottom w:w="0" w:type="dxa"/>
              <w:right w:w="15" w:type="dxa"/>
            </w:tcMar>
            <w:vAlign w:val="center"/>
            <w:hideMark/>
          </w:tcPr>
          <w:p w14:paraId="2E583156" w14:textId="77777777" w:rsidR="006A67B4" w:rsidRDefault="006A67B4">
            <w:pPr>
              <w:rPr>
                <w:rFonts w:ascii="Arial" w:hAnsi="Arial" w:cs="Arial"/>
                <w:color w:val="000000"/>
                <w:sz w:val="16"/>
                <w:szCs w:val="16"/>
              </w:rPr>
            </w:pPr>
            <w:r>
              <w:rPr>
                <w:rFonts w:ascii="Arial" w:hAnsi="Arial" w:cs="Arial"/>
                <w:sz w:val="16"/>
                <w:szCs w:val="16"/>
              </w:rPr>
              <w:t>Gastos Generales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869794D" w14:textId="77777777" w:rsidR="006A67B4" w:rsidRDefault="006A67B4">
            <w:pPr>
              <w:jc w:val="right"/>
              <w:rPr>
                <w:rFonts w:ascii="Arial" w:hAnsi="Arial" w:cs="Arial"/>
                <w:color w:val="000000"/>
                <w:sz w:val="16"/>
                <w:szCs w:val="16"/>
              </w:rPr>
            </w:pPr>
            <w:r>
              <w:rPr>
                <w:rFonts w:ascii="Arial" w:hAnsi="Arial" w:cs="Arial"/>
                <w:sz w:val="16"/>
                <w:szCs w:val="16"/>
              </w:rPr>
              <w:t xml:space="preserve"> $            8.554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15F3645" w14:textId="77777777" w:rsidR="006A67B4" w:rsidRDefault="006A67B4">
            <w:pPr>
              <w:jc w:val="right"/>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4CB1D0DA" w14:textId="77777777" w:rsidR="006A67B4" w:rsidRDefault="006A67B4">
            <w:pPr>
              <w:jc w:val="right"/>
              <w:rPr>
                <w:rFonts w:ascii="Arial" w:hAnsi="Arial" w:cs="Arial"/>
                <w:color w:val="000000"/>
                <w:sz w:val="16"/>
                <w:szCs w:val="16"/>
              </w:rPr>
            </w:pPr>
            <w:r>
              <w:rPr>
                <w:rFonts w:ascii="Arial" w:hAnsi="Arial" w:cs="Arial"/>
                <w:sz w:val="16"/>
                <w:szCs w:val="16"/>
              </w:rPr>
              <w:t xml:space="preserve"> $            8.554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CA62897" w14:textId="77777777" w:rsidR="006A67B4" w:rsidRDefault="006A67B4">
            <w:pPr>
              <w:jc w:val="right"/>
              <w:rPr>
                <w:rFonts w:ascii="Arial" w:hAnsi="Arial" w:cs="Arial"/>
                <w:b/>
                <w:bCs/>
                <w:color w:val="000000"/>
                <w:sz w:val="16"/>
                <w:szCs w:val="16"/>
              </w:rPr>
            </w:pPr>
            <w:r>
              <w:rPr>
                <w:rFonts w:ascii="Arial" w:hAnsi="Arial" w:cs="Arial"/>
                <w:b/>
                <w:bCs/>
                <w:sz w:val="16"/>
                <w:szCs w:val="16"/>
              </w:rPr>
              <w:t>2,32%</w:t>
            </w:r>
          </w:p>
        </w:tc>
      </w:tr>
      <w:tr w:rsidR="006A67B4" w14:paraId="33D54B5A" w14:textId="77777777" w:rsidTr="006A67B4">
        <w:trPr>
          <w:trHeight w:val="499"/>
        </w:trPr>
        <w:tc>
          <w:tcPr>
            <w:tcW w:w="0" w:type="auto"/>
            <w:tcBorders>
              <w:top w:val="nil"/>
              <w:left w:val="single" w:sz="8" w:space="0" w:color="auto"/>
              <w:bottom w:val="single" w:sz="8" w:space="0" w:color="auto"/>
              <w:right w:val="single" w:sz="8" w:space="0" w:color="auto"/>
            </w:tcBorders>
            <w:noWrap/>
            <w:tcMar>
              <w:top w:w="0" w:type="dxa"/>
              <w:left w:w="15" w:type="dxa"/>
              <w:bottom w:w="0" w:type="dxa"/>
              <w:right w:w="15" w:type="dxa"/>
            </w:tcMar>
            <w:vAlign w:val="center"/>
            <w:hideMark/>
          </w:tcPr>
          <w:p w14:paraId="7E43AB66" w14:textId="77777777" w:rsidR="006A67B4" w:rsidRDefault="006A67B4">
            <w:pPr>
              <w:rPr>
                <w:rFonts w:ascii="Arial" w:hAnsi="Arial" w:cs="Arial"/>
                <w:color w:val="000000"/>
                <w:sz w:val="16"/>
                <w:szCs w:val="16"/>
              </w:rPr>
            </w:pPr>
            <w:r>
              <w:rPr>
                <w:rFonts w:ascii="Arial" w:hAnsi="Arial" w:cs="Arial"/>
                <w:sz w:val="16"/>
                <w:szCs w:val="16"/>
              </w:rPr>
              <w:t>Transferencias Corrientes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51371B4" w14:textId="77777777" w:rsidR="006A67B4" w:rsidRDefault="006A67B4">
            <w:pPr>
              <w:jc w:val="right"/>
              <w:rPr>
                <w:rFonts w:ascii="Arial" w:hAnsi="Arial" w:cs="Arial"/>
                <w:color w:val="000000"/>
                <w:sz w:val="16"/>
                <w:szCs w:val="16"/>
              </w:rPr>
            </w:pPr>
            <w:r>
              <w:rPr>
                <w:rFonts w:ascii="Arial" w:hAnsi="Arial" w:cs="Arial"/>
                <w:sz w:val="16"/>
                <w:szCs w:val="16"/>
              </w:rPr>
              <w:t xml:space="preserve"> $        276.579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55FDAD6D" w14:textId="77777777" w:rsidR="006A67B4" w:rsidRDefault="006A67B4">
            <w:pPr>
              <w:jc w:val="right"/>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FF320C9" w14:textId="77777777" w:rsidR="006A67B4" w:rsidRDefault="006A67B4">
            <w:pPr>
              <w:jc w:val="right"/>
              <w:rPr>
                <w:rFonts w:ascii="Arial" w:hAnsi="Arial" w:cs="Arial"/>
                <w:color w:val="000000"/>
                <w:sz w:val="16"/>
                <w:szCs w:val="16"/>
              </w:rPr>
            </w:pPr>
            <w:r>
              <w:rPr>
                <w:rFonts w:ascii="Arial" w:hAnsi="Arial" w:cs="Arial"/>
                <w:sz w:val="16"/>
                <w:szCs w:val="16"/>
              </w:rPr>
              <w:t xml:space="preserve"> $        276.579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2D3DB854" w14:textId="77777777" w:rsidR="006A67B4" w:rsidRDefault="006A67B4">
            <w:pPr>
              <w:jc w:val="right"/>
              <w:rPr>
                <w:rFonts w:ascii="Arial" w:hAnsi="Arial" w:cs="Arial"/>
                <w:b/>
                <w:bCs/>
                <w:color w:val="000000"/>
                <w:sz w:val="16"/>
                <w:szCs w:val="16"/>
              </w:rPr>
            </w:pPr>
            <w:r>
              <w:rPr>
                <w:rFonts w:ascii="Arial" w:hAnsi="Arial" w:cs="Arial"/>
                <w:b/>
                <w:bCs/>
                <w:sz w:val="16"/>
                <w:szCs w:val="16"/>
              </w:rPr>
              <w:t>75,11%</w:t>
            </w:r>
          </w:p>
        </w:tc>
      </w:tr>
      <w:tr w:rsidR="006A67B4" w14:paraId="5CF60F4F" w14:textId="77777777" w:rsidTr="006A67B4">
        <w:trPr>
          <w:trHeight w:val="499"/>
        </w:trPr>
        <w:tc>
          <w:tcPr>
            <w:tcW w:w="0" w:type="auto"/>
            <w:tcBorders>
              <w:top w:val="nil"/>
              <w:left w:val="single" w:sz="8" w:space="0" w:color="auto"/>
              <w:bottom w:val="single" w:sz="8" w:space="0" w:color="auto"/>
              <w:right w:val="single" w:sz="8" w:space="0" w:color="auto"/>
            </w:tcBorders>
            <w:noWrap/>
            <w:tcMar>
              <w:top w:w="0" w:type="dxa"/>
              <w:left w:w="15" w:type="dxa"/>
              <w:bottom w:w="0" w:type="dxa"/>
              <w:right w:w="15" w:type="dxa"/>
            </w:tcMar>
            <w:vAlign w:val="center"/>
            <w:hideMark/>
          </w:tcPr>
          <w:p w14:paraId="18B8978F" w14:textId="77777777" w:rsidR="006A67B4" w:rsidRDefault="006A67B4">
            <w:pPr>
              <w:rPr>
                <w:rFonts w:ascii="Arial" w:hAnsi="Arial" w:cs="Arial"/>
                <w:color w:val="000000"/>
                <w:sz w:val="16"/>
                <w:szCs w:val="16"/>
              </w:rPr>
            </w:pPr>
            <w:r>
              <w:rPr>
                <w:rFonts w:ascii="Arial" w:hAnsi="Arial" w:cs="Arial"/>
                <w:sz w:val="16"/>
                <w:szCs w:val="16"/>
              </w:rPr>
              <w:t>Gastos de Comercialización</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7C9B16F2" w14:textId="77777777" w:rsidR="006A67B4" w:rsidRDefault="006A67B4">
            <w:pPr>
              <w:jc w:val="right"/>
              <w:rPr>
                <w:rFonts w:ascii="Arial" w:hAnsi="Arial" w:cs="Arial"/>
                <w:color w:val="000000"/>
                <w:sz w:val="16"/>
                <w:szCs w:val="16"/>
              </w:rPr>
            </w:pPr>
            <w:r>
              <w:rPr>
                <w:rFonts w:ascii="Arial" w:hAnsi="Arial" w:cs="Arial"/>
                <w:sz w:val="16"/>
                <w:szCs w:val="16"/>
              </w:rPr>
              <w:t xml:space="preserve"> $          57.728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64CC457C" w14:textId="77777777" w:rsidR="006A67B4" w:rsidRDefault="006A67B4">
            <w:pPr>
              <w:jc w:val="right"/>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0B92A4C1" w14:textId="77777777" w:rsidR="006A67B4" w:rsidRDefault="006A67B4">
            <w:pPr>
              <w:jc w:val="right"/>
              <w:rPr>
                <w:rFonts w:ascii="Arial" w:hAnsi="Arial" w:cs="Arial"/>
                <w:color w:val="000000"/>
                <w:sz w:val="16"/>
                <w:szCs w:val="16"/>
              </w:rPr>
            </w:pPr>
            <w:r>
              <w:rPr>
                <w:rFonts w:ascii="Arial" w:hAnsi="Arial" w:cs="Arial"/>
                <w:sz w:val="16"/>
                <w:szCs w:val="16"/>
              </w:rPr>
              <w:t xml:space="preserve"> $          57.728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center"/>
            <w:hideMark/>
          </w:tcPr>
          <w:p w14:paraId="13C73983" w14:textId="77777777" w:rsidR="006A67B4" w:rsidRDefault="006A67B4">
            <w:pPr>
              <w:jc w:val="right"/>
              <w:rPr>
                <w:rFonts w:ascii="Arial" w:hAnsi="Arial" w:cs="Arial"/>
                <w:b/>
                <w:bCs/>
                <w:color w:val="000000"/>
                <w:sz w:val="16"/>
                <w:szCs w:val="16"/>
              </w:rPr>
            </w:pPr>
            <w:r>
              <w:rPr>
                <w:rFonts w:ascii="Arial" w:hAnsi="Arial" w:cs="Arial"/>
                <w:b/>
                <w:bCs/>
                <w:sz w:val="16"/>
                <w:szCs w:val="16"/>
              </w:rPr>
              <w:t>15,68%</w:t>
            </w:r>
          </w:p>
        </w:tc>
      </w:tr>
      <w:tr w:rsidR="006A67B4" w:rsidRPr="006A67B4" w14:paraId="16895EB8" w14:textId="77777777" w:rsidTr="006A67B4">
        <w:trPr>
          <w:trHeight w:val="499"/>
        </w:trPr>
        <w:tc>
          <w:tcPr>
            <w:tcW w:w="0" w:type="auto"/>
            <w:tcBorders>
              <w:top w:val="nil"/>
              <w:left w:val="single" w:sz="8" w:space="0" w:color="auto"/>
              <w:bottom w:val="single" w:sz="8" w:space="0" w:color="auto"/>
              <w:right w:val="single" w:sz="8" w:space="0" w:color="auto"/>
            </w:tcBorders>
            <w:shd w:val="clear" w:color="auto" w:fill="4F81BD" w:themeFill="accent1"/>
            <w:noWrap/>
            <w:tcMar>
              <w:top w:w="0" w:type="dxa"/>
              <w:left w:w="15" w:type="dxa"/>
              <w:bottom w:w="0" w:type="dxa"/>
              <w:right w:w="15" w:type="dxa"/>
            </w:tcMar>
            <w:vAlign w:val="center"/>
            <w:hideMark/>
          </w:tcPr>
          <w:p w14:paraId="66B636CB" w14:textId="77777777" w:rsidR="006A67B4" w:rsidRPr="006A67B4" w:rsidRDefault="006A67B4">
            <w:pPr>
              <w:rPr>
                <w:rFonts w:ascii="Arial" w:hAnsi="Arial" w:cs="Arial"/>
                <w:b/>
                <w:bCs/>
                <w:color w:val="000000"/>
                <w:sz w:val="16"/>
                <w:szCs w:val="16"/>
              </w:rPr>
            </w:pPr>
            <w:r w:rsidRPr="006A67B4">
              <w:rPr>
                <w:rFonts w:ascii="Arial" w:hAnsi="Arial" w:cs="Arial"/>
                <w:b/>
                <w:bCs/>
                <w:sz w:val="16"/>
                <w:szCs w:val="16"/>
              </w:rPr>
              <w:t>Gastos de Funcionamiento</w:t>
            </w:r>
          </w:p>
        </w:tc>
        <w:tc>
          <w:tcPr>
            <w:tcW w:w="0" w:type="auto"/>
            <w:tcBorders>
              <w:top w:val="nil"/>
              <w:left w:val="nil"/>
              <w:bottom w:val="single" w:sz="8" w:space="0" w:color="auto"/>
              <w:right w:val="single" w:sz="8" w:space="0" w:color="auto"/>
            </w:tcBorders>
            <w:shd w:val="clear" w:color="auto" w:fill="4F81BD" w:themeFill="accent1"/>
            <w:noWrap/>
            <w:tcMar>
              <w:top w:w="15" w:type="dxa"/>
              <w:left w:w="15" w:type="dxa"/>
              <w:bottom w:w="0" w:type="dxa"/>
              <w:right w:w="15" w:type="dxa"/>
            </w:tcMar>
            <w:vAlign w:val="center"/>
            <w:hideMark/>
          </w:tcPr>
          <w:p w14:paraId="7760F591" w14:textId="77777777" w:rsidR="006A67B4" w:rsidRPr="006A67B4" w:rsidRDefault="006A67B4">
            <w:pPr>
              <w:jc w:val="right"/>
              <w:rPr>
                <w:rFonts w:ascii="Arial" w:hAnsi="Arial" w:cs="Arial"/>
                <w:b/>
                <w:bCs/>
                <w:color w:val="000000"/>
                <w:sz w:val="16"/>
                <w:szCs w:val="16"/>
              </w:rPr>
            </w:pPr>
            <w:r w:rsidRPr="006A67B4">
              <w:rPr>
                <w:rFonts w:ascii="Arial" w:hAnsi="Arial" w:cs="Arial"/>
                <w:b/>
                <w:bCs/>
                <w:sz w:val="16"/>
                <w:szCs w:val="16"/>
              </w:rPr>
              <w:t xml:space="preserve"> $        369.412 </w:t>
            </w:r>
          </w:p>
        </w:tc>
        <w:tc>
          <w:tcPr>
            <w:tcW w:w="0" w:type="auto"/>
            <w:tcBorders>
              <w:top w:val="nil"/>
              <w:left w:val="nil"/>
              <w:bottom w:val="single" w:sz="8" w:space="0" w:color="auto"/>
              <w:right w:val="single" w:sz="8" w:space="0" w:color="auto"/>
            </w:tcBorders>
            <w:shd w:val="clear" w:color="auto" w:fill="4F81BD" w:themeFill="accent1"/>
            <w:noWrap/>
            <w:tcMar>
              <w:top w:w="15" w:type="dxa"/>
              <w:left w:w="15" w:type="dxa"/>
              <w:bottom w:w="0" w:type="dxa"/>
              <w:right w:w="15" w:type="dxa"/>
            </w:tcMar>
            <w:vAlign w:val="center"/>
            <w:hideMark/>
          </w:tcPr>
          <w:p w14:paraId="5DB9A420" w14:textId="77777777" w:rsidR="006A67B4" w:rsidRPr="006A67B4" w:rsidRDefault="006A67B4">
            <w:pPr>
              <w:jc w:val="right"/>
              <w:rPr>
                <w:rFonts w:ascii="Arial" w:hAnsi="Arial" w:cs="Arial"/>
                <w:b/>
                <w:bCs/>
                <w:color w:val="000000"/>
                <w:sz w:val="16"/>
                <w:szCs w:val="16"/>
              </w:rPr>
            </w:pPr>
            <w:r w:rsidRPr="006A67B4">
              <w:rPr>
                <w:rFonts w:ascii="Arial" w:hAnsi="Arial" w:cs="Arial"/>
                <w:b/>
                <w:bCs/>
                <w:sz w:val="16"/>
                <w:szCs w:val="16"/>
              </w:rPr>
              <w:t xml:space="preserve"> $            1.204 </w:t>
            </w:r>
          </w:p>
        </w:tc>
        <w:tc>
          <w:tcPr>
            <w:tcW w:w="0" w:type="auto"/>
            <w:tcBorders>
              <w:top w:val="nil"/>
              <w:left w:val="nil"/>
              <w:bottom w:val="single" w:sz="8" w:space="0" w:color="auto"/>
              <w:right w:val="single" w:sz="8" w:space="0" w:color="auto"/>
            </w:tcBorders>
            <w:shd w:val="clear" w:color="auto" w:fill="4F81BD" w:themeFill="accent1"/>
            <w:noWrap/>
            <w:tcMar>
              <w:top w:w="15" w:type="dxa"/>
              <w:left w:w="15" w:type="dxa"/>
              <w:bottom w:w="0" w:type="dxa"/>
              <w:right w:w="15" w:type="dxa"/>
            </w:tcMar>
            <w:vAlign w:val="center"/>
            <w:hideMark/>
          </w:tcPr>
          <w:p w14:paraId="35DA4168" w14:textId="77777777" w:rsidR="006A67B4" w:rsidRPr="006A67B4" w:rsidRDefault="006A67B4">
            <w:pPr>
              <w:jc w:val="right"/>
              <w:rPr>
                <w:rFonts w:ascii="Arial" w:hAnsi="Arial" w:cs="Arial"/>
                <w:b/>
                <w:bCs/>
                <w:color w:val="000000"/>
                <w:sz w:val="16"/>
                <w:szCs w:val="16"/>
              </w:rPr>
            </w:pPr>
            <w:r w:rsidRPr="006A67B4">
              <w:rPr>
                <w:rFonts w:ascii="Arial" w:hAnsi="Arial" w:cs="Arial"/>
                <w:b/>
                <w:bCs/>
                <w:sz w:val="16"/>
                <w:szCs w:val="16"/>
              </w:rPr>
              <w:t xml:space="preserve"> $        368.208 </w:t>
            </w:r>
          </w:p>
        </w:tc>
        <w:tc>
          <w:tcPr>
            <w:tcW w:w="0" w:type="auto"/>
            <w:tcBorders>
              <w:top w:val="nil"/>
              <w:left w:val="nil"/>
              <w:bottom w:val="single" w:sz="8" w:space="0" w:color="auto"/>
              <w:right w:val="single" w:sz="8" w:space="0" w:color="auto"/>
            </w:tcBorders>
            <w:shd w:val="clear" w:color="auto" w:fill="4F81BD" w:themeFill="accent1"/>
            <w:noWrap/>
            <w:tcMar>
              <w:top w:w="15" w:type="dxa"/>
              <w:left w:w="15" w:type="dxa"/>
              <w:bottom w:w="0" w:type="dxa"/>
              <w:right w:w="15" w:type="dxa"/>
            </w:tcMar>
            <w:vAlign w:val="center"/>
            <w:hideMark/>
          </w:tcPr>
          <w:p w14:paraId="110C0E32" w14:textId="77777777" w:rsidR="006A67B4" w:rsidRPr="006A67B4" w:rsidRDefault="006A67B4">
            <w:pPr>
              <w:jc w:val="right"/>
              <w:rPr>
                <w:rFonts w:ascii="Arial" w:hAnsi="Arial" w:cs="Arial"/>
                <w:b/>
                <w:bCs/>
                <w:color w:val="000000"/>
                <w:sz w:val="16"/>
                <w:szCs w:val="16"/>
              </w:rPr>
            </w:pPr>
            <w:r w:rsidRPr="006A67B4">
              <w:rPr>
                <w:rFonts w:ascii="Arial" w:hAnsi="Arial" w:cs="Arial"/>
                <w:b/>
                <w:bCs/>
                <w:sz w:val="16"/>
                <w:szCs w:val="16"/>
              </w:rPr>
              <w:t>100,00%</w:t>
            </w:r>
          </w:p>
        </w:tc>
      </w:tr>
    </w:tbl>
    <w:p w14:paraId="11629D22" w14:textId="77777777" w:rsidR="00C02282" w:rsidRPr="006A67B4" w:rsidRDefault="00C02282" w:rsidP="00C02282">
      <w:pPr>
        <w:spacing w:after="0" w:line="240" w:lineRule="auto"/>
        <w:jc w:val="center"/>
        <w:rPr>
          <w:rFonts w:ascii="Arial" w:eastAsia="Calibri" w:hAnsi="Arial" w:cs="Arial"/>
          <w:sz w:val="16"/>
          <w:szCs w:val="16"/>
        </w:rPr>
      </w:pPr>
      <w:r w:rsidRPr="006A67B4">
        <w:rPr>
          <w:rFonts w:ascii="Arial" w:hAnsi="Arial" w:cs="Arial"/>
          <w:sz w:val="16"/>
          <w:szCs w:val="16"/>
          <w:lang w:eastAsia="es-ES"/>
        </w:rPr>
        <w:t>Millones de pesos</w:t>
      </w:r>
    </w:p>
    <w:p w14:paraId="0F32C8D8" w14:textId="77777777" w:rsidR="00C02282" w:rsidRPr="006A67B4" w:rsidRDefault="00C02282" w:rsidP="00C02282">
      <w:pPr>
        <w:ind w:left="1428"/>
        <w:rPr>
          <w:rFonts w:ascii="Arial" w:hAnsi="Arial" w:cs="Arial"/>
          <w:sz w:val="16"/>
          <w:szCs w:val="16"/>
        </w:rPr>
      </w:pPr>
      <w:r w:rsidRPr="006A67B4">
        <w:rPr>
          <w:rFonts w:ascii="Arial" w:hAnsi="Arial" w:cs="Arial"/>
          <w:sz w:val="16"/>
          <w:szCs w:val="16"/>
        </w:rPr>
        <w:t xml:space="preserve">                                                      Fuente: Ley 1873 de 2017</w:t>
      </w:r>
    </w:p>
    <w:p w14:paraId="2A4FAF62" w14:textId="77777777" w:rsidR="00C02282" w:rsidRPr="00033594" w:rsidRDefault="00C02282" w:rsidP="00055F7C">
      <w:pPr>
        <w:pStyle w:val="Ttulo2"/>
        <w:numPr>
          <w:ilvl w:val="1"/>
          <w:numId w:val="11"/>
        </w:numPr>
        <w:rPr>
          <w:rFonts w:ascii="Arial" w:eastAsia="Calibri" w:hAnsi="Arial" w:cs="Arial"/>
          <w:color w:val="auto"/>
          <w:sz w:val="22"/>
          <w:szCs w:val="22"/>
        </w:rPr>
      </w:pPr>
      <w:bookmarkStart w:id="98" w:name="_Toc525652039"/>
      <w:bookmarkStart w:id="99" w:name="_Toc515261748"/>
      <w:bookmarkStart w:id="100" w:name="_Toc515270528"/>
      <w:bookmarkEnd w:id="93"/>
      <w:r w:rsidRPr="00033594">
        <w:rPr>
          <w:rFonts w:ascii="Arial" w:eastAsia="Calibri" w:hAnsi="Arial" w:cs="Arial"/>
          <w:color w:val="auto"/>
          <w:sz w:val="22"/>
          <w:szCs w:val="22"/>
        </w:rPr>
        <w:t>Composición del Presupuesto de Inversión de la ANH</w:t>
      </w:r>
      <w:bookmarkEnd w:id="98"/>
      <w:r w:rsidRPr="00033594">
        <w:rPr>
          <w:rFonts w:ascii="Arial" w:eastAsia="Calibri" w:hAnsi="Arial" w:cs="Arial"/>
          <w:color w:val="auto"/>
          <w:sz w:val="22"/>
          <w:szCs w:val="22"/>
        </w:rPr>
        <w:t xml:space="preserve"> </w:t>
      </w:r>
      <w:bookmarkEnd w:id="99"/>
      <w:bookmarkEnd w:id="100"/>
    </w:p>
    <w:p w14:paraId="4E07FCD2" w14:textId="77777777" w:rsidR="00C02282" w:rsidRPr="006A67B4" w:rsidRDefault="00C02282" w:rsidP="00C02282">
      <w:pPr>
        <w:pStyle w:val="Prrafodelista"/>
        <w:ind w:left="1440"/>
        <w:rPr>
          <w:highlight w:val="yellow"/>
        </w:rPr>
      </w:pPr>
    </w:p>
    <w:p w14:paraId="029E8C2C" w14:textId="77777777" w:rsidR="00033594" w:rsidRDefault="00033594" w:rsidP="00033594">
      <w:pPr>
        <w:ind w:left="708"/>
        <w:jc w:val="both"/>
        <w:rPr>
          <w:rFonts w:ascii="Arial" w:hAnsi="Arial" w:cs="Arial"/>
          <w:lang w:eastAsia="es-ES"/>
        </w:rPr>
      </w:pPr>
      <w:r>
        <w:rPr>
          <w:rFonts w:ascii="Arial" w:hAnsi="Arial" w:cs="Arial"/>
          <w:lang w:eastAsia="es-ES"/>
        </w:rPr>
        <w:t xml:space="preserve">El presupuesto de Gastos aprobado para la Agencia Nacional de Hidrocarburos se relaciona de manera directa con la dinámica del sector de hidrocarburos en el desarrollo de la estrategia de competitividad, estrategia e infraestructura y el cumplimiento de su objeto misional, es así como a partir de sus cinco proyectos se propone cumplir con la ejecución del plan de inversión para 2018, estos son considerados como la unidad operativa de desarrollo y solo a ellos se les asignaron recursos de presupuesto así: </w:t>
      </w:r>
    </w:p>
    <w:p w14:paraId="3C6EC0BD" w14:textId="77777777" w:rsidR="00C02282" w:rsidRPr="006A67B4" w:rsidRDefault="00C02282" w:rsidP="00C02282">
      <w:pPr>
        <w:ind w:left="708"/>
        <w:jc w:val="both"/>
        <w:rPr>
          <w:rFonts w:ascii="Arial" w:hAnsi="Arial" w:cs="Arial"/>
          <w:highlight w:val="yellow"/>
          <w:lang w:eastAsia="es-ES"/>
        </w:rPr>
      </w:pPr>
    </w:p>
    <w:p w14:paraId="7FE4DC3C" w14:textId="77777777" w:rsidR="00C02282" w:rsidRPr="006A67B4" w:rsidRDefault="00C02282" w:rsidP="00C02282">
      <w:pPr>
        <w:ind w:left="708"/>
        <w:jc w:val="both"/>
        <w:rPr>
          <w:rFonts w:ascii="Arial" w:hAnsi="Arial" w:cs="Arial"/>
          <w:highlight w:val="yellow"/>
          <w:lang w:eastAsia="es-ES"/>
        </w:rPr>
      </w:pPr>
      <w:r w:rsidRPr="006A67B4">
        <w:rPr>
          <w:rFonts w:ascii="Arial" w:hAnsi="Arial" w:cs="Arial"/>
          <w:highlight w:val="yellow"/>
          <w:lang w:eastAsia="es-ES"/>
        </w:rPr>
        <w:t xml:space="preserve"> </w:t>
      </w:r>
    </w:p>
    <w:p w14:paraId="09E1F83D" w14:textId="77777777" w:rsidR="00C02282" w:rsidRPr="00033594" w:rsidRDefault="00C02282" w:rsidP="00C02282">
      <w:pPr>
        <w:ind w:left="708"/>
        <w:jc w:val="center"/>
        <w:rPr>
          <w:rFonts w:ascii="Times New Roman" w:eastAsia="Times New Roman" w:hAnsi="Times New Roman" w:cs="Times New Roman"/>
          <w:i/>
          <w:iCs/>
          <w:noProof/>
          <w:color w:val="1F497D" w:themeColor="text2"/>
          <w:sz w:val="18"/>
          <w:szCs w:val="18"/>
          <w:lang w:val="es-ES" w:eastAsia="es-ES"/>
        </w:rPr>
      </w:pPr>
      <w:bookmarkStart w:id="101" w:name="_Toc525652488"/>
      <w:r w:rsidRPr="00033594">
        <w:rPr>
          <w:rFonts w:ascii="Times New Roman" w:eastAsia="Times New Roman" w:hAnsi="Times New Roman" w:cs="Times New Roman"/>
          <w:i/>
          <w:iCs/>
          <w:noProof/>
          <w:color w:val="1F497D" w:themeColor="text2"/>
          <w:sz w:val="18"/>
          <w:szCs w:val="18"/>
          <w:lang w:val="es-ES" w:eastAsia="es-ES"/>
        </w:rPr>
        <w:t xml:space="preserve">Tabla </w:t>
      </w:r>
      <w:r w:rsidRPr="00033594">
        <w:rPr>
          <w:rFonts w:ascii="Times New Roman" w:eastAsia="Times New Roman" w:hAnsi="Times New Roman" w:cs="Times New Roman"/>
          <w:i/>
          <w:iCs/>
          <w:noProof/>
          <w:color w:val="1F497D" w:themeColor="text2"/>
          <w:sz w:val="18"/>
          <w:szCs w:val="18"/>
          <w:lang w:val="es-ES" w:eastAsia="es-ES"/>
        </w:rPr>
        <w:fldChar w:fldCharType="begin"/>
      </w:r>
      <w:r w:rsidRPr="00033594">
        <w:rPr>
          <w:rFonts w:ascii="Times New Roman" w:eastAsia="Times New Roman" w:hAnsi="Times New Roman" w:cs="Times New Roman"/>
          <w:i/>
          <w:iCs/>
          <w:noProof/>
          <w:color w:val="1F497D" w:themeColor="text2"/>
          <w:sz w:val="18"/>
          <w:szCs w:val="18"/>
          <w:lang w:val="es-ES" w:eastAsia="es-ES"/>
        </w:rPr>
        <w:instrText xml:space="preserve"> SEQ Tabla \* ARABIC </w:instrText>
      </w:r>
      <w:r w:rsidRPr="00033594">
        <w:rPr>
          <w:rFonts w:ascii="Times New Roman" w:eastAsia="Times New Roman" w:hAnsi="Times New Roman" w:cs="Times New Roman"/>
          <w:i/>
          <w:iCs/>
          <w:noProof/>
          <w:color w:val="1F497D" w:themeColor="text2"/>
          <w:sz w:val="18"/>
          <w:szCs w:val="18"/>
          <w:lang w:val="es-ES" w:eastAsia="es-ES"/>
        </w:rPr>
        <w:fldChar w:fldCharType="separate"/>
      </w:r>
      <w:r w:rsidR="008B4625">
        <w:rPr>
          <w:rFonts w:ascii="Times New Roman" w:eastAsia="Times New Roman" w:hAnsi="Times New Roman" w:cs="Times New Roman"/>
          <w:i/>
          <w:iCs/>
          <w:noProof/>
          <w:color w:val="1F497D" w:themeColor="text2"/>
          <w:sz w:val="18"/>
          <w:szCs w:val="18"/>
          <w:lang w:val="es-ES" w:eastAsia="es-ES"/>
        </w:rPr>
        <w:t>43</w:t>
      </w:r>
      <w:r w:rsidRPr="00033594">
        <w:rPr>
          <w:rFonts w:ascii="Times New Roman" w:eastAsia="Times New Roman" w:hAnsi="Times New Roman" w:cs="Times New Roman"/>
          <w:i/>
          <w:iCs/>
          <w:noProof/>
          <w:color w:val="1F497D" w:themeColor="text2"/>
          <w:sz w:val="18"/>
          <w:szCs w:val="18"/>
          <w:lang w:val="es-ES" w:eastAsia="es-ES"/>
        </w:rPr>
        <w:fldChar w:fldCharType="end"/>
      </w:r>
      <w:r w:rsidRPr="00033594">
        <w:rPr>
          <w:rFonts w:ascii="Times New Roman" w:eastAsia="Times New Roman" w:hAnsi="Times New Roman" w:cs="Times New Roman"/>
          <w:i/>
          <w:iCs/>
          <w:noProof/>
          <w:color w:val="1F497D" w:themeColor="text2"/>
          <w:sz w:val="18"/>
          <w:szCs w:val="18"/>
          <w:lang w:val="es-ES" w:eastAsia="es-ES"/>
        </w:rPr>
        <w:t>Distribución Presupuesto Inversión ANH  – Vigencia 2018 ANH</w:t>
      </w:r>
      <w:bookmarkEnd w:id="101"/>
    </w:p>
    <w:tbl>
      <w:tblPr>
        <w:tblW w:w="4607" w:type="pct"/>
        <w:tblInd w:w="708" w:type="dxa"/>
        <w:tblCellMar>
          <w:left w:w="70" w:type="dxa"/>
          <w:right w:w="70" w:type="dxa"/>
        </w:tblCellMar>
        <w:tblLook w:val="04A0" w:firstRow="1" w:lastRow="0" w:firstColumn="1" w:lastColumn="0" w:noHBand="0" w:noVBand="1"/>
      </w:tblPr>
      <w:tblGrid>
        <w:gridCol w:w="3370"/>
        <w:gridCol w:w="1624"/>
        <w:gridCol w:w="1826"/>
        <w:gridCol w:w="1826"/>
      </w:tblGrid>
      <w:tr w:rsidR="00033594" w14:paraId="22F60433" w14:textId="77777777" w:rsidTr="00033594">
        <w:trPr>
          <w:trHeight w:val="317"/>
          <w:tblHeader/>
        </w:trPr>
        <w:tc>
          <w:tcPr>
            <w:tcW w:w="1949" w:type="pct"/>
            <w:tcBorders>
              <w:top w:val="single" w:sz="8" w:space="0" w:color="auto"/>
              <w:left w:val="single" w:sz="8" w:space="0" w:color="auto"/>
              <w:bottom w:val="single" w:sz="8" w:space="0" w:color="auto"/>
              <w:right w:val="single" w:sz="4" w:space="0" w:color="auto"/>
            </w:tcBorders>
            <w:shd w:val="clear" w:color="auto" w:fill="4F81BD" w:themeFill="accent1"/>
            <w:vAlign w:val="center"/>
            <w:hideMark/>
          </w:tcPr>
          <w:p w14:paraId="67DD303A" w14:textId="77777777" w:rsidR="00033594" w:rsidRDefault="00033594">
            <w:pPr>
              <w:rPr>
                <w:rFonts w:ascii="Arial" w:hAnsi="Arial" w:cs="Arial"/>
                <w:b/>
                <w:bCs/>
                <w:color w:val="000000"/>
                <w:sz w:val="16"/>
                <w:szCs w:val="16"/>
              </w:rPr>
            </w:pPr>
            <w:r>
              <w:rPr>
                <w:rFonts w:ascii="Arial" w:hAnsi="Arial" w:cs="Arial"/>
                <w:b/>
                <w:bCs/>
                <w:sz w:val="16"/>
                <w:szCs w:val="16"/>
              </w:rPr>
              <w:t>Concepto</w:t>
            </w:r>
          </w:p>
        </w:tc>
        <w:tc>
          <w:tcPr>
            <w:tcW w:w="939" w:type="pct"/>
            <w:tcBorders>
              <w:top w:val="single" w:sz="8" w:space="0" w:color="auto"/>
              <w:left w:val="nil"/>
              <w:bottom w:val="single" w:sz="8" w:space="0" w:color="auto"/>
              <w:right w:val="single" w:sz="4" w:space="0" w:color="auto"/>
            </w:tcBorders>
            <w:shd w:val="clear" w:color="auto" w:fill="4F81BD" w:themeFill="accent1"/>
            <w:vAlign w:val="center"/>
            <w:hideMark/>
          </w:tcPr>
          <w:p w14:paraId="2B902219" w14:textId="77777777" w:rsidR="00033594" w:rsidRDefault="00033594">
            <w:pPr>
              <w:rPr>
                <w:rFonts w:ascii="Arial" w:hAnsi="Arial" w:cs="Arial"/>
                <w:b/>
                <w:bCs/>
                <w:color w:val="000000"/>
                <w:sz w:val="16"/>
                <w:szCs w:val="16"/>
              </w:rPr>
            </w:pPr>
            <w:r>
              <w:rPr>
                <w:rFonts w:ascii="Arial" w:hAnsi="Arial" w:cs="Arial"/>
                <w:b/>
                <w:bCs/>
                <w:sz w:val="16"/>
                <w:szCs w:val="16"/>
              </w:rPr>
              <w:t>Apropiación Inicial</w:t>
            </w:r>
          </w:p>
        </w:tc>
        <w:tc>
          <w:tcPr>
            <w:tcW w:w="1056" w:type="pct"/>
            <w:tcBorders>
              <w:top w:val="single" w:sz="8" w:space="0" w:color="auto"/>
              <w:left w:val="nil"/>
              <w:bottom w:val="single" w:sz="8" w:space="0" w:color="auto"/>
              <w:right w:val="single" w:sz="4" w:space="0" w:color="auto"/>
            </w:tcBorders>
            <w:shd w:val="clear" w:color="auto" w:fill="4F81BD" w:themeFill="accent1"/>
            <w:vAlign w:val="center"/>
            <w:hideMark/>
          </w:tcPr>
          <w:p w14:paraId="5378EAAE" w14:textId="77777777" w:rsidR="00033594" w:rsidRDefault="00033594">
            <w:pPr>
              <w:rPr>
                <w:rFonts w:ascii="Arial" w:hAnsi="Arial" w:cs="Arial"/>
                <w:b/>
                <w:bCs/>
                <w:color w:val="000000"/>
                <w:sz w:val="16"/>
                <w:szCs w:val="16"/>
              </w:rPr>
            </w:pPr>
            <w:r>
              <w:rPr>
                <w:rFonts w:ascii="Arial" w:hAnsi="Arial" w:cs="Arial"/>
                <w:b/>
                <w:bCs/>
                <w:sz w:val="16"/>
                <w:szCs w:val="16"/>
              </w:rPr>
              <w:t>Apropiación Vigente</w:t>
            </w:r>
          </w:p>
        </w:tc>
        <w:tc>
          <w:tcPr>
            <w:tcW w:w="1056" w:type="pct"/>
            <w:tcBorders>
              <w:top w:val="single" w:sz="8" w:space="0" w:color="auto"/>
              <w:left w:val="nil"/>
              <w:bottom w:val="single" w:sz="8" w:space="0" w:color="auto"/>
              <w:right w:val="single" w:sz="8" w:space="0" w:color="auto"/>
            </w:tcBorders>
            <w:shd w:val="clear" w:color="auto" w:fill="4F81BD" w:themeFill="accent1"/>
            <w:vAlign w:val="center"/>
            <w:hideMark/>
          </w:tcPr>
          <w:p w14:paraId="60CFE7A1" w14:textId="77777777" w:rsidR="00033594" w:rsidRDefault="00033594">
            <w:pPr>
              <w:rPr>
                <w:rFonts w:ascii="Arial" w:hAnsi="Arial" w:cs="Arial"/>
                <w:b/>
                <w:bCs/>
                <w:color w:val="000000"/>
                <w:sz w:val="16"/>
                <w:szCs w:val="16"/>
              </w:rPr>
            </w:pPr>
            <w:r>
              <w:rPr>
                <w:rFonts w:ascii="Arial" w:hAnsi="Arial" w:cs="Arial"/>
                <w:b/>
                <w:bCs/>
                <w:sz w:val="16"/>
                <w:szCs w:val="16"/>
              </w:rPr>
              <w:t>% PARTICIPACION</w:t>
            </w:r>
          </w:p>
        </w:tc>
      </w:tr>
      <w:tr w:rsidR="00033594" w14:paraId="0716A13A" w14:textId="77777777" w:rsidTr="00033594">
        <w:trPr>
          <w:trHeight w:val="396"/>
        </w:trPr>
        <w:tc>
          <w:tcPr>
            <w:tcW w:w="1949" w:type="pct"/>
            <w:tcBorders>
              <w:top w:val="nil"/>
              <w:left w:val="single" w:sz="8" w:space="0" w:color="auto"/>
              <w:bottom w:val="single" w:sz="4" w:space="0" w:color="auto"/>
              <w:right w:val="single" w:sz="4" w:space="0" w:color="auto"/>
            </w:tcBorders>
            <w:vAlign w:val="center"/>
            <w:hideMark/>
          </w:tcPr>
          <w:p w14:paraId="530BE3E8" w14:textId="77777777" w:rsidR="00033594" w:rsidRDefault="00033594">
            <w:pPr>
              <w:rPr>
                <w:rFonts w:ascii="Arial" w:hAnsi="Arial" w:cs="Arial"/>
                <w:color w:val="000000"/>
                <w:sz w:val="16"/>
                <w:szCs w:val="16"/>
              </w:rPr>
            </w:pPr>
            <w:r>
              <w:rPr>
                <w:rFonts w:ascii="Arial" w:hAnsi="Arial" w:cs="Arial"/>
                <w:sz w:val="16"/>
                <w:szCs w:val="16"/>
              </w:rPr>
              <w:t>Desarrollo de ciencia y tecnología para el sector de hidrocarburos</w:t>
            </w:r>
          </w:p>
        </w:tc>
        <w:tc>
          <w:tcPr>
            <w:tcW w:w="939" w:type="pct"/>
            <w:tcBorders>
              <w:top w:val="nil"/>
              <w:left w:val="nil"/>
              <w:bottom w:val="single" w:sz="4" w:space="0" w:color="auto"/>
              <w:right w:val="single" w:sz="4" w:space="0" w:color="auto"/>
            </w:tcBorders>
            <w:noWrap/>
            <w:vAlign w:val="center"/>
            <w:hideMark/>
          </w:tcPr>
          <w:p w14:paraId="0A330AC9" w14:textId="77777777" w:rsidR="00033594" w:rsidRDefault="00033594">
            <w:pPr>
              <w:jc w:val="right"/>
              <w:rPr>
                <w:rFonts w:ascii="Arial" w:hAnsi="Arial" w:cs="Arial"/>
                <w:color w:val="000000"/>
                <w:sz w:val="16"/>
                <w:szCs w:val="16"/>
              </w:rPr>
            </w:pPr>
            <w:r>
              <w:rPr>
                <w:rFonts w:ascii="Arial" w:hAnsi="Arial" w:cs="Arial"/>
                <w:sz w:val="16"/>
                <w:szCs w:val="16"/>
              </w:rPr>
              <w:t>$ 10.000</w:t>
            </w:r>
          </w:p>
        </w:tc>
        <w:tc>
          <w:tcPr>
            <w:tcW w:w="1056" w:type="pct"/>
            <w:tcBorders>
              <w:top w:val="nil"/>
              <w:left w:val="nil"/>
              <w:bottom w:val="single" w:sz="4" w:space="0" w:color="auto"/>
              <w:right w:val="single" w:sz="4" w:space="0" w:color="auto"/>
            </w:tcBorders>
            <w:noWrap/>
            <w:vAlign w:val="center"/>
            <w:hideMark/>
          </w:tcPr>
          <w:p w14:paraId="633169C7" w14:textId="77777777" w:rsidR="00033594" w:rsidRDefault="00033594">
            <w:pPr>
              <w:jc w:val="right"/>
              <w:rPr>
                <w:rFonts w:ascii="Arial" w:hAnsi="Arial" w:cs="Arial"/>
                <w:color w:val="000000"/>
                <w:sz w:val="16"/>
                <w:szCs w:val="16"/>
              </w:rPr>
            </w:pPr>
            <w:r>
              <w:rPr>
                <w:rFonts w:ascii="Arial" w:hAnsi="Arial" w:cs="Arial"/>
                <w:sz w:val="16"/>
                <w:szCs w:val="16"/>
              </w:rPr>
              <w:t>$ 10.000</w:t>
            </w:r>
          </w:p>
        </w:tc>
        <w:tc>
          <w:tcPr>
            <w:tcW w:w="1056" w:type="pct"/>
            <w:tcBorders>
              <w:top w:val="nil"/>
              <w:left w:val="nil"/>
              <w:bottom w:val="single" w:sz="4" w:space="0" w:color="auto"/>
              <w:right w:val="single" w:sz="8" w:space="0" w:color="auto"/>
            </w:tcBorders>
            <w:noWrap/>
            <w:vAlign w:val="center"/>
            <w:hideMark/>
          </w:tcPr>
          <w:p w14:paraId="79B3F04D" w14:textId="77777777" w:rsidR="00033594" w:rsidRDefault="00033594">
            <w:pPr>
              <w:jc w:val="right"/>
              <w:rPr>
                <w:rFonts w:ascii="Arial" w:hAnsi="Arial" w:cs="Arial"/>
                <w:color w:val="000000"/>
                <w:sz w:val="16"/>
                <w:szCs w:val="16"/>
              </w:rPr>
            </w:pPr>
            <w:r>
              <w:rPr>
                <w:rFonts w:ascii="Arial" w:hAnsi="Arial" w:cs="Arial"/>
                <w:sz w:val="16"/>
                <w:szCs w:val="16"/>
              </w:rPr>
              <w:t>3,70%</w:t>
            </w:r>
          </w:p>
        </w:tc>
      </w:tr>
      <w:tr w:rsidR="00033594" w14:paraId="68B054D1" w14:textId="77777777" w:rsidTr="00033594">
        <w:trPr>
          <w:trHeight w:val="594"/>
        </w:trPr>
        <w:tc>
          <w:tcPr>
            <w:tcW w:w="1949" w:type="pct"/>
            <w:tcBorders>
              <w:top w:val="nil"/>
              <w:left w:val="single" w:sz="8" w:space="0" w:color="auto"/>
              <w:bottom w:val="single" w:sz="4" w:space="0" w:color="auto"/>
              <w:right w:val="single" w:sz="4" w:space="0" w:color="auto"/>
            </w:tcBorders>
            <w:vAlign w:val="center"/>
            <w:hideMark/>
          </w:tcPr>
          <w:p w14:paraId="0A33ED17" w14:textId="77777777" w:rsidR="00033594" w:rsidRDefault="00033594">
            <w:pPr>
              <w:rPr>
                <w:rFonts w:ascii="Arial" w:hAnsi="Arial" w:cs="Arial"/>
                <w:color w:val="000000"/>
                <w:sz w:val="16"/>
                <w:szCs w:val="16"/>
              </w:rPr>
            </w:pPr>
            <w:r>
              <w:rPr>
                <w:rFonts w:ascii="Arial" w:hAnsi="Arial" w:cs="Arial"/>
                <w:sz w:val="16"/>
                <w:szCs w:val="16"/>
              </w:rPr>
              <w:t>Fortalecimiento de la gestión articulada para la sostenibilidad del sector de hidrocarburos</w:t>
            </w:r>
          </w:p>
        </w:tc>
        <w:tc>
          <w:tcPr>
            <w:tcW w:w="939" w:type="pct"/>
            <w:tcBorders>
              <w:top w:val="nil"/>
              <w:left w:val="nil"/>
              <w:bottom w:val="single" w:sz="4" w:space="0" w:color="auto"/>
              <w:right w:val="single" w:sz="4" w:space="0" w:color="auto"/>
            </w:tcBorders>
            <w:noWrap/>
            <w:vAlign w:val="center"/>
            <w:hideMark/>
          </w:tcPr>
          <w:p w14:paraId="051B359E" w14:textId="77777777" w:rsidR="00033594" w:rsidRDefault="00033594">
            <w:pPr>
              <w:jc w:val="right"/>
              <w:rPr>
                <w:rFonts w:ascii="Arial" w:hAnsi="Arial" w:cs="Arial"/>
                <w:color w:val="000000"/>
                <w:sz w:val="16"/>
                <w:szCs w:val="16"/>
              </w:rPr>
            </w:pPr>
            <w:r>
              <w:rPr>
                <w:rFonts w:ascii="Arial" w:hAnsi="Arial" w:cs="Arial"/>
                <w:sz w:val="16"/>
                <w:szCs w:val="16"/>
              </w:rPr>
              <w:t>$ 49.123</w:t>
            </w:r>
          </w:p>
        </w:tc>
        <w:tc>
          <w:tcPr>
            <w:tcW w:w="1056" w:type="pct"/>
            <w:tcBorders>
              <w:top w:val="nil"/>
              <w:left w:val="nil"/>
              <w:bottom w:val="single" w:sz="4" w:space="0" w:color="auto"/>
              <w:right w:val="single" w:sz="4" w:space="0" w:color="auto"/>
            </w:tcBorders>
            <w:noWrap/>
            <w:vAlign w:val="center"/>
            <w:hideMark/>
          </w:tcPr>
          <w:p w14:paraId="7FE4B2F4" w14:textId="77777777" w:rsidR="00033594" w:rsidRDefault="00033594">
            <w:pPr>
              <w:jc w:val="right"/>
              <w:rPr>
                <w:rFonts w:ascii="Arial" w:hAnsi="Arial" w:cs="Arial"/>
                <w:color w:val="000000"/>
                <w:sz w:val="16"/>
                <w:szCs w:val="16"/>
              </w:rPr>
            </w:pPr>
            <w:r>
              <w:rPr>
                <w:rFonts w:ascii="Arial" w:hAnsi="Arial" w:cs="Arial"/>
                <w:sz w:val="16"/>
                <w:szCs w:val="16"/>
              </w:rPr>
              <w:t>$ 49.123</w:t>
            </w:r>
          </w:p>
        </w:tc>
        <w:tc>
          <w:tcPr>
            <w:tcW w:w="1056" w:type="pct"/>
            <w:tcBorders>
              <w:top w:val="nil"/>
              <w:left w:val="nil"/>
              <w:bottom w:val="single" w:sz="4" w:space="0" w:color="auto"/>
              <w:right w:val="single" w:sz="8" w:space="0" w:color="auto"/>
            </w:tcBorders>
            <w:noWrap/>
            <w:vAlign w:val="center"/>
            <w:hideMark/>
          </w:tcPr>
          <w:p w14:paraId="03B24291" w14:textId="77777777" w:rsidR="00033594" w:rsidRDefault="00033594">
            <w:pPr>
              <w:jc w:val="right"/>
              <w:rPr>
                <w:rFonts w:ascii="Arial" w:hAnsi="Arial" w:cs="Arial"/>
                <w:color w:val="000000"/>
                <w:sz w:val="16"/>
                <w:szCs w:val="16"/>
              </w:rPr>
            </w:pPr>
            <w:r>
              <w:rPr>
                <w:rFonts w:ascii="Arial" w:hAnsi="Arial" w:cs="Arial"/>
                <w:sz w:val="16"/>
                <w:szCs w:val="16"/>
              </w:rPr>
              <w:t>18,17%</w:t>
            </w:r>
          </w:p>
        </w:tc>
      </w:tr>
      <w:tr w:rsidR="00033594" w14:paraId="0F9B9740" w14:textId="77777777" w:rsidTr="00033594">
        <w:trPr>
          <w:trHeight w:val="594"/>
        </w:trPr>
        <w:tc>
          <w:tcPr>
            <w:tcW w:w="1949" w:type="pct"/>
            <w:tcBorders>
              <w:top w:val="nil"/>
              <w:left w:val="single" w:sz="8" w:space="0" w:color="auto"/>
              <w:bottom w:val="single" w:sz="4" w:space="0" w:color="auto"/>
              <w:right w:val="single" w:sz="4" w:space="0" w:color="auto"/>
            </w:tcBorders>
            <w:vAlign w:val="center"/>
            <w:hideMark/>
          </w:tcPr>
          <w:p w14:paraId="4FB2D335" w14:textId="37B03FF6" w:rsidR="00033594" w:rsidRDefault="00033594">
            <w:pPr>
              <w:rPr>
                <w:rFonts w:ascii="Arial" w:hAnsi="Arial" w:cs="Arial"/>
                <w:color w:val="000000"/>
                <w:sz w:val="16"/>
                <w:szCs w:val="16"/>
              </w:rPr>
            </w:pPr>
            <w:r>
              <w:rPr>
                <w:rFonts w:ascii="Arial" w:hAnsi="Arial" w:cs="Arial"/>
                <w:sz w:val="16"/>
                <w:szCs w:val="16"/>
              </w:rPr>
              <w:t xml:space="preserve">Adecuación del modelo de promoción de los recursos </w:t>
            </w:r>
            <w:r w:rsidR="00576641">
              <w:rPr>
                <w:rFonts w:ascii="Arial" w:hAnsi="Arial" w:cs="Arial"/>
                <w:sz w:val="16"/>
                <w:szCs w:val="16"/>
              </w:rPr>
              <w:t>Hidrocarburíferos</w:t>
            </w:r>
            <w:r>
              <w:rPr>
                <w:rFonts w:ascii="Arial" w:hAnsi="Arial" w:cs="Arial"/>
                <w:sz w:val="16"/>
                <w:szCs w:val="16"/>
              </w:rPr>
              <w:t xml:space="preserve"> frente a los factores externos</w:t>
            </w:r>
          </w:p>
        </w:tc>
        <w:tc>
          <w:tcPr>
            <w:tcW w:w="939" w:type="pct"/>
            <w:tcBorders>
              <w:top w:val="nil"/>
              <w:left w:val="nil"/>
              <w:bottom w:val="single" w:sz="4" w:space="0" w:color="auto"/>
              <w:right w:val="single" w:sz="4" w:space="0" w:color="auto"/>
            </w:tcBorders>
            <w:noWrap/>
            <w:vAlign w:val="center"/>
            <w:hideMark/>
          </w:tcPr>
          <w:p w14:paraId="1A5D66B5" w14:textId="77777777" w:rsidR="00033594" w:rsidRDefault="00033594">
            <w:pPr>
              <w:jc w:val="right"/>
              <w:rPr>
                <w:rFonts w:ascii="Arial" w:hAnsi="Arial" w:cs="Arial"/>
                <w:color w:val="000000"/>
                <w:sz w:val="16"/>
                <w:szCs w:val="16"/>
              </w:rPr>
            </w:pPr>
            <w:r>
              <w:rPr>
                <w:rFonts w:ascii="Arial" w:hAnsi="Arial" w:cs="Arial"/>
                <w:sz w:val="16"/>
                <w:szCs w:val="16"/>
              </w:rPr>
              <w:t>$ 10.082</w:t>
            </w:r>
          </w:p>
        </w:tc>
        <w:tc>
          <w:tcPr>
            <w:tcW w:w="1056" w:type="pct"/>
            <w:tcBorders>
              <w:top w:val="nil"/>
              <w:left w:val="nil"/>
              <w:bottom w:val="single" w:sz="4" w:space="0" w:color="auto"/>
              <w:right w:val="single" w:sz="4" w:space="0" w:color="auto"/>
            </w:tcBorders>
            <w:noWrap/>
            <w:vAlign w:val="center"/>
            <w:hideMark/>
          </w:tcPr>
          <w:p w14:paraId="0C39E80D" w14:textId="77777777" w:rsidR="00033594" w:rsidRDefault="00033594">
            <w:pPr>
              <w:jc w:val="right"/>
              <w:rPr>
                <w:rFonts w:ascii="Arial" w:hAnsi="Arial" w:cs="Arial"/>
                <w:color w:val="000000"/>
                <w:sz w:val="16"/>
                <w:szCs w:val="16"/>
              </w:rPr>
            </w:pPr>
            <w:r>
              <w:rPr>
                <w:rFonts w:ascii="Arial" w:hAnsi="Arial" w:cs="Arial"/>
                <w:sz w:val="16"/>
                <w:szCs w:val="16"/>
              </w:rPr>
              <w:t>$ 10.082</w:t>
            </w:r>
          </w:p>
        </w:tc>
        <w:tc>
          <w:tcPr>
            <w:tcW w:w="1056" w:type="pct"/>
            <w:tcBorders>
              <w:top w:val="nil"/>
              <w:left w:val="nil"/>
              <w:bottom w:val="single" w:sz="4" w:space="0" w:color="auto"/>
              <w:right w:val="single" w:sz="8" w:space="0" w:color="auto"/>
            </w:tcBorders>
            <w:noWrap/>
            <w:vAlign w:val="center"/>
            <w:hideMark/>
          </w:tcPr>
          <w:p w14:paraId="2487FA57" w14:textId="77777777" w:rsidR="00033594" w:rsidRDefault="00033594">
            <w:pPr>
              <w:jc w:val="right"/>
              <w:rPr>
                <w:rFonts w:ascii="Arial" w:hAnsi="Arial" w:cs="Arial"/>
                <w:color w:val="000000"/>
                <w:sz w:val="16"/>
                <w:szCs w:val="16"/>
              </w:rPr>
            </w:pPr>
            <w:r>
              <w:rPr>
                <w:rFonts w:ascii="Arial" w:hAnsi="Arial" w:cs="Arial"/>
                <w:sz w:val="16"/>
                <w:szCs w:val="16"/>
              </w:rPr>
              <w:t>3,73%</w:t>
            </w:r>
          </w:p>
        </w:tc>
      </w:tr>
      <w:tr w:rsidR="00033594" w14:paraId="7643543F" w14:textId="77777777" w:rsidTr="00033594">
        <w:trPr>
          <w:trHeight w:val="396"/>
        </w:trPr>
        <w:tc>
          <w:tcPr>
            <w:tcW w:w="1949" w:type="pct"/>
            <w:tcBorders>
              <w:top w:val="nil"/>
              <w:left w:val="single" w:sz="8" w:space="0" w:color="auto"/>
              <w:bottom w:val="single" w:sz="4" w:space="0" w:color="auto"/>
              <w:right w:val="single" w:sz="4" w:space="0" w:color="auto"/>
            </w:tcBorders>
            <w:vAlign w:val="center"/>
            <w:hideMark/>
          </w:tcPr>
          <w:p w14:paraId="5F063C34" w14:textId="77777777" w:rsidR="00033594" w:rsidRDefault="00033594">
            <w:pPr>
              <w:rPr>
                <w:rFonts w:ascii="Arial" w:hAnsi="Arial" w:cs="Arial"/>
                <w:color w:val="000000"/>
                <w:sz w:val="16"/>
                <w:szCs w:val="16"/>
              </w:rPr>
            </w:pPr>
            <w:r>
              <w:rPr>
                <w:rFonts w:ascii="Arial" w:hAnsi="Arial" w:cs="Arial"/>
                <w:sz w:val="16"/>
                <w:szCs w:val="16"/>
              </w:rPr>
              <w:t>Desarrollo de la evaluación del potencial de hidrocarburos del país</w:t>
            </w:r>
          </w:p>
        </w:tc>
        <w:tc>
          <w:tcPr>
            <w:tcW w:w="939" w:type="pct"/>
            <w:tcBorders>
              <w:top w:val="nil"/>
              <w:left w:val="nil"/>
              <w:bottom w:val="single" w:sz="4" w:space="0" w:color="auto"/>
              <w:right w:val="single" w:sz="4" w:space="0" w:color="auto"/>
            </w:tcBorders>
            <w:noWrap/>
            <w:vAlign w:val="center"/>
            <w:hideMark/>
          </w:tcPr>
          <w:p w14:paraId="0D407B73" w14:textId="77777777" w:rsidR="00033594" w:rsidRDefault="00033594">
            <w:pPr>
              <w:jc w:val="right"/>
              <w:rPr>
                <w:rFonts w:ascii="Arial" w:hAnsi="Arial" w:cs="Arial"/>
                <w:color w:val="000000"/>
                <w:sz w:val="16"/>
                <w:szCs w:val="16"/>
              </w:rPr>
            </w:pPr>
            <w:r>
              <w:rPr>
                <w:rFonts w:ascii="Arial" w:hAnsi="Arial" w:cs="Arial"/>
                <w:sz w:val="16"/>
                <w:szCs w:val="16"/>
              </w:rPr>
              <w:t>$ 186.999</w:t>
            </w:r>
          </w:p>
        </w:tc>
        <w:tc>
          <w:tcPr>
            <w:tcW w:w="1056" w:type="pct"/>
            <w:tcBorders>
              <w:top w:val="nil"/>
              <w:left w:val="nil"/>
              <w:bottom w:val="single" w:sz="4" w:space="0" w:color="auto"/>
              <w:right w:val="single" w:sz="4" w:space="0" w:color="auto"/>
            </w:tcBorders>
            <w:noWrap/>
            <w:vAlign w:val="center"/>
            <w:hideMark/>
          </w:tcPr>
          <w:p w14:paraId="7DCC951C" w14:textId="77777777" w:rsidR="00033594" w:rsidRDefault="00033594">
            <w:pPr>
              <w:jc w:val="right"/>
              <w:rPr>
                <w:rFonts w:ascii="Arial" w:hAnsi="Arial" w:cs="Arial"/>
                <w:color w:val="000000"/>
                <w:sz w:val="16"/>
                <w:szCs w:val="16"/>
              </w:rPr>
            </w:pPr>
            <w:r>
              <w:rPr>
                <w:rFonts w:ascii="Arial" w:hAnsi="Arial" w:cs="Arial"/>
                <w:sz w:val="16"/>
                <w:szCs w:val="16"/>
              </w:rPr>
              <w:t>$ 186.999</w:t>
            </w:r>
          </w:p>
        </w:tc>
        <w:tc>
          <w:tcPr>
            <w:tcW w:w="1056" w:type="pct"/>
            <w:tcBorders>
              <w:top w:val="nil"/>
              <w:left w:val="nil"/>
              <w:bottom w:val="single" w:sz="4" w:space="0" w:color="auto"/>
              <w:right w:val="single" w:sz="8" w:space="0" w:color="auto"/>
            </w:tcBorders>
            <w:noWrap/>
            <w:vAlign w:val="center"/>
            <w:hideMark/>
          </w:tcPr>
          <w:p w14:paraId="2C814510" w14:textId="77777777" w:rsidR="00033594" w:rsidRDefault="00033594">
            <w:pPr>
              <w:jc w:val="right"/>
              <w:rPr>
                <w:rFonts w:ascii="Arial" w:hAnsi="Arial" w:cs="Arial"/>
                <w:color w:val="000000"/>
                <w:sz w:val="16"/>
                <w:szCs w:val="16"/>
              </w:rPr>
            </w:pPr>
            <w:r>
              <w:rPr>
                <w:rFonts w:ascii="Arial" w:hAnsi="Arial" w:cs="Arial"/>
                <w:sz w:val="16"/>
                <w:szCs w:val="16"/>
              </w:rPr>
              <w:t>69,16%</w:t>
            </w:r>
          </w:p>
        </w:tc>
      </w:tr>
      <w:tr w:rsidR="00033594" w14:paraId="1496DCC2" w14:textId="77777777" w:rsidTr="00033594">
        <w:trPr>
          <w:trHeight w:val="396"/>
        </w:trPr>
        <w:tc>
          <w:tcPr>
            <w:tcW w:w="1949" w:type="pct"/>
            <w:tcBorders>
              <w:top w:val="nil"/>
              <w:left w:val="single" w:sz="8" w:space="0" w:color="auto"/>
              <w:bottom w:val="single" w:sz="4" w:space="0" w:color="auto"/>
              <w:right w:val="single" w:sz="4" w:space="0" w:color="auto"/>
            </w:tcBorders>
            <w:vAlign w:val="center"/>
            <w:hideMark/>
          </w:tcPr>
          <w:p w14:paraId="1003E223" w14:textId="77777777" w:rsidR="00033594" w:rsidRDefault="00033594">
            <w:pPr>
              <w:rPr>
                <w:rFonts w:ascii="Arial" w:hAnsi="Arial" w:cs="Arial"/>
                <w:color w:val="000000"/>
                <w:sz w:val="16"/>
                <w:szCs w:val="16"/>
              </w:rPr>
            </w:pPr>
            <w:r>
              <w:rPr>
                <w:rFonts w:ascii="Arial" w:hAnsi="Arial" w:cs="Arial"/>
                <w:sz w:val="16"/>
                <w:szCs w:val="16"/>
              </w:rPr>
              <w:lastRenderedPageBreak/>
              <w:t>Gestión de tecnologías de información y comunicaciones</w:t>
            </w:r>
          </w:p>
        </w:tc>
        <w:tc>
          <w:tcPr>
            <w:tcW w:w="939" w:type="pct"/>
            <w:tcBorders>
              <w:top w:val="nil"/>
              <w:left w:val="nil"/>
              <w:bottom w:val="single" w:sz="4" w:space="0" w:color="auto"/>
              <w:right w:val="single" w:sz="4" w:space="0" w:color="auto"/>
            </w:tcBorders>
            <w:noWrap/>
            <w:vAlign w:val="center"/>
            <w:hideMark/>
          </w:tcPr>
          <w:p w14:paraId="000705C0" w14:textId="77777777" w:rsidR="00033594" w:rsidRDefault="00033594">
            <w:pPr>
              <w:jc w:val="right"/>
              <w:rPr>
                <w:rFonts w:ascii="Arial" w:hAnsi="Arial" w:cs="Arial"/>
                <w:color w:val="000000"/>
                <w:sz w:val="16"/>
                <w:szCs w:val="16"/>
              </w:rPr>
            </w:pPr>
            <w:r>
              <w:rPr>
                <w:rFonts w:ascii="Arial" w:hAnsi="Arial" w:cs="Arial"/>
                <w:sz w:val="16"/>
                <w:szCs w:val="16"/>
              </w:rPr>
              <w:t>$ 14.166</w:t>
            </w:r>
          </w:p>
        </w:tc>
        <w:tc>
          <w:tcPr>
            <w:tcW w:w="1056" w:type="pct"/>
            <w:tcBorders>
              <w:top w:val="nil"/>
              <w:left w:val="nil"/>
              <w:bottom w:val="single" w:sz="4" w:space="0" w:color="auto"/>
              <w:right w:val="single" w:sz="4" w:space="0" w:color="auto"/>
            </w:tcBorders>
            <w:noWrap/>
            <w:vAlign w:val="center"/>
            <w:hideMark/>
          </w:tcPr>
          <w:p w14:paraId="28745099" w14:textId="77777777" w:rsidR="00033594" w:rsidRDefault="00033594">
            <w:pPr>
              <w:jc w:val="right"/>
              <w:rPr>
                <w:rFonts w:ascii="Arial" w:hAnsi="Arial" w:cs="Arial"/>
                <w:color w:val="000000"/>
                <w:sz w:val="16"/>
                <w:szCs w:val="16"/>
              </w:rPr>
            </w:pPr>
            <w:r>
              <w:rPr>
                <w:rFonts w:ascii="Arial" w:hAnsi="Arial" w:cs="Arial"/>
                <w:sz w:val="16"/>
                <w:szCs w:val="16"/>
              </w:rPr>
              <w:t>$ 14.166</w:t>
            </w:r>
          </w:p>
        </w:tc>
        <w:tc>
          <w:tcPr>
            <w:tcW w:w="1056" w:type="pct"/>
            <w:tcBorders>
              <w:top w:val="nil"/>
              <w:left w:val="nil"/>
              <w:bottom w:val="single" w:sz="4" w:space="0" w:color="auto"/>
              <w:right w:val="single" w:sz="8" w:space="0" w:color="auto"/>
            </w:tcBorders>
            <w:noWrap/>
            <w:vAlign w:val="center"/>
            <w:hideMark/>
          </w:tcPr>
          <w:p w14:paraId="1144B9C1" w14:textId="77777777" w:rsidR="00033594" w:rsidRDefault="00033594">
            <w:pPr>
              <w:jc w:val="right"/>
              <w:rPr>
                <w:rFonts w:ascii="Arial" w:hAnsi="Arial" w:cs="Arial"/>
                <w:color w:val="000000"/>
                <w:sz w:val="16"/>
                <w:szCs w:val="16"/>
              </w:rPr>
            </w:pPr>
            <w:r>
              <w:rPr>
                <w:rFonts w:ascii="Arial" w:hAnsi="Arial" w:cs="Arial"/>
                <w:sz w:val="16"/>
                <w:szCs w:val="16"/>
              </w:rPr>
              <w:t>5,24%</w:t>
            </w:r>
          </w:p>
        </w:tc>
      </w:tr>
      <w:tr w:rsidR="00033594" w14:paraId="5A4A2599" w14:textId="77777777" w:rsidTr="00033594">
        <w:trPr>
          <w:trHeight w:val="277"/>
        </w:trPr>
        <w:tc>
          <w:tcPr>
            <w:tcW w:w="1949" w:type="pct"/>
            <w:tcBorders>
              <w:top w:val="nil"/>
              <w:left w:val="single" w:sz="8" w:space="0" w:color="auto"/>
              <w:bottom w:val="single" w:sz="8" w:space="0" w:color="auto"/>
              <w:right w:val="single" w:sz="4" w:space="0" w:color="auto"/>
            </w:tcBorders>
            <w:shd w:val="clear" w:color="auto" w:fill="4F81BD" w:themeFill="accent1"/>
            <w:noWrap/>
            <w:vAlign w:val="center"/>
            <w:hideMark/>
          </w:tcPr>
          <w:p w14:paraId="7A9FC86D" w14:textId="77777777" w:rsidR="00033594" w:rsidRDefault="00033594">
            <w:pPr>
              <w:rPr>
                <w:rFonts w:ascii="Arial" w:hAnsi="Arial" w:cs="Arial"/>
                <w:b/>
                <w:bCs/>
                <w:color w:val="000000"/>
                <w:sz w:val="16"/>
                <w:szCs w:val="16"/>
              </w:rPr>
            </w:pPr>
            <w:r>
              <w:rPr>
                <w:rFonts w:ascii="Arial" w:hAnsi="Arial" w:cs="Arial"/>
                <w:b/>
                <w:bCs/>
                <w:sz w:val="16"/>
                <w:szCs w:val="16"/>
              </w:rPr>
              <w:t>Gastos de Inversión</w:t>
            </w:r>
          </w:p>
        </w:tc>
        <w:tc>
          <w:tcPr>
            <w:tcW w:w="939" w:type="pct"/>
            <w:tcBorders>
              <w:top w:val="nil"/>
              <w:left w:val="nil"/>
              <w:bottom w:val="single" w:sz="8" w:space="0" w:color="auto"/>
              <w:right w:val="single" w:sz="4" w:space="0" w:color="auto"/>
            </w:tcBorders>
            <w:shd w:val="clear" w:color="auto" w:fill="4F81BD" w:themeFill="accent1"/>
            <w:noWrap/>
            <w:vAlign w:val="center"/>
            <w:hideMark/>
          </w:tcPr>
          <w:p w14:paraId="5ED90883" w14:textId="77777777" w:rsidR="00033594" w:rsidRDefault="00033594">
            <w:pPr>
              <w:jc w:val="right"/>
              <w:rPr>
                <w:rFonts w:ascii="Arial" w:hAnsi="Arial" w:cs="Arial"/>
                <w:b/>
                <w:bCs/>
                <w:color w:val="000000"/>
                <w:sz w:val="16"/>
                <w:szCs w:val="16"/>
              </w:rPr>
            </w:pPr>
            <w:r>
              <w:rPr>
                <w:rFonts w:ascii="Arial" w:hAnsi="Arial" w:cs="Arial"/>
                <w:b/>
                <w:bCs/>
                <w:sz w:val="16"/>
                <w:szCs w:val="16"/>
              </w:rPr>
              <w:t>$ 270.370</w:t>
            </w:r>
          </w:p>
        </w:tc>
        <w:tc>
          <w:tcPr>
            <w:tcW w:w="1056" w:type="pct"/>
            <w:tcBorders>
              <w:top w:val="nil"/>
              <w:left w:val="nil"/>
              <w:bottom w:val="single" w:sz="8" w:space="0" w:color="auto"/>
              <w:right w:val="single" w:sz="4" w:space="0" w:color="auto"/>
            </w:tcBorders>
            <w:shd w:val="clear" w:color="auto" w:fill="4F81BD" w:themeFill="accent1"/>
            <w:noWrap/>
            <w:vAlign w:val="center"/>
            <w:hideMark/>
          </w:tcPr>
          <w:p w14:paraId="472880A7" w14:textId="77777777" w:rsidR="00033594" w:rsidRDefault="00033594">
            <w:pPr>
              <w:jc w:val="right"/>
              <w:rPr>
                <w:rFonts w:ascii="Arial" w:hAnsi="Arial" w:cs="Arial"/>
                <w:b/>
                <w:bCs/>
                <w:color w:val="000000"/>
                <w:sz w:val="16"/>
                <w:szCs w:val="16"/>
              </w:rPr>
            </w:pPr>
            <w:r>
              <w:rPr>
                <w:rFonts w:ascii="Arial" w:hAnsi="Arial" w:cs="Arial"/>
                <w:b/>
                <w:bCs/>
                <w:sz w:val="16"/>
                <w:szCs w:val="16"/>
              </w:rPr>
              <w:t>$ 270.370</w:t>
            </w:r>
          </w:p>
        </w:tc>
        <w:tc>
          <w:tcPr>
            <w:tcW w:w="1056" w:type="pct"/>
            <w:tcBorders>
              <w:top w:val="nil"/>
              <w:left w:val="nil"/>
              <w:bottom w:val="single" w:sz="8" w:space="0" w:color="auto"/>
              <w:right w:val="single" w:sz="8" w:space="0" w:color="auto"/>
            </w:tcBorders>
            <w:shd w:val="clear" w:color="auto" w:fill="4F81BD" w:themeFill="accent1"/>
            <w:noWrap/>
            <w:vAlign w:val="center"/>
            <w:hideMark/>
          </w:tcPr>
          <w:p w14:paraId="77DC5231" w14:textId="77777777" w:rsidR="00033594" w:rsidRDefault="00033594">
            <w:pPr>
              <w:jc w:val="right"/>
              <w:rPr>
                <w:rFonts w:ascii="Arial" w:hAnsi="Arial" w:cs="Arial"/>
                <w:b/>
                <w:bCs/>
                <w:color w:val="000000"/>
                <w:sz w:val="16"/>
                <w:szCs w:val="16"/>
              </w:rPr>
            </w:pPr>
            <w:r>
              <w:rPr>
                <w:rFonts w:ascii="Arial" w:hAnsi="Arial" w:cs="Arial"/>
                <w:b/>
                <w:bCs/>
                <w:sz w:val="16"/>
                <w:szCs w:val="16"/>
              </w:rPr>
              <w:t>100,00%</w:t>
            </w:r>
          </w:p>
        </w:tc>
      </w:tr>
    </w:tbl>
    <w:p w14:paraId="13E68C05" w14:textId="77777777" w:rsidR="00C02282" w:rsidRPr="00033594" w:rsidRDefault="00C02282" w:rsidP="00C02282">
      <w:pPr>
        <w:spacing w:after="0" w:line="240" w:lineRule="auto"/>
        <w:jc w:val="center"/>
        <w:rPr>
          <w:rFonts w:ascii="Arial" w:eastAsia="Calibri" w:hAnsi="Arial" w:cs="Arial"/>
          <w:sz w:val="16"/>
          <w:szCs w:val="16"/>
        </w:rPr>
      </w:pPr>
      <w:r w:rsidRPr="00033594">
        <w:rPr>
          <w:rFonts w:ascii="Arial" w:hAnsi="Arial" w:cs="Arial"/>
          <w:sz w:val="16"/>
          <w:szCs w:val="16"/>
          <w:lang w:eastAsia="es-ES"/>
        </w:rPr>
        <w:t>Millones de pesos</w:t>
      </w:r>
    </w:p>
    <w:p w14:paraId="0E965537" w14:textId="77777777" w:rsidR="00C02282" w:rsidRPr="00033594" w:rsidRDefault="00C02282" w:rsidP="00C02282">
      <w:pPr>
        <w:ind w:left="348" w:firstLine="708"/>
        <w:rPr>
          <w:rFonts w:ascii="Arial" w:hAnsi="Arial" w:cs="Arial"/>
          <w:sz w:val="16"/>
          <w:szCs w:val="16"/>
        </w:rPr>
      </w:pPr>
      <w:r w:rsidRPr="00033594">
        <w:rPr>
          <w:rFonts w:ascii="Arial" w:hAnsi="Arial" w:cs="Arial"/>
          <w:sz w:val="16"/>
          <w:szCs w:val="16"/>
        </w:rPr>
        <w:t xml:space="preserve">                                                             Fuente: Ley 1873 de 2017</w:t>
      </w:r>
    </w:p>
    <w:p w14:paraId="384FD7B4" w14:textId="77777777" w:rsidR="00C02282" w:rsidRPr="006A67B4" w:rsidRDefault="00C02282" w:rsidP="00C02282">
      <w:pPr>
        <w:ind w:left="708"/>
        <w:jc w:val="both"/>
        <w:rPr>
          <w:rFonts w:ascii="Arial" w:hAnsi="Arial" w:cs="Arial"/>
          <w:highlight w:val="yellow"/>
          <w:lang w:eastAsia="es-ES"/>
        </w:rPr>
      </w:pPr>
    </w:p>
    <w:p w14:paraId="5A0872F3" w14:textId="77777777" w:rsidR="00033594" w:rsidRDefault="00033594" w:rsidP="00033594">
      <w:pPr>
        <w:ind w:left="708"/>
        <w:jc w:val="both"/>
        <w:rPr>
          <w:rFonts w:ascii="Arial" w:hAnsi="Arial" w:cs="Arial"/>
          <w:lang w:eastAsia="es-ES"/>
        </w:rPr>
      </w:pPr>
      <w:r>
        <w:rPr>
          <w:rFonts w:ascii="Arial" w:hAnsi="Arial" w:cs="Arial"/>
          <w:lang w:eastAsia="es-ES"/>
        </w:rPr>
        <w:t xml:space="preserve">Los presupuestos aprobados para cumplir con los compromisos de Inversión de la entidad provienen de los recursos propios generados en los Derechos Económicos y Recursos de Balance. </w:t>
      </w:r>
    </w:p>
    <w:p w14:paraId="706D2015" w14:textId="77777777" w:rsidR="00C02282" w:rsidRPr="00033594" w:rsidRDefault="00C02282" w:rsidP="00055F7C">
      <w:pPr>
        <w:pStyle w:val="Ttulo1"/>
        <w:numPr>
          <w:ilvl w:val="0"/>
          <w:numId w:val="11"/>
        </w:numPr>
        <w:rPr>
          <w:rFonts w:ascii="Arial" w:eastAsia="Arial" w:hAnsi="Arial" w:cs="Arial"/>
          <w:b/>
          <w:color w:val="auto"/>
          <w:sz w:val="22"/>
          <w:szCs w:val="22"/>
          <w:lang w:eastAsia="es-CO"/>
        </w:rPr>
      </w:pPr>
      <w:bookmarkStart w:id="102" w:name="_Toc515261749"/>
      <w:bookmarkStart w:id="103" w:name="_Toc515270529"/>
      <w:bookmarkStart w:id="104" w:name="_Toc525652040"/>
      <w:r w:rsidRPr="00033594">
        <w:rPr>
          <w:rFonts w:ascii="Arial" w:eastAsia="Arial" w:hAnsi="Arial" w:cs="Arial"/>
          <w:b/>
          <w:color w:val="auto"/>
          <w:sz w:val="22"/>
          <w:szCs w:val="22"/>
          <w:lang w:eastAsia="es-CO"/>
        </w:rPr>
        <w:t>INGRESOS Y GASTOS DE LA ANH</w:t>
      </w:r>
      <w:bookmarkEnd w:id="102"/>
      <w:bookmarkEnd w:id="103"/>
      <w:bookmarkEnd w:id="104"/>
    </w:p>
    <w:p w14:paraId="2574AE15" w14:textId="77777777" w:rsidR="00C02282" w:rsidRPr="006A67B4" w:rsidRDefault="00C02282" w:rsidP="00C02282">
      <w:pPr>
        <w:rPr>
          <w:rFonts w:ascii="Arial" w:hAnsi="Arial" w:cs="Arial"/>
          <w:highlight w:val="yellow"/>
        </w:rPr>
      </w:pPr>
    </w:p>
    <w:p w14:paraId="0847170D" w14:textId="77777777" w:rsidR="00C02282" w:rsidRPr="00033594" w:rsidRDefault="00C02282" w:rsidP="00055F7C">
      <w:pPr>
        <w:pStyle w:val="Ttulo2"/>
        <w:numPr>
          <w:ilvl w:val="1"/>
          <w:numId w:val="11"/>
        </w:numPr>
        <w:rPr>
          <w:rFonts w:ascii="Arial" w:eastAsia="Calibri" w:hAnsi="Arial" w:cs="Arial"/>
          <w:color w:val="auto"/>
          <w:sz w:val="22"/>
          <w:szCs w:val="22"/>
        </w:rPr>
      </w:pPr>
      <w:bookmarkStart w:id="105" w:name="_Toc515261750"/>
      <w:bookmarkStart w:id="106" w:name="_Toc515270530"/>
      <w:bookmarkStart w:id="107" w:name="_Toc525652041"/>
      <w:r w:rsidRPr="00033594">
        <w:rPr>
          <w:rFonts w:ascii="Arial" w:eastAsia="Calibri" w:hAnsi="Arial" w:cs="Arial"/>
          <w:color w:val="auto"/>
          <w:sz w:val="22"/>
          <w:szCs w:val="22"/>
        </w:rPr>
        <w:t>Ingreso</w:t>
      </w:r>
      <w:bookmarkEnd w:id="105"/>
      <w:bookmarkEnd w:id="106"/>
      <w:r w:rsidRPr="00033594">
        <w:rPr>
          <w:rFonts w:ascii="Arial" w:eastAsia="Calibri" w:hAnsi="Arial" w:cs="Arial"/>
          <w:color w:val="auto"/>
          <w:sz w:val="22"/>
          <w:szCs w:val="22"/>
        </w:rPr>
        <w:t xml:space="preserve"> ANH</w:t>
      </w:r>
      <w:bookmarkEnd w:id="107"/>
    </w:p>
    <w:p w14:paraId="2B1A1FB0" w14:textId="77777777" w:rsidR="00033594" w:rsidRDefault="00033594" w:rsidP="00033594">
      <w:pPr>
        <w:jc w:val="both"/>
        <w:rPr>
          <w:rFonts w:ascii="Arial" w:hAnsi="Arial" w:cs="Arial"/>
          <w:lang w:eastAsia="es-ES"/>
        </w:rPr>
      </w:pPr>
      <w:r>
        <w:rPr>
          <w:rFonts w:ascii="Arial" w:hAnsi="Arial" w:cs="Arial"/>
          <w:lang w:eastAsia="es-ES"/>
        </w:rPr>
        <w:t>El Presupuesto de la Agencia Nacional de Hidrocarburos – ANH para la vigencia 2017, fue aprobado mediante Ley 1873 del 20 de diciembre de 2017 y liquidado mediante Decreto 2236 del 27 de diciembre de 2017. Su financiamiento está compuesto en un 29% con recursos provenientes de Derechos Económicos y un 71% con Recursos del Balance.</w:t>
      </w:r>
    </w:p>
    <w:p w14:paraId="53AFC086" w14:textId="14664C2D" w:rsidR="00033594" w:rsidRDefault="00033594" w:rsidP="00033594">
      <w:pPr>
        <w:jc w:val="both"/>
        <w:rPr>
          <w:rFonts w:ascii="Arial" w:hAnsi="Arial" w:cs="Arial"/>
          <w:lang w:val="es-ES" w:eastAsia="es-ES"/>
        </w:rPr>
      </w:pPr>
      <w:r>
        <w:rPr>
          <w:rFonts w:ascii="Arial" w:hAnsi="Arial" w:cs="Arial"/>
          <w:lang w:val="es-ES" w:eastAsia="es-ES"/>
        </w:rPr>
        <w:t xml:space="preserve">En el siguiente cuadro se observa la ejecución de los ingresos al cierre del segundo trimestre de la vigencia en curso, así: </w:t>
      </w:r>
    </w:p>
    <w:p w14:paraId="1837D4A0" w14:textId="4A6615A0" w:rsidR="00C02282" w:rsidRPr="00033594" w:rsidRDefault="00C02282" w:rsidP="00C02282">
      <w:pPr>
        <w:pStyle w:val="Descripcin"/>
        <w:keepNext/>
        <w:jc w:val="center"/>
      </w:pPr>
      <w:bookmarkStart w:id="108" w:name="_Toc525652489"/>
      <w:r w:rsidRPr="00033594">
        <w:t xml:space="preserve">Tabla </w:t>
      </w:r>
      <w:r w:rsidRPr="00033594">
        <w:fldChar w:fldCharType="begin"/>
      </w:r>
      <w:r w:rsidRPr="00033594">
        <w:instrText xml:space="preserve"> SEQ Tabla \* ARABIC </w:instrText>
      </w:r>
      <w:r w:rsidRPr="00033594">
        <w:fldChar w:fldCharType="separate"/>
      </w:r>
      <w:r w:rsidR="008B4625">
        <w:rPr>
          <w:noProof/>
        </w:rPr>
        <w:t>44</w:t>
      </w:r>
      <w:r w:rsidRPr="00033594">
        <w:fldChar w:fldCharType="end"/>
      </w:r>
      <w:r w:rsidRPr="00033594">
        <w:t xml:space="preserve">Ejecución Ingresos </w:t>
      </w:r>
      <w:r w:rsidR="00033594" w:rsidRPr="00033594">
        <w:t xml:space="preserve">Segundo </w:t>
      </w:r>
      <w:r w:rsidRPr="00033594">
        <w:t>Trimestre ANH  – Vigencia 2018 ANH</w:t>
      </w:r>
      <w:bookmarkEnd w:id="108"/>
    </w:p>
    <w:tbl>
      <w:tblPr>
        <w:tblW w:w="5000" w:type="pct"/>
        <w:tblCellMar>
          <w:left w:w="70" w:type="dxa"/>
          <w:right w:w="70" w:type="dxa"/>
        </w:tblCellMar>
        <w:tblLook w:val="04A0" w:firstRow="1" w:lastRow="0" w:firstColumn="1" w:lastColumn="0" w:noHBand="0" w:noVBand="1"/>
      </w:tblPr>
      <w:tblGrid>
        <w:gridCol w:w="3465"/>
        <w:gridCol w:w="603"/>
        <w:gridCol w:w="126"/>
        <w:gridCol w:w="75"/>
        <w:gridCol w:w="489"/>
        <w:gridCol w:w="230"/>
        <w:gridCol w:w="503"/>
        <w:gridCol w:w="73"/>
        <w:gridCol w:w="513"/>
        <w:gridCol w:w="139"/>
        <w:gridCol w:w="477"/>
        <w:gridCol w:w="177"/>
        <w:gridCol w:w="542"/>
        <w:gridCol w:w="92"/>
        <w:gridCol w:w="627"/>
        <w:gridCol w:w="25"/>
        <w:gridCol w:w="579"/>
        <w:gridCol w:w="108"/>
        <w:gridCol w:w="551"/>
      </w:tblGrid>
      <w:tr w:rsidR="00033594" w14:paraId="3337118A" w14:textId="77777777" w:rsidTr="00E95757">
        <w:trPr>
          <w:trHeight w:val="300"/>
          <w:tblHeader/>
        </w:trPr>
        <w:tc>
          <w:tcPr>
            <w:tcW w:w="1815"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16E8176" w14:textId="77777777" w:rsidR="00033594" w:rsidRDefault="00033594">
            <w:pPr>
              <w:rPr>
                <w:rFonts w:ascii="Arial" w:hAnsi="Arial" w:cs="Arial"/>
                <w:b/>
                <w:bCs/>
                <w:color w:val="000000"/>
                <w:sz w:val="16"/>
                <w:szCs w:val="16"/>
              </w:rPr>
            </w:pPr>
            <w:r>
              <w:rPr>
                <w:rFonts w:ascii="Arial" w:hAnsi="Arial" w:cs="Arial"/>
                <w:b/>
                <w:bCs/>
                <w:sz w:val="16"/>
                <w:szCs w:val="16"/>
              </w:rPr>
              <w:t>CONCEPTO</w:t>
            </w:r>
          </w:p>
        </w:tc>
        <w:tc>
          <w:tcPr>
            <w:tcW w:w="324" w:type="pct"/>
            <w:tcBorders>
              <w:top w:val="single" w:sz="4" w:space="0" w:color="auto"/>
              <w:left w:val="nil"/>
              <w:bottom w:val="single" w:sz="4" w:space="0" w:color="auto"/>
              <w:right w:val="nil"/>
            </w:tcBorders>
            <w:shd w:val="clear" w:color="auto" w:fill="548DD4" w:themeFill="text2" w:themeFillTint="99"/>
          </w:tcPr>
          <w:p w14:paraId="576948A2" w14:textId="77777777" w:rsidR="00033594" w:rsidRDefault="00033594">
            <w:pPr>
              <w:jc w:val="center"/>
              <w:rPr>
                <w:rFonts w:ascii="Arial" w:hAnsi="Arial" w:cs="Arial"/>
                <w:b/>
                <w:bCs/>
                <w:color w:val="000000"/>
                <w:sz w:val="16"/>
                <w:szCs w:val="16"/>
              </w:rPr>
            </w:pPr>
          </w:p>
        </w:tc>
        <w:tc>
          <w:tcPr>
            <w:tcW w:w="1403" w:type="pct"/>
            <w:gridSpan w:val="9"/>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7D14549A" w14:textId="77777777" w:rsidR="00033594" w:rsidRDefault="00033594">
            <w:pPr>
              <w:jc w:val="center"/>
              <w:rPr>
                <w:rFonts w:ascii="Arial" w:hAnsi="Arial" w:cs="Arial"/>
                <w:b/>
                <w:bCs/>
                <w:color w:val="000000"/>
                <w:sz w:val="16"/>
                <w:szCs w:val="16"/>
              </w:rPr>
            </w:pPr>
            <w:r>
              <w:rPr>
                <w:rFonts w:ascii="Arial" w:hAnsi="Arial" w:cs="Arial"/>
                <w:b/>
                <w:bCs/>
                <w:sz w:val="16"/>
                <w:szCs w:val="16"/>
              </w:rPr>
              <w:t>PRESUPUESTO DEFINITIVO</w:t>
            </w:r>
          </w:p>
        </w:tc>
        <w:tc>
          <w:tcPr>
            <w:tcW w:w="1457" w:type="pct"/>
            <w:gridSpan w:val="8"/>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0FFE8B6A" w14:textId="77777777" w:rsidR="00033594" w:rsidRDefault="00033594">
            <w:pPr>
              <w:jc w:val="center"/>
              <w:rPr>
                <w:rFonts w:ascii="Arial" w:hAnsi="Arial" w:cs="Arial"/>
                <w:b/>
                <w:bCs/>
                <w:color w:val="000000"/>
                <w:sz w:val="16"/>
                <w:szCs w:val="16"/>
              </w:rPr>
            </w:pPr>
            <w:r>
              <w:rPr>
                <w:rFonts w:ascii="Arial" w:hAnsi="Arial" w:cs="Arial"/>
                <w:b/>
                <w:bCs/>
                <w:sz w:val="16"/>
                <w:szCs w:val="16"/>
              </w:rPr>
              <w:t>CAUSADO</w:t>
            </w:r>
          </w:p>
        </w:tc>
      </w:tr>
      <w:tr w:rsidR="00033594" w14:paraId="61B88A8C" w14:textId="77777777" w:rsidTr="00E95757">
        <w:trPr>
          <w:trHeight w:val="300"/>
          <w:tblHeader/>
        </w:trPr>
        <w:tc>
          <w:tcPr>
            <w:tcW w:w="0" w:type="auto"/>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2A89F2A" w14:textId="77777777" w:rsidR="00033594" w:rsidRDefault="00033594">
            <w:pPr>
              <w:rPr>
                <w:rFonts w:ascii="Arial" w:hAnsi="Arial" w:cs="Arial"/>
                <w:b/>
                <w:bCs/>
                <w:color w:val="000000"/>
                <w:sz w:val="16"/>
                <w:szCs w:val="16"/>
              </w:rPr>
            </w:pPr>
          </w:p>
        </w:tc>
        <w:tc>
          <w:tcPr>
            <w:tcW w:w="393" w:type="pct"/>
            <w:gridSpan w:val="2"/>
            <w:tcBorders>
              <w:top w:val="nil"/>
              <w:left w:val="nil"/>
              <w:bottom w:val="single" w:sz="4" w:space="0" w:color="auto"/>
              <w:right w:val="single" w:sz="4" w:space="0" w:color="auto"/>
            </w:tcBorders>
            <w:shd w:val="clear" w:color="auto" w:fill="548DD4" w:themeFill="text2" w:themeFillTint="99"/>
            <w:vAlign w:val="center"/>
            <w:hideMark/>
          </w:tcPr>
          <w:p w14:paraId="79EF0BC2"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00" w:type="pct"/>
            <w:gridSpan w:val="2"/>
            <w:tcBorders>
              <w:top w:val="nil"/>
              <w:left w:val="nil"/>
              <w:bottom w:val="single" w:sz="4" w:space="0" w:color="auto"/>
              <w:right w:val="nil"/>
            </w:tcBorders>
            <w:shd w:val="clear" w:color="auto" w:fill="548DD4" w:themeFill="text2" w:themeFillTint="99"/>
          </w:tcPr>
          <w:p w14:paraId="62A31B31" w14:textId="77777777" w:rsidR="00033594" w:rsidRDefault="00033594">
            <w:pPr>
              <w:jc w:val="center"/>
              <w:rPr>
                <w:rFonts w:ascii="Arial" w:hAnsi="Arial" w:cs="Arial"/>
                <w:b/>
                <w:bCs/>
                <w:color w:val="000000"/>
                <w:sz w:val="16"/>
                <w:szCs w:val="16"/>
              </w:rPr>
            </w:pPr>
          </w:p>
        </w:tc>
        <w:tc>
          <w:tcPr>
            <w:tcW w:w="386" w:type="pct"/>
            <w:gridSpan w:val="2"/>
            <w:tcBorders>
              <w:top w:val="nil"/>
              <w:left w:val="nil"/>
              <w:bottom w:val="single" w:sz="4" w:space="0" w:color="auto"/>
              <w:right w:val="single" w:sz="4" w:space="0" w:color="auto"/>
            </w:tcBorders>
            <w:shd w:val="clear" w:color="auto" w:fill="548DD4" w:themeFill="text2" w:themeFillTint="99"/>
            <w:vAlign w:val="center"/>
            <w:hideMark/>
          </w:tcPr>
          <w:p w14:paraId="26572176"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14" w:type="pct"/>
            <w:gridSpan w:val="2"/>
            <w:tcBorders>
              <w:top w:val="nil"/>
              <w:left w:val="nil"/>
              <w:bottom w:val="single" w:sz="4" w:space="0" w:color="auto"/>
              <w:right w:val="single" w:sz="4" w:space="0" w:color="auto"/>
            </w:tcBorders>
            <w:shd w:val="clear" w:color="auto" w:fill="548DD4" w:themeFill="text2" w:themeFillTint="99"/>
            <w:vAlign w:val="center"/>
            <w:hideMark/>
          </w:tcPr>
          <w:p w14:paraId="77AB6C9A"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334" w:type="pct"/>
            <w:gridSpan w:val="2"/>
            <w:tcBorders>
              <w:top w:val="nil"/>
              <w:left w:val="nil"/>
              <w:bottom w:val="single" w:sz="4" w:space="0" w:color="auto"/>
              <w:right w:val="single" w:sz="4" w:space="0" w:color="auto"/>
            </w:tcBorders>
            <w:shd w:val="clear" w:color="auto" w:fill="548DD4" w:themeFill="text2" w:themeFillTint="99"/>
            <w:vAlign w:val="center"/>
            <w:hideMark/>
          </w:tcPr>
          <w:p w14:paraId="06724DC1"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c>
          <w:tcPr>
            <w:tcW w:w="387" w:type="pct"/>
            <w:gridSpan w:val="2"/>
            <w:tcBorders>
              <w:top w:val="nil"/>
              <w:left w:val="nil"/>
              <w:bottom w:val="single" w:sz="4" w:space="0" w:color="auto"/>
              <w:right w:val="single" w:sz="4" w:space="0" w:color="auto"/>
            </w:tcBorders>
            <w:shd w:val="clear" w:color="auto" w:fill="548DD4" w:themeFill="text2" w:themeFillTint="99"/>
            <w:vAlign w:val="center"/>
            <w:hideMark/>
          </w:tcPr>
          <w:p w14:paraId="6A1D97B0"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87" w:type="pct"/>
            <w:gridSpan w:val="2"/>
            <w:tcBorders>
              <w:top w:val="nil"/>
              <w:left w:val="nil"/>
              <w:bottom w:val="single" w:sz="4" w:space="0" w:color="auto"/>
              <w:right w:val="single" w:sz="4" w:space="0" w:color="auto"/>
            </w:tcBorders>
            <w:shd w:val="clear" w:color="auto" w:fill="548DD4" w:themeFill="text2" w:themeFillTint="99"/>
            <w:vAlign w:val="center"/>
            <w:hideMark/>
          </w:tcPr>
          <w:p w14:paraId="0C512C15"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28" w:type="pct"/>
            <w:gridSpan w:val="2"/>
            <w:tcBorders>
              <w:top w:val="nil"/>
              <w:left w:val="nil"/>
              <w:bottom w:val="single" w:sz="4" w:space="0" w:color="auto"/>
              <w:right w:val="single" w:sz="4" w:space="0" w:color="auto"/>
            </w:tcBorders>
            <w:shd w:val="clear" w:color="auto" w:fill="548DD4" w:themeFill="text2" w:themeFillTint="99"/>
            <w:vAlign w:val="center"/>
            <w:hideMark/>
          </w:tcPr>
          <w:p w14:paraId="2114DFBF"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355" w:type="pct"/>
            <w:gridSpan w:val="2"/>
            <w:tcBorders>
              <w:top w:val="nil"/>
              <w:left w:val="nil"/>
              <w:bottom w:val="single" w:sz="4" w:space="0" w:color="auto"/>
              <w:right w:val="single" w:sz="4" w:space="0" w:color="auto"/>
            </w:tcBorders>
            <w:shd w:val="clear" w:color="auto" w:fill="548DD4" w:themeFill="text2" w:themeFillTint="99"/>
            <w:vAlign w:val="center"/>
            <w:hideMark/>
          </w:tcPr>
          <w:p w14:paraId="38D86C1E"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r>
      <w:tr w:rsidR="00033594" w14:paraId="44F83C51"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7FA7F9EB" w14:textId="77777777" w:rsidR="00033594" w:rsidRDefault="00033594">
            <w:pPr>
              <w:rPr>
                <w:rFonts w:ascii="Arial" w:hAnsi="Arial" w:cs="Arial"/>
                <w:b/>
                <w:bCs/>
                <w:color w:val="000000"/>
                <w:sz w:val="16"/>
                <w:szCs w:val="16"/>
              </w:rPr>
            </w:pPr>
            <w:r>
              <w:rPr>
                <w:rFonts w:ascii="Arial" w:hAnsi="Arial" w:cs="Arial"/>
                <w:b/>
                <w:bCs/>
                <w:sz w:val="16"/>
                <w:szCs w:val="16"/>
              </w:rPr>
              <w:t>INGRESOS CORRIENTES</w:t>
            </w:r>
          </w:p>
        </w:tc>
        <w:tc>
          <w:tcPr>
            <w:tcW w:w="393" w:type="pct"/>
            <w:gridSpan w:val="2"/>
            <w:tcBorders>
              <w:top w:val="nil"/>
              <w:left w:val="nil"/>
              <w:bottom w:val="single" w:sz="4" w:space="0" w:color="auto"/>
              <w:right w:val="single" w:sz="4" w:space="0" w:color="auto"/>
            </w:tcBorders>
            <w:noWrap/>
            <w:vAlign w:val="center"/>
            <w:hideMark/>
          </w:tcPr>
          <w:p w14:paraId="6A2B9D23" w14:textId="77777777" w:rsidR="00033594" w:rsidRDefault="00033594">
            <w:pPr>
              <w:jc w:val="right"/>
              <w:rPr>
                <w:rFonts w:ascii="Arial" w:hAnsi="Arial" w:cs="Arial"/>
                <w:b/>
                <w:bCs/>
                <w:color w:val="000000"/>
                <w:sz w:val="16"/>
                <w:szCs w:val="16"/>
              </w:rPr>
            </w:pPr>
            <w:r>
              <w:rPr>
                <w:rFonts w:ascii="Arial" w:hAnsi="Arial" w:cs="Arial"/>
                <w:b/>
                <w:bCs/>
                <w:sz w:val="16"/>
                <w:szCs w:val="16"/>
              </w:rPr>
              <w:t>187.060</w:t>
            </w:r>
          </w:p>
        </w:tc>
        <w:tc>
          <w:tcPr>
            <w:tcW w:w="300" w:type="pct"/>
            <w:gridSpan w:val="2"/>
            <w:tcBorders>
              <w:top w:val="nil"/>
              <w:left w:val="nil"/>
              <w:bottom w:val="single" w:sz="4" w:space="0" w:color="auto"/>
              <w:right w:val="nil"/>
            </w:tcBorders>
          </w:tcPr>
          <w:p w14:paraId="26382FCB" w14:textId="77777777" w:rsidR="00033594" w:rsidRDefault="00033594">
            <w:pPr>
              <w:jc w:val="right"/>
              <w:rPr>
                <w:rFonts w:ascii="Arial" w:hAnsi="Arial" w:cs="Arial"/>
                <w:b/>
                <w:bCs/>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548E3DAF" w14:textId="77777777" w:rsidR="00033594" w:rsidRDefault="00033594">
            <w:pPr>
              <w:jc w:val="right"/>
              <w:rPr>
                <w:rFonts w:ascii="Arial" w:hAnsi="Arial" w:cs="Arial"/>
                <w:b/>
                <w:bCs/>
                <w:color w:val="000000"/>
                <w:sz w:val="16"/>
                <w:szCs w:val="16"/>
              </w:rPr>
            </w:pPr>
            <w:r>
              <w:rPr>
                <w:rFonts w:ascii="Arial" w:hAnsi="Arial" w:cs="Arial"/>
                <w:b/>
                <w:bCs/>
                <w:sz w:val="16"/>
                <w:szCs w:val="16"/>
              </w:rPr>
              <w:t>187.060</w:t>
            </w:r>
          </w:p>
        </w:tc>
        <w:tc>
          <w:tcPr>
            <w:tcW w:w="314" w:type="pct"/>
            <w:gridSpan w:val="2"/>
            <w:tcBorders>
              <w:top w:val="nil"/>
              <w:left w:val="nil"/>
              <w:bottom w:val="single" w:sz="4" w:space="0" w:color="auto"/>
              <w:right w:val="single" w:sz="4" w:space="0" w:color="auto"/>
            </w:tcBorders>
            <w:noWrap/>
            <w:vAlign w:val="center"/>
            <w:hideMark/>
          </w:tcPr>
          <w:p w14:paraId="6FE15297"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322A59E6"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1DC7ADBD" w14:textId="77777777" w:rsidR="00033594" w:rsidRDefault="00033594">
            <w:pPr>
              <w:jc w:val="right"/>
              <w:rPr>
                <w:rFonts w:ascii="Arial" w:hAnsi="Arial" w:cs="Arial"/>
                <w:b/>
                <w:bCs/>
                <w:color w:val="000000"/>
                <w:sz w:val="16"/>
                <w:szCs w:val="16"/>
              </w:rPr>
            </w:pPr>
            <w:r>
              <w:rPr>
                <w:rFonts w:ascii="Arial" w:hAnsi="Arial" w:cs="Arial"/>
                <w:b/>
                <w:bCs/>
                <w:sz w:val="16"/>
                <w:szCs w:val="16"/>
              </w:rPr>
              <w:t>196.166</w:t>
            </w:r>
          </w:p>
        </w:tc>
        <w:tc>
          <w:tcPr>
            <w:tcW w:w="387" w:type="pct"/>
            <w:gridSpan w:val="2"/>
            <w:tcBorders>
              <w:top w:val="nil"/>
              <w:left w:val="nil"/>
              <w:bottom w:val="single" w:sz="4" w:space="0" w:color="auto"/>
              <w:right w:val="single" w:sz="4" w:space="0" w:color="auto"/>
            </w:tcBorders>
            <w:noWrap/>
            <w:vAlign w:val="center"/>
            <w:hideMark/>
          </w:tcPr>
          <w:p w14:paraId="1060F5B1" w14:textId="77777777" w:rsidR="00033594" w:rsidRDefault="00033594">
            <w:pPr>
              <w:jc w:val="right"/>
              <w:rPr>
                <w:rFonts w:ascii="Arial" w:hAnsi="Arial" w:cs="Arial"/>
                <w:b/>
                <w:bCs/>
                <w:color w:val="000000"/>
                <w:sz w:val="16"/>
                <w:szCs w:val="16"/>
              </w:rPr>
            </w:pPr>
            <w:r>
              <w:rPr>
                <w:rFonts w:ascii="Arial" w:hAnsi="Arial" w:cs="Arial"/>
                <w:b/>
                <w:bCs/>
                <w:sz w:val="16"/>
                <w:szCs w:val="16"/>
              </w:rPr>
              <w:t>441.214</w:t>
            </w:r>
          </w:p>
        </w:tc>
        <w:tc>
          <w:tcPr>
            <w:tcW w:w="328" w:type="pct"/>
            <w:gridSpan w:val="2"/>
            <w:tcBorders>
              <w:top w:val="nil"/>
              <w:left w:val="nil"/>
              <w:bottom w:val="single" w:sz="4" w:space="0" w:color="auto"/>
              <w:right w:val="single" w:sz="4" w:space="0" w:color="auto"/>
            </w:tcBorders>
            <w:noWrap/>
            <w:vAlign w:val="center"/>
            <w:hideMark/>
          </w:tcPr>
          <w:p w14:paraId="72BE4C75"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0988177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65C08314"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022EC958" w14:textId="77777777" w:rsidR="00033594" w:rsidRDefault="00033594">
            <w:pPr>
              <w:rPr>
                <w:rFonts w:ascii="Arial" w:hAnsi="Arial" w:cs="Arial"/>
                <w:b/>
                <w:bCs/>
                <w:color w:val="000000"/>
                <w:sz w:val="16"/>
                <w:szCs w:val="16"/>
              </w:rPr>
            </w:pPr>
            <w:r>
              <w:rPr>
                <w:rFonts w:ascii="Arial" w:hAnsi="Arial" w:cs="Arial"/>
                <w:b/>
                <w:bCs/>
                <w:sz w:val="16"/>
                <w:szCs w:val="16"/>
              </w:rPr>
              <w:t>NO TRIBUTARIOS</w:t>
            </w:r>
          </w:p>
        </w:tc>
        <w:tc>
          <w:tcPr>
            <w:tcW w:w="393" w:type="pct"/>
            <w:gridSpan w:val="2"/>
            <w:tcBorders>
              <w:top w:val="nil"/>
              <w:left w:val="nil"/>
              <w:bottom w:val="single" w:sz="4" w:space="0" w:color="auto"/>
              <w:right w:val="single" w:sz="4" w:space="0" w:color="auto"/>
            </w:tcBorders>
            <w:noWrap/>
            <w:vAlign w:val="center"/>
            <w:hideMark/>
          </w:tcPr>
          <w:p w14:paraId="57EEE73F" w14:textId="77777777" w:rsidR="00033594" w:rsidRDefault="00033594">
            <w:pPr>
              <w:jc w:val="right"/>
              <w:rPr>
                <w:rFonts w:ascii="Arial" w:hAnsi="Arial" w:cs="Arial"/>
                <w:b/>
                <w:bCs/>
                <w:color w:val="000000"/>
                <w:sz w:val="16"/>
                <w:szCs w:val="16"/>
              </w:rPr>
            </w:pPr>
            <w:r>
              <w:rPr>
                <w:rFonts w:ascii="Arial" w:hAnsi="Arial" w:cs="Arial"/>
                <w:b/>
                <w:bCs/>
                <w:sz w:val="16"/>
                <w:szCs w:val="16"/>
              </w:rPr>
              <w:t>187.060</w:t>
            </w:r>
          </w:p>
        </w:tc>
        <w:tc>
          <w:tcPr>
            <w:tcW w:w="300" w:type="pct"/>
            <w:gridSpan w:val="2"/>
            <w:tcBorders>
              <w:top w:val="nil"/>
              <w:left w:val="nil"/>
              <w:bottom w:val="single" w:sz="4" w:space="0" w:color="auto"/>
              <w:right w:val="nil"/>
            </w:tcBorders>
          </w:tcPr>
          <w:p w14:paraId="032A3129" w14:textId="77777777" w:rsidR="00033594" w:rsidRDefault="00033594">
            <w:pPr>
              <w:jc w:val="right"/>
              <w:rPr>
                <w:rFonts w:ascii="Arial" w:hAnsi="Arial" w:cs="Arial"/>
                <w:b/>
                <w:bCs/>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04ACB123" w14:textId="77777777" w:rsidR="00033594" w:rsidRDefault="00033594">
            <w:pPr>
              <w:jc w:val="right"/>
              <w:rPr>
                <w:rFonts w:ascii="Arial" w:hAnsi="Arial" w:cs="Arial"/>
                <w:b/>
                <w:bCs/>
                <w:color w:val="000000"/>
                <w:sz w:val="16"/>
                <w:szCs w:val="16"/>
              </w:rPr>
            </w:pPr>
            <w:r>
              <w:rPr>
                <w:rFonts w:ascii="Arial" w:hAnsi="Arial" w:cs="Arial"/>
                <w:b/>
                <w:bCs/>
                <w:sz w:val="16"/>
                <w:szCs w:val="16"/>
              </w:rPr>
              <w:t>187.060</w:t>
            </w:r>
          </w:p>
        </w:tc>
        <w:tc>
          <w:tcPr>
            <w:tcW w:w="314" w:type="pct"/>
            <w:gridSpan w:val="2"/>
            <w:tcBorders>
              <w:top w:val="nil"/>
              <w:left w:val="nil"/>
              <w:bottom w:val="single" w:sz="4" w:space="0" w:color="auto"/>
              <w:right w:val="single" w:sz="4" w:space="0" w:color="auto"/>
            </w:tcBorders>
            <w:noWrap/>
            <w:vAlign w:val="center"/>
            <w:hideMark/>
          </w:tcPr>
          <w:p w14:paraId="70144AE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55898F4C"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194B28A9" w14:textId="77777777" w:rsidR="00033594" w:rsidRDefault="00033594">
            <w:pPr>
              <w:jc w:val="right"/>
              <w:rPr>
                <w:rFonts w:ascii="Arial" w:hAnsi="Arial" w:cs="Arial"/>
                <w:b/>
                <w:bCs/>
                <w:color w:val="000000"/>
                <w:sz w:val="16"/>
                <w:szCs w:val="16"/>
              </w:rPr>
            </w:pPr>
            <w:r>
              <w:rPr>
                <w:rFonts w:ascii="Arial" w:hAnsi="Arial" w:cs="Arial"/>
                <w:b/>
                <w:bCs/>
                <w:sz w:val="16"/>
                <w:szCs w:val="16"/>
              </w:rPr>
              <w:t>196.166</w:t>
            </w:r>
          </w:p>
        </w:tc>
        <w:tc>
          <w:tcPr>
            <w:tcW w:w="387" w:type="pct"/>
            <w:gridSpan w:val="2"/>
            <w:tcBorders>
              <w:top w:val="nil"/>
              <w:left w:val="nil"/>
              <w:bottom w:val="single" w:sz="4" w:space="0" w:color="auto"/>
              <w:right w:val="single" w:sz="4" w:space="0" w:color="auto"/>
            </w:tcBorders>
            <w:noWrap/>
            <w:vAlign w:val="center"/>
            <w:hideMark/>
          </w:tcPr>
          <w:p w14:paraId="73638AE5" w14:textId="77777777" w:rsidR="00033594" w:rsidRDefault="00033594">
            <w:pPr>
              <w:jc w:val="right"/>
              <w:rPr>
                <w:rFonts w:ascii="Arial" w:hAnsi="Arial" w:cs="Arial"/>
                <w:b/>
                <w:bCs/>
                <w:color w:val="000000"/>
                <w:sz w:val="16"/>
                <w:szCs w:val="16"/>
              </w:rPr>
            </w:pPr>
            <w:r>
              <w:rPr>
                <w:rFonts w:ascii="Arial" w:hAnsi="Arial" w:cs="Arial"/>
                <w:b/>
                <w:bCs/>
                <w:sz w:val="16"/>
                <w:szCs w:val="16"/>
              </w:rPr>
              <w:t>441.214</w:t>
            </w:r>
          </w:p>
        </w:tc>
        <w:tc>
          <w:tcPr>
            <w:tcW w:w="328" w:type="pct"/>
            <w:gridSpan w:val="2"/>
            <w:tcBorders>
              <w:top w:val="nil"/>
              <w:left w:val="nil"/>
              <w:bottom w:val="single" w:sz="4" w:space="0" w:color="auto"/>
              <w:right w:val="single" w:sz="4" w:space="0" w:color="auto"/>
            </w:tcBorders>
            <w:noWrap/>
            <w:vAlign w:val="center"/>
            <w:hideMark/>
          </w:tcPr>
          <w:p w14:paraId="4CD4798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0E4770D6"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2B1FB31F"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25717F18" w14:textId="77777777" w:rsidR="00033594" w:rsidRDefault="00033594">
            <w:pPr>
              <w:rPr>
                <w:rFonts w:ascii="Arial" w:hAnsi="Arial" w:cs="Arial"/>
                <w:color w:val="000000"/>
                <w:sz w:val="16"/>
                <w:szCs w:val="16"/>
              </w:rPr>
            </w:pPr>
            <w:r>
              <w:rPr>
                <w:rFonts w:ascii="Arial" w:hAnsi="Arial" w:cs="Arial"/>
                <w:sz w:val="16"/>
                <w:szCs w:val="16"/>
              </w:rPr>
              <w:t>VENTA DE SERVICIOS</w:t>
            </w:r>
          </w:p>
        </w:tc>
        <w:tc>
          <w:tcPr>
            <w:tcW w:w="393" w:type="pct"/>
            <w:gridSpan w:val="2"/>
            <w:tcBorders>
              <w:top w:val="nil"/>
              <w:left w:val="nil"/>
              <w:bottom w:val="single" w:sz="4" w:space="0" w:color="auto"/>
              <w:right w:val="single" w:sz="4" w:space="0" w:color="auto"/>
            </w:tcBorders>
            <w:noWrap/>
            <w:vAlign w:val="center"/>
            <w:hideMark/>
          </w:tcPr>
          <w:p w14:paraId="0E25739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0" w:type="pct"/>
            <w:gridSpan w:val="2"/>
            <w:tcBorders>
              <w:top w:val="nil"/>
              <w:left w:val="nil"/>
              <w:bottom w:val="single" w:sz="4" w:space="0" w:color="auto"/>
              <w:right w:val="nil"/>
            </w:tcBorders>
          </w:tcPr>
          <w:p w14:paraId="4DD13B35"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6ED92CA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4" w:type="pct"/>
            <w:gridSpan w:val="2"/>
            <w:tcBorders>
              <w:top w:val="nil"/>
              <w:left w:val="nil"/>
              <w:bottom w:val="single" w:sz="4" w:space="0" w:color="auto"/>
              <w:right w:val="single" w:sz="4" w:space="0" w:color="auto"/>
            </w:tcBorders>
            <w:noWrap/>
            <w:vAlign w:val="center"/>
            <w:hideMark/>
          </w:tcPr>
          <w:p w14:paraId="1C93F38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72F2D75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693CE9A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60DC3721"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28" w:type="pct"/>
            <w:gridSpan w:val="2"/>
            <w:tcBorders>
              <w:top w:val="nil"/>
              <w:left w:val="nil"/>
              <w:bottom w:val="single" w:sz="4" w:space="0" w:color="auto"/>
              <w:right w:val="single" w:sz="4" w:space="0" w:color="auto"/>
            </w:tcBorders>
            <w:noWrap/>
            <w:vAlign w:val="center"/>
            <w:hideMark/>
          </w:tcPr>
          <w:p w14:paraId="7B3BE52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43D3B050"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44E451C7"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7A277FBB" w14:textId="77777777" w:rsidR="00033594" w:rsidRDefault="00033594">
            <w:pPr>
              <w:rPr>
                <w:rFonts w:ascii="Arial" w:hAnsi="Arial" w:cs="Arial"/>
                <w:color w:val="000000"/>
                <w:sz w:val="16"/>
                <w:szCs w:val="16"/>
              </w:rPr>
            </w:pPr>
            <w:r>
              <w:rPr>
                <w:rFonts w:ascii="Arial" w:hAnsi="Arial" w:cs="Arial"/>
                <w:sz w:val="16"/>
                <w:szCs w:val="16"/>
              </w:rPr>
              <w:t>TASAS, MULTAS Y CONTRIBUCIONES (D.E)</w:t>
            </w:r>
          </w:p>
        </w:tc>
        <w:tc>
          <w:tcPr>
            <w:tcW w:w="393" w:type="pct"/>
            <w:gridSpan w:val="2"/>
            <w:tcBorders>
              <w:top w:val="nil"/>
              <w:left w:val="nil"/>
              <w:bottom w:val="single" w:sz="4" w:space="0" w:color="auto"/>
              <w:right w:val="single" w:sz="4" w:space="0" w:color="auto"/>
            </w:tcBorders>
            <w:noWrap/>
            <w:vAlign w:val="center"/>
            <w:hideMark/>
          </w:tcPr>
          <w:p w14:paraId="585C101C" w14:textId="77777777" w:rsidR="00033594" w:rsidRDefault="00033594">
            <w:pPr>
              <w:jc w:val="right"/>
              <w:rPr>
                <w:rFonts w:ascii="Arial" w:hAnsi="Arial" w:cs="Arial"/>
                <w:color w:val="000000"/>
                <w:sz w:val="16"/>
                <w:szCs w:val="16"/>
              </w:rPr>
            </w:pPr>
            <w:r>
              <w:rPr>
                <w:rFonts w:ascii="Arial" w:hAnsi="Arial" w:cs="Arial"/>
                <w:sz w:val="16"/>
                <w:szCs w:val="16"/>
              </w:rPr>
              <w:t>187.060</w:t>
            </w:r>
          </w:p>
        </w:tc>
        <w:tc>
          <w:tcPr>
            <w:tcW w:w="300" w:type="pct"/>
            <w:gridSpan w:val="2"/>
            <w:tcBorders>
              <w:top w:val="nil"/>
              <w:left w:val="nil"/>
              <w:bottom w:val="single" w:sz="4" w:space="0" w:color="auto"/>
              <w:right w:val="nil"/>
            </w:tcBorders>
          </w:tcPr>
          <w:p w14:paraId="5EE2E0A8"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40D168BE" w14:textId="77777777" w:rsidR="00033594" w:rsidRDefault="00033594">
            <w:pPr>
              <w:jc w:val="right"/>
              <w:rPr>
                <w:rFonts w:ascii="Arial" w:hAnsi="Arial" w:cs="Arial"/>
                <w:color w:val="000000"/>
                <w:sz w:val="16"/>
                <w:szCs w:val="16"/>
              </w:rPr>
            </w:pPr>
            <w:r>
              <w:rPr>
                <w:rFonts w:ascii="Arial" w:hAnsi="Arial" w:cs="Arial"/>
                <w:sz w:val="16"/>
                <w:szCs w:val="16"/>
              </w:rPr>
              <w:t>187.060</w:t>
            </w:r>
          </w:p>
        </w:tc>
        <w:tc>
          <w:tcPr>
            <w:tcW w:w="314" w:type="pct"/>
            <w:gridSpan w:val="2"/>
            <w:tcBorders>
              <w:top w:val="nil"/>
              <w:left w:val="nil"/>
              <w:bottom w:val="single" w:sz="4" w:space="0" w:color="auto"/>
              <w:right w:val="single" w:sz="4" w:space="0" w:color="auto"/>
            </w:tcBorders>
            <w:noWrap/>
            <w:vAlign w:val="center"/>
            <w:hideMark/>
          </w:tcPr>
          <w:p w14:paraId="3CAC277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33724C3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42E34B06" w14:textId="77777777" w:rsidR="00033594" w:rsidRDefault="00033594">
            <w:pPr>
              <w:jc w:val="right"/>
              <w:rPr>
                <w:rFonts w:ascii="Arial" w:hAnsi="Arial" w:cs="Arial"/>
                <w:color w:val="000000"/>
                <w:sz w:val="16"/>
                <w:szCs w:val="16"/>
              </w:rPr>
            </w:pPr>
            <w:r>
              <w:rPr>
                <w:rFonts w:ascii="Arial" w:hAnsi="Arial" w:cs="Arial"/>
                <w:sz w:val="16"/>
                <w:szCs w:val="16"/>
              </w:rPr>
              <w:t>192.729</w:t>
            </w:r>
          </w:p>
        </w:tc>
        <w:tc>
          <w:tcPr>
            <w:tcW w:w="387" w:type="pct"/>
            <w:gridSpan w:val="2"/>
            <w:tcBorders>
              <w:top w:val="nil"/>
              <w:left w:val="nil"/>
              <w:bottom w:val="single" w:sz="4" w:space="0" w:color="auto"/>
              <w:right w:val="single" w:sz="4" w:space="0" w:color="auto"/>
            </w:tcBorders>
            <w:noWrap/>
            <w:vAlign w:val="center"/>
            <w:hideMark/>
          </w:tcPr>
          <w:p w14:paraId="24C20BFC" w14:textId="77777777" w:rsidR="00033594" w:rsidRDefault="00033594">
            <w:pPr>
              <w:jc w:val="right"/>
              <w:rPr>
                <w:rFonts w:ascii="Arial" w:hAnsi="Arial" w:cs="Arial"/>
                <w:color w:val="000000"/>
                <w:sz w:val="16"/>
                <w:szCs w:val="16"/>
              </w:rPr>
            </w:pPr>
            <w:r>
              <w:rPr>
                <w:rFonts w:ascii="Arial" w:hAnsi="Arial" w:cs="Arial"/>
                <w:sz w:val="16"/>
                <w:szCs w:val="16"/>
              </w:rPr>
              <w:t>437.748</w:t>
            </w:r>
          </w:p>
        </w:tc>
        <w:tc>
          <w:tcPr>
            <w:tcW w:w="328" w:type="pct"/>
            <w:gridSpan w:val="2"/>
            <w:tcBorders>
              <w:top w:val="nil"/>
              <w:left w:val="nil"/>
              <w:bottom w:val="single" w:sz="4" w:space="0" w:color="auto"/>
              <w:right w:val="single" w:sz="4" w:space="0" w:color="auto"/>
            </w:tcBorders>
            <w:noWrap/>
            <w:vAlign w:val="center"/>
            <w:hideMark/>
          </w:tcPr>
          <w:p w14:paraId="43527E1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4EBD07E2"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0CD28F60"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06220F9F" w14:textId="77777777" w:rsidR="00033594" w:rsidRDefault="00033594">
            <w:pPr>
              <w:rPr>
                <w:rFonts w:ascii="Arial" w:hAnsi="Arial" w:cs="Arial"/>
                <w:color w:val="000000"/>
                <w:sz w:val="16"/>
                <w:szCs w:val="16"/>
              </w:rPr>
            </w:pPr>
            <w:r>
              <w:rPr>
                <w:rFonts w:ascii="Arial" w:hAnsi="Arial" w:cs="Arial"/>
                <w:sz w:val="16"/>
                <w:szCs w:val="16"/>
              </w:rPr>
              <w:t>OTROS INGRESOS</w:t>
            </w:r>
          </w:p>
        </w:tc>
        <w:tc>
          <w:tcPr>
            <w:tcW w:w="393" w:type="pct"/>
            <w:gridSpan w:val="2"/>
            <w:tcBorders>
              <w:top w:val="nil"/>
              <w:left w:val="nil"/>
              <w:bottom w:val="single" w:sz="4" w:space="0" w:color="auto"/>
              <w:right w:val="single" w:sz="4" w:space="0" w:color="auto"/>
            </w:tcBorders>
            <w:noWrap/>
            <w:vAlign w:val="center"/>
            <w:hideMark/>
          </w:tcPr>
          <w:p w14:paraId="63BDEF7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0" w:type="pct"/>
            <w:gridSpan w:val="2"/>
            <w:tcBorders>
              <w:top w:val="nil"/>
              <w:left w:val="nil"/>
              <w:bottom w:val="single" w:sz="4" w:space="0" w:color="auto"/>
              <w:right w:val="nil"/>
            </w:tcBorders>
          </w:tcPr>
          <w:p w14:paraId="0897DA75"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44A47F8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4" w:type="pct"/>
            <w:gridSpan w:val="2"/>
            <w:tcBorders>
              <w:top w:val="nil"/>
              <w:left w:val="nil"/>
              <w:bottom w:val="single" w:sz="4" w:space="0" w:color="auto"/>
              <w:right w:val="single" w:sz="4" w:space="0" w:color="auto"/>
            </w:tcBorders>
            <w:noWrap/>
            <w:vAlign w:val="center"/>
            <w:hideMark/>
          </w:tcPr>
          <w:p w14:paraId="75BCA99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61C3005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10F1C907" w14:textId="77777777" w:rsidR="00033594" w:rsidRDefault="00033594">
            <w:pPr>
              <w:jc w:val="right"/>
              <w:rPr>
                <w:rFonts w:ascii="Arial" w:hAnsi="Arial" w:cs="Arial"/>
                <w:color w:val="000000"/>
                <w:sz w:val="16"/>
                <w:szCs w:val="16"/>
              </w:rPr>
            </w:pPr>
            <w:r>
              <w:rPr>
                <w:rFonts w:ascii="Arial" w:hAnsi="Arial" w:cs="Arial"/>
                <w:sz w:val="16"/>
                <w:szCs w:val="16"/>
              </w:rPr>
              <w:t>3.437</w:t>
            </w:r>
          </w:p>
        </w:tc>
        <w:tc>
          <w:tcPr>
            <w:tcW w:w="387" w:type="pct"/>
            <w:gridSpan w:val="2"/>
            <w:tcBorders>
              <w:top w:val="nil"/>
              <w:left w:val="nil"/>
              <w:bottom w:val="single" w:sz="4" w:space="0" w:color="auto"/>
              <w:right w:val="single" w:sz="4" w:space="0" w:color="auto"/>
            </w:tcBorders>
            <w:noWrap/>
            <w:vAlign w:val="center"/>
            <w:hideMark/>
          </w:tcPr>
          <w:p w14:paraId="26B9D1D5" w14:textId="77777777" w:rsidR="00033594" w:rsidRDefault="00033594">
            <w:pPr>
              <w:jc w:val="right"/>
              <w:rPr>
                <w:rFonts w:ascii="Arial" w:hAnsi="Arial" w:cs="Arial"/>
                <w:color w:val="000000"/>
                <w:sz w:val="16"/>
                <w:szCs w:val="16"/>
              </w:rPr>
            </w:pPr>
            <w:r>
              <w:rPr>
                <w:rFonts w:ascii="Arial" w:hAnsi="Arial" w:cs="Arial"/>
                <w:sz w:val="16"/>
                <w:szCs w:val="16"/>
              </w:rPr>
              <w:t>3.466</w:t>
            </w:r>
          </w:p>
        </w:tc>
        <w:tc>
          <w:tcPr>
            <w:tcW w:w="328" w:type="pct"/>
            <w:gridSpan w:val="2"/>
            <w:tcBorders>
              <w:top w:val="nil"/>
              <w:left w:val="nil"/>
              <w:bottom w:val="single" w:sz="4" w:space="0" w:color="auto"/>
              <w:right w:val="single" w:sz="4" w:space="0" w:color="auto"/>
            </w:tcBorders>
            <w:noWrap/>
            <w:vAlign w:val="center"/>
            <w:hideMark/>
          </w:tcPr>
          <w:p w14:paraId="41B3AC6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24E8AA1B"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79F8D5B3"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04D306E2" w14:textId="77777777" w:rsidR="00033594" w:rsidRDefault="00033594">
            <w:pPr>
              <w:rPr>
                <w:rFonts w:ascii="Arial" w:hAnsi="Arial" w:cs="Arial"/>
                <w:b/>
                <w:bCs/>
                <w:color w:val="000000"/>
                <w:sz w:val="16"/>
                <w:szCs w:val="16"/>
              </w:rPr>
            </w:pPr>
            <w:r>
              <w:rPr>
                <w:rFonts w:ascii="Arial" w:hAnsi="Arial" w:cs="Arial"/>
                <w:b/>
                <w:bCs/>
                <w:sz w:val="16"/>
                <w:szCs w:val="16"/>
              </w:rPr>
              <w:t>RECURSOS DE CAPITAL</w:t>
            </w:r>
          </w:p>
        </w:tc>
        <w:tc>
          <w:tcPr>
            <w:tcW w:w="393" w:type="pct"/>
            <w:gridSpan w:val="2"/>
            <w:tcBorders>
              <w:top w:val="nil"/>
              <w:left w:val="nil"/>
              <w:bottom w:val="single" w:sz="4" w:space="0" w:color="auto"/>
              <w:right w:val="single" w:sz="4" w:space="0" w:color="auto"/>
            </w:tcBorders>
            <w:noWrap/>
            <w:vAlign w:val="center"/>
            <w:hideMark/>
          </w:tcPr>
          <w:p w14:paraId="2EBBB7A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0" w:type="pct"/>
            <w:gridSpan w:val="2"/>
            <w:tcBorders>
              <w:top w:val="nil"/>
              <w:left w:val="nil"/>
              <w:bottom w:val="single" w:sz="4" w:space="0" w:color="auto"/>
              <w:right w:val="nil"/>
            </w:tcBorders>
          </w:tcPr>
          <w:p w14:paraId="7280B025"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4DF263A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4" w:type="pct"/>
            <w:gridSpan w:val="2"/>
            <w:tcBorders>
              <w:top w:val="nil"/>
              <w:left w:val="nil"/>
              <w:bottom w:val="single" w:sz="4" w:space="0" w:color="auto"/>
              <w:right w:val="single" w:sz="4" w:space="0" w:color="auto"/>
            </w:tcBorders>
            <w:noWrap/>
            <w:vAlign w:val="center"/>
            <w:hideMark/>
          </w:tcPr>
          <w:p w14:paraId="66E6641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2F99F549"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4063B6D4" w14:textId="77777777" w:rsidR="00033594" w:rsidRDefault="00033594">
            <w:pPr>
              <w:jc w:val="right"/>
              <w:rPr>
                <w:rFonts w:ascii="Arial" w:hAnsi="Arial" w:cs="Arial"/>
                <w:b/>
                <w:bCs/>
                <w:color w:val="000000"/>
                <w:sz w:val="16"/>
                <w:szCs w:val="16"/>
              </w:rPr>
            </w:pPr>
            <w:r>
              <w:rPr>
                <w:rFonts w:ascii="Arial" w:hAnsi="Arial" w:cs="Arial"/>
                <w:b/>
                <w:bCs/>
                <w:sz w:val="16"/>
                <w:szCs w:val="16"/>
              </w:rPr>
              <w:t>75</w:t>
            </w:r>
          </w:p>
        </w:tc>
        <w:tc>
          <w:tcPr>
            <w:tcW w:w="387" w:type="pct"/>
            <w:gridSpan w:val="2"/>
            <w:tcBorders>
              <w:top w:val="nil"/>
              <w:left w:val="nil"/>
              <w:bottom w:val="single" w:sz="4" w:space="0" w:color="auto"/>
              <w:right w:val="single" w:sz="4" w:space="0" w:color="auto"/>
            </w:tcBorders>
            <w:noWrap/>
            <w:vAlign w:val="center"/>
            <w:hideMark/>
          </w:tcPr>
          <w:p w14:paraId="4C69BD87" w14:textId="77777777" w:rsidR="00033594" w:rsidRDefault="00033594">
            <w:pPr>
              <w:jc w:val="right"/>
              <w:rPr>
                <w:rFonts w:ascii="Arial" w:hAnsi="Arial" w:cs="Arial"/>
                <w:b/>
                <w:bCs/>
                <w:color w:val="000000"/>
                <w:sz w:val="16"/>
                <w:szCs w:val="16"/>
              </w:rPr>
            </w:pPr>
            <w:r>
              <w:rPr>
                <w:rFonts w:ascii="Arial" w:hAnsi="Arial" w:cs="Arial"/>
                <w:b/>
                <w:bCs/>
                <w:sz w:val="16"/>
                <w:szCs w:val="16"/>
              </w:rPr>
              <w:t>159</w:t>
            </w:r>
          </w:p>
        </w:tc>
        <w:tc>
          <w:tcPr>
            <w:tcW w:w="328" w:type="pct"/>
            <w:gridSpan w:val="2"/>
            <w:tcBorders>
              <w:top w:val="nil"/>
              <w:left w:val="nil"/>
              <w:bottom w:val="single" w:sz="4" w:space="0" w:color="auto"/>
              <w:right w:val="single" w:sz="4" w:space="0" w:color="auto"/>
            </w:tcBorders>
            <w:noWrap/>
            <w:vAlign w:val="center"/>
            <w:hideMark/>
          </w:tcPr>
          <w:p w14:paraId="0F98CE1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74263CD6"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28403211"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5A2B2CE3" w14:textId="77777777" w:rsidR="00033594" w:rsidRDefault="00033594">
            <w:pPr>
              <w:rPr>
                <w:rFonts w:ascii="Arial" w:hAnsi="Arial" w:cs="Arial"/>
                <w:color w:val="000000"/>
                <w:sz w:val="16"/>
                <w:szCs w:val="16"/>
              </w:rPr>
            </w:pPr>
            <w:r>
              <w:rPr>
                <w:rFonts w:ascii="Arial" w:hAnsi="Arial" w:cs="Arial"/>
                <w:sz w:val="16"/>
                <w:szCs w:val="16"/>
              </w:rPr>
              <w:t>RENDIMIENTOS FINANCIEROS</w:t>
            </w:r>
          </w:p>
        </w:tc>
        <w:tc>
          <w:tcPr>
            <w:tcW w:w="393" w:type="pct"/>
            <w:gridSpan w:val="2"/>
            <w:tcBorders>
              <w:top w:val="nil"/>
              <w:left w:val="nil"/>
              <w:bottom w:val="single" w:sz="4" w:space="0" w:color="auto"/>
              <w:right w:val="single" w:sz="4" w:space="0" w:color="auto"/>
            </w:tcBorders>
            <w:noWrap/>
            <w:vAlign w:val="center"/>
            <w:hideMark/>
          </w:tcPr>
          <w:p w14:paraId="4565D9D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0" w:type="pct"/>
            <w:gridSpan w:val="2"/>
            <w:tcBorders>
              <w:top w:val="nil"/>
              <w:left w:val="nil"/>
              <w:bottom w:val="single" w:sz="4" w:space="0" w:color="auto"/>
              <w:right w:val="nil"/>
            </w:tcBorders>
          </w:tcPr>
          <w:p w14:paraId="6F6374C8"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55840EC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4" w:type="pct"/>
            <w:gridSpan w:val="2"/>
            <w:tcBorders>
              <w:top w:val="nil"/>
              <w:left w:val="nil"/>
              <w:bottom w:val="single" w:sz="4" w:space="0" w:color="auto"/>
              <w:right w:val="single" w:sz="4" w:space="0" w:color="auto"/>
            </w:tcBorders>
            <w:noWrap/>
            <w:vAlign w:val="center"/>
            <w:hideMark/>
          </w:tcPr>
          <w:p w14:paraId="46378DF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5C4EBE0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53DD2FAB" w14:textId="77777777" w:rsidR="00033594" w:rsidRDefault="00033594">
            <w:pPr>
              <w:jc w:val="right"/>
              <w:rPr>
                <w:rFonts w:ascii="Arial" w:hAnsi="Arial" w:cs="Arial"/>
                <w:color w:val="000000"/>
                <w:sz w:val="16"/>
                <w:szCs w:val="16"/>
              </w:rPr>
            </w:pPr>
            <w:r>
              <w:rPr>
                <w:rFonts w:ascii="Arial" w:hAnsi="Arial" w:cs="Arial"/>
                <w:sz w:val="16"/>
                <w:szCs w:val="16"/>
              </w:rPr>
              <w:t>75</w:t>
            </w:r>
          </w:p>
        </w:tc>
        <w:tc>
          <w:tcPr>
            <w:tcW w:w="387" w:type="pct"/>
            <w:gridSpan w:val="2"/>
            <w:tcBorders>
              <w:top w:val="nil"/>
              <w:left w:val="nil"/>
              <w:bottom w:val="single" w:sz="4" w:space="0" w:color="auto"/>
              <w:right w:val="single" w:sz="4" w:space="0" w:color="auto"/>
            </w:tcBorders>
            <w:noWrap/>
            <w:vAlign w:val="center"/>
            <w:hideMark/>
          </w:tcPr>
          <w:p w14:paraId="677A8923" w14:textId="77777777" w:rsidR="00033594" w:rsidRDefault="00033594">
            <w:pPr>
              <w:jc w:val="right"/>
              <w:rPr>
                <w:rFonts w:ascii="Arial" w:hAnsi="Arial" w:cs="Arial"/>
                <w:color w:val="000000"/>
                <w:sz w:val="16"/>
                <w:szCs w:val="16"/>
              </w:rPr>
            </w:pPr>
            <w:r>
              <w:rPr>
                <w:rFonts w:ascii="Arial" w:hAnsi="Arial" w:cs="Arial"/>
                <w:sz w:val="16"/>
                <w:szCs w:val="16"/>
              </w:rPr>
              <w:t>159</w:t>
            </w:r>
          </w:p>
        </w:tc>
        <w:tc>
          <w:tcPr>
            <w:tcW w:w="328" w:type="pct"/>
            <w:gridSpan w:val="2"/>
            <w:tcBorders>
              <w:top w:val="nil"/>
              <w:left w:val="nil"/>
              <w:bottom w:val="single" w:sz="4" w:space="0" w:color="auto"/>
              <w:right w:val="single" w:sz="4" w:space="0" w:color="auto"/>
            </w:tcBorders>
            <w:noWrap/>
            <w:vAlign w:val="center"/>
            <w:hideMark/>
          </w:tcPr>
          <w:p w14:paraId="62EBF1A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10A1BF9A"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32828EBE"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41CD75B7" w14:textId="77777777" w:rsidR="00033594" w:rsidRDefault="00033594">
            <w:pPr>
              <w:rPr>
                <w:rFonts w:ascii="Arial" w:hAnsi="Arial" w:cs="Arial"/>
                <w:b/>
                <w:bCs/>
                <w:color w:val="000000"/>
                <w:sz w:val="16"/>
                <w:szCs w:val="16"/>
              </w:rPr>
            </w:pPr>
            <w:r>
              <w:rPr>
                <w:rFonts w:ascii="Arial" w:hAnsi="Arial" w:cs="Arial"/>
                <w:b/>
                <w:bCs/>
                <w:sz w:val="16"/>
                <w:szCs w:val="16"/>
              </w:rPr>
              <w:lastRenderedPageBreak/>
              <w:t>RECURSOS DEL BALANCE</w:t>
            </w:r>
          </w:p>
        </w:tc>
        <w:tc>
          <w:tcPr>
            <w:tcW w:w="393" w:type="pct"/>
            <w:gridSpan w:val="2"/>
            <w:tcBorders>
              <w:top w:val="nil"/>
              <w:left w:val="nil"/>
              <w:bottom w:val="single" w:sz="4" w:space="0" w:color="auto"/>
              <w:right w:val="single" w:sz="4" w:space="0" w:color="auto"/>
            </w:tcBorders>
            <w:noWrap/>
            <w:vAlign w:val="center"/>
            <w:hideMark/>
          </w:tcPr>
          <w:p w14:paraId="0229C886" w14:textId="77777777" w:rsidR="00033594" w:rsidRDefault="00033594">
            <w:pPr>
              <w:jc w:val="right"/>
              <w:rPr>
                <w:rFonts w:ascii="Arial" w:hAnsi="Arial" w:cs="Arial"/>
                <w:b/>
                <w:bCs/>
                <w:color w:val="000000"/>
                <w:sz w:val="16"/>
                <w:szCs w:val="16"/>
              </w:rPr>
            </w:pPr>
            <w:r>
              <w:rPr>
                <w:rFonts w:ascii="Arial" w:hAnsi="Arial" w:cs="Arial"/>
                <w:b/>
                <w:bCs/>
                <w:sz w:val="16"/>
                <w:szCs w:val="16"/>
              </w:rPr>
              <w:t>452.722</w:t>
            </w:r>
          </w:p>
        </w:tc>
        <w:tc>
          <w:tcPr>
            <w:tcW w:w="300" w:type="pct"/>
            <w:gridSpan w:val="2"/>
            <w:tcBorders>
              <w:top w:val="nil"/>
              <w:left w:val="nil"/>
              <w:bottom w:val="single" w:sz="4" w:space="0" w:color="auto"/>
              <w:right w:val="nil"/>
            </w:tcBorders>
          </w:tcPr>
          <w:p w14:paraId="17FE6465" w14:textId="77777777" w:rsidR="00033594" w:rsidRDefault="00033594">
            <w:pPr>
              <w:jc w:val="right"/>
              <w:rPr>
                <w:rFonts w:ascii="Arial" w:hAnsi="Arial" w:cs="Arial"/>
                <w:b/>
                <w:bCs/>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155E3483" w14:textId="77777777" w:rsidR="00033594" w:rsidRDefault="00033594">
            <w:pPr>
              <w:jc w:val="right"/>
              <w:rPr>
                <w:rFonts w:ascii="Arial" w:hAnsi="Arial" w:cs="Arial"/>
                <w:b/>
                <w:bCs/>
                <w:color w:val="000000"/>
                <w:sz w:val="16"/>
                <w:szCs w:val="16"/>
              </w:rPr>
            </w:pPr>
            <w:r>
              <w:rPr>
                <w:rFonts w:ascii="Arial" w:hAnsi="Arial" w:cs="Arial"/>
                <w:b/>
                <w:bCs/>
                <w:sz w:val="16"/>
                <w:szCs w:val="16"/>
              </w:rPr>
              <w:t>452.722</w:t>
            </w:r>
          </w:p>
        </w:tc>
        <w:tc>
          <w:tcPr>
            <w:tcW w:w="314" w:type="pct"/>
            <w:gridSpan w:val="2"/>
            <w:tcBorders>
              <w:top w:val="nil"/>
              <w:left w:val="nil"/>
              <w:bottom w:val="single" w:sz="4" w:space="0" w:color="auto"/>
              <w:right w:val="single" w:sz="4" w:space="0" w:color="auto"/>
            </w:tcBorders>
            <w:noWrap/>
            <w:vAlign w:val="center"/>
            <w:hideMark/>
          </w:tcPr>
          <w:p w14:paraId="5A114A7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6461F4D8"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1CFADEDC" w14:textId="77777777" w:rsidR="00033594" w:rsidRDefault="00033594">
            <w:pPr>
              <w:jc w:val="right"/>
              <w:rPr>
                <w:rFonts w:ascii="Arial" w:hAnsi="Arial" w:cs="Arial"/>
                <w:b/>
                <w:bCs/>
                <w:color w:val="000000"/>
                <w:sz w:val="16"/>
                <w:szCs w:val="16"/>
              </w:rPr>
            </w:pPr>
            <w:r>
              <w:rPr>
                <w:rFonts w:ascii="Arial" w:hAnsi="Arial" w:cs="Arial"/>
                <w:b/>
                <w:bCs/>
                <w:sz w:val="16"/>
                <w:szCs w:val="16"/>
              </w:rPr>
              <w:t>453.187</w:t>
            </w:r>
          </w:p>
        </w:tc>
        <w:tc>
          <w:tcPr>
            <w:tcW w:w="387" w:type="pct"/>
            <w:gridSpan w:val="2"/>
            <w:tcBorders>
              <w:top w:val="nil"/>
              <w:left w:val="nil"/>
              <w:bottom w:val="single" w:sz="4" w:space="0" w:color="auto"/>
              <w:right w:val="single" w:sz="4" w:space="0" w:color="auto"/>
            </w:tcBorders>
            <w:noWrap/>
            <w:vAlign w:val="center"/>
            <w:hideMark/>
          </w:tcPr>
          <w:p w14:paraId="5F444FF9" w14:textId="77777777" w:rsidR="00033594" w:rsidRDefault="00033594">
            <w:pPr>
              <w:jc w:val="right"/>
              <w:rPr>
                <w:rFonts w:ascii="Arial" w:hAnsi="Arial" w:cs="Arial"/>
                <w:b/>
                <w:bCs/>
                <w:color w:val="000000"/>
                <w:sz w:val="16"/>
                <w:szCs w:val="16"/>
              </w:rPr>
            </w:pPr>
            <w:r>
              <w:rPr>
                <w:rFonts w:ascii="Arial" w:hAnsi="Arial" w:cs="Arial"/>
                <w:b/>
                <w:bCs/>
                <w:sz w:val="16"/>
                <w:szCs w:val="16"/>
              </w:rPr>
              <w:t>453.559</w:t>
            </w:r>
          </w:p>
        </w:tc>
        <w:tc>
          <w:tcPr>
            <w:tcW w:w="328" w:type="pct"/>
            <w:gridSpan w:val="2"/>
            <w:tcBorders>
              <w:top w:val="nil"/>
              <w:left w:val="nil"/>
              <w:bottom w:val="single" w:sz="4" w:space="0" w:color="auto"/>
              <w:right w:val="single" w:sz="4" w:space="0" w:color="auto"/>
            </w:tcBorders>
            <w:noWrap/>
            <w:vAlign w:val="center"/>
            <w:hideMark/>
          </w:tcPr>
          <w:p w14:paraId="5ABCEA2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1C70E80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1B1A4B8D" w14:textId="77777777" w:rsidTr="00033594">
        <w:trPr>
          <w:trHeight w:val="300"/>
        </w:trPr>
        <w:tc>
          <w:tcPr>
            <w:tcW w:w="1815" w:type="pct"/>
            <w:tcBorders>
              <w:top w:val="nil"/>
              <w:left w:val="single" w:sz="4" w:space="0" w:color="auto"/>
              <w:bottom w:val="single" w:sz="4" w:space="0" w:color="auto"/>
              <w:right w:val="single" w:sz="4" w:space="0" w:color="auto"/>
            </w:tcBorders>
            <w:noWrap/>
            <w:vAlign w:val="center"/>
            <w:hideMark/>
          </w:tcPr>
          <w:p w14:paraId="55AAD0F6" w14:textId="77777777" w:rsidR="00033594" w:rsidRDefault="00033594">
            <w:pPr>
              <w:rPr>
                <w:rFonts w:ascii="Arial" w:hAnsi="Arial" w:cs="Arial"/>
                <w:color w:val="000000"/>
                <w:sz w:val="16"/>
                <w:szCs w:val="16"/>
              </w:rPr>
            </w:pPr>
            <w:r>
              <w:rPr>
                <w:rFonts w:ascii="Arial" w:hAnsi="Arial" w:cs="Arial"/>
                <w:sz w:val="16"/>
                <w:szCs w:val="16"/>
              </w:rPr>
              <w:t>VENTA DE ACTIVOS</w:t>
            </w:r>
          </w:p>
        </w:tc>
        <w:tc>
          <w:tcPr>
            <w:tcW w:w="393" w:type="pct"/>
            <w:gridSpan w:val="2"/>
            <w:tcBorders>
              <w:top w:val="nil"/>
              <w:left w:val="nil"/>
              <w:bottom w:val="single" w:sz="4" w:space="0" w:color="auto"/>
              <w:right w:val="single" w:sz="4" w:space="0" w:color="auto"/>
            </w:tcBorders>
            <w:noWrap/>
            <w:vAlign w:val="center"/>
            <w:hideMark/>
          </w:tcPr>
          <w:p w14:paraId="151F413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0" w:type="pct"/>
            <w:gridSpan w:val="2"/>
            <w:tcBorders>
              <w:top w:val="nil"/>
              <w:left w:val="nil"/>
              <w:bottom w:val="single" w:sz="4" w:space="0" w:color="auto"/>
              <w:right w:val="nil"/>
            </w:tcBorders>
          </w:tcPr>
          <w:p w14:paraId="6B159845"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367F7F3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4" w:type="pct"/>
            <w:gridSpan w:val="2"/>
            <w:tcBorders>
              <w:top w:val="nil"/>
              <w:left w:val="nil"/>
              <w:bottom w:val="single" w:sz="4" w:space="0" w:color="auto"/>
              <w:right w:val="single" w:sz="4" w:space="0" w:color="auto"/>
            </w:tcBorders>
            <w:noWrap/>
            <w:vAlign w:val="center"/>
            <w:hideMark/>
          </w:tcPr>
          <w:p w14:paraId="5440F77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5B635651"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0CF34E7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6D15504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28" w:type="pct"/>
            <w:gridSpan w:val="2"/>
            <w:tcBorders>
              <w:top w:val="nil"/>
              <w:left w:val="nil"/>
              <w:bottom w:val="single" w:sz="4" w:space="0" w:color="auto"/>
              <w:right w:val="single" w:sz="4" w:space="0" w:color="auto"/>
            </w:tcBorders>
            <w:noWrap/>
            <w:vAlign w:val="center"/>
            <w:hideMark/>
          </w:tcPr>
          <w:p w14:paraId="65B52D4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7296B7E9"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2C94D85B" w14:textId="77777777" w:rsidTr="00033594">
        <w:trPr>
          <w:trHeight w:val="450"/>
        </w:trPr>
        <w:tc>
          <w:tcPr>
            <w:tcW w:w="1815" w:type="pct"/>
            <w:tcBorders>
              <w:top w:val="nil"/>
              <w:left w:val="single" w:sz="4" w:space="0" w:color="auto"/>
              <w:bottom w:val="single" w:sz="4" w:space="0" w:color="auto"/>
              <w:right w:val="single" w:sz="4" w:space="0" w:color="auto"/>
            </w:tcBorders>
            <w:vAlign w:val="center"/>
            <w:hideMark/>
          </w:tcPr>
          <w:p w14:paraId="5AD114E5" w14:textId="77777777" w:rsidR="00033594" w:rsidRDefault="00033594">
            <w:pPr>
              <w:rPr>
                <w:rFonts w:ascii="Arial" w:hAnsi="Arial" w:cs="Arial"/>
                <w:color w:val="000000"/>
                <w:sz w:val="16"/>
                <w:szCs w:val="16"/>
              </w:rPr>
            </w:pPr>
            <w:r>
              <w:rPr>
                <w:rFonts w:ascii="Arial" w:hAnsi="Arial" w:cs="Arial"/>
                <w:sz w:val="16"/>
                <w:szCs w:val="16"/>
              </w:rPr>
              <w:t>OTROS RECURSOS DEL BALANCE (INT.MORA)</w:t>
            </w:r>
          </w:p>
        </w:tc>
        <w:tc>
          <w:tcPr>
            <w:tcW w:w="393" w:type="pct"/>
            <w:gridSpan w:val="2"/>
            <w:tcBorders>
              <w:top w:val="nil"/>
              <w:left w:val="nil"/>
              <w:bottom w:val="single" w:sz="4" w:space="0" w:color="auto"/>
              <w:right w:val="single" w:sz="4" w:space="0" w:color="auto"/>
            </w:tcBorders>
            <w:noWrap/>
            <w:vAlign w:val="center"/>
            <w:hideMark/>
          </w:tcPr>
          <w:p w14:paraId="221B89A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0" w:type="pct"/>
            <w:gridSpan w:val="2"/>
            <w:tcBorders>
              <w:top w:val="nil"/>
              <w:left w:val="nil"/>
              <w:bottom w:val="single" w:sz="4" w:space="0" w:color="auto"/>
              <w:right w:val="nil"/>
            </w:tcBorders>
          </w:tcPr>
          <w:p w14:paraId="157BC9AC"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48F4795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4" w:type="pct"/>
            <w:gridSpan w:val="2"/>
            <w:tcBorders>
              <w:top w:val="nil"/>
              <w:left w:val="nil"/>
              <w:bottom w:val="single" w:sz="4" w:space="0" w:color="auto"/>
              <w:right w:val="single" w:sz="4" w:space="0" w:color="auto"/>
            </w:tcBorders>
            <w:noWrap/>
            <w:vAlign w:val="center"/>
            <w:hideMark/>
          </w:tcPr>
          <w:p w14:paraId="65DFDEB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5870D439"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7B8A6732" w14:textId="77777777" w:rsidR="00033594" w:rsidRDefault="00033594">
            <w:pPr>
              <w:jc w:val="right"/>
              <w:rPr>
                <w:rFonts w:ascii="Arial" w:hAnsi="Arial" w:cs="Arial"/>
                <w:color w:val="000000"/>
                <w:sz w:val="16"/>
                <w:szCs w:val="16"/>
              </w:rPr>
            </w:pPr>
            <w:r>
              <w:rPr>
                <w:rFonts w:ascii="Arial" w:hAnsi="Arial" w:cs="Arial"/>
                <w:sz w:val="16"/>
                <w:szCs w:val="16"/>
              </w:rPr>
              <w:t>465</w:t>
            </w:r>
          </w:p>
        </w:tc>
        <w:tc>
          <w:tcPr>
            <w:tcW w:w="387" w:type="pct"/>
            <w:gridSpan w:val="2"/>
            <w:tcBorders>
              <w:top w:val="nil"/>
              <w:left w:val="nil"/>
              <w:bottom w:val="single" w:sz="4" w:space="0" w:color="auto"/>
              <w:right w:val="single" w:sz="4" w:space="0" w:color="auto"/>
            </w:tcBorders>
            <w:noWrap/>
            <w:vAlign w:val="center"/>
            <w:hideMark/>
          </w:tcPr>
          <w:p w14:paraId="07A5D6DD" w14:textId="77777777" w:rsidR="00033594" w:rsidRDefault="00033594">
            <w:pPr>
              <w:jc w:val="right"/>
              <w:rPr>
                <w:rFonts w:ascii="Arial" w:hAnsi="Arial" w:cs="Arial"/>
                <w:color w:val="000000"/>
                <w:sz w:val="16"/>
                <w:szCs w:val="16"/>
              </w:rPr>
            </w:pPr>
            <w:r>
              <w:rPr>
                <w:rFonts w:ascii="Arial" w:hAnsi="Arial" w:cs="Arial"/>
                <w:sz w:val="16"/>
                <w:szCs w:val="16"/>
              </w:rPr>
              <w:t>837</w:t>
            </w:r>
          </w:p>
        </w:tc>
        <w:tc>
          <w:tcPr>
            <w:tcW w:w="328" w:type="pct"/>
            <w:gridSpan w:val="2"/>
            <w:tcBorders>
              <w:top w:val="nil"/>
              <w:left w:val="nil"/>
              <w:bottom w:val="single" w:sz="4" w:space="0" w:color="auto"/>
              <w:right w:val="single" w:sz="4" w:space="0" w:color="auto"/>
            </w:tcBorders>
            <w:noWrap/>
            <w:vAlign w:val="center"/>
            <w:hideMark/>
          </w:tcPr>
          <w:p w14:paraId="00308CC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619502AF"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1BF8632D" w14:textId="77777777" w:rsidTr="00033594">
        <w:trPr>
          <w:trHeight w:val="300"/>
        </w:trPr>
        <w:tc>
          <w:tcPr>
            <w:tcW w:w="1815" w:type="pct"/>
            <w:tcBorders>
              <w:top w:val="nil"/>
              <w:left w:val="single" w:sz="4" w:space="0" w:color="auto"/>
              <w:bottom w:val="single" w:sz="4" w:space="0" w:color="auto"/>
              <w:right w:val="single" w:sz="4" w:space="0" w:color="auto"/>
            </w:tcBorders>
            <w:vAlign w:val="center"/>
            <w:hideMark/>
          </w:tcPr>
          <w:p w14:paraId="653CE8AF" w14:textId="77777777" w:rsidR="00033594" w:rsidRDefault="00033594">
            <w:pPr>
              <w:rPr>
                <w:rFonts w:ascii="Arial" w:hAnsi="Arial" w:cs="Arial"/>
                <w:color w:val="000000"/>
                <w:sz w:val="16"/>
                <w:szCs w:val="16"/>
              </w:rPr>
            </w:pPr>
            <w:r>
              <w:rPr>
                <w:rFonts w:ascii="Arial" w:hAnsi="Arial" w:cs="Arial"/>
                <w:sz w:val="16"/>
                <w:szCs w:val="16"/>
              </w:rPr>
              <w:t>EXCEDENTES FINANCIEROS</w:t>
            </w:r>
          </w:p>
        </w:tc>
        <w:tc>
          <w:tcPr>
            <w:tcW w:w="393" w:type="pct"/>
            <w:gridSpan w:val="2"/>
            <w:tcBorders>
              <w:top w:val="nil"/>
              <w:left w:val="nil"/>
              <w:bottom w:val="single" w:sz="4" w:space="0" w:color="auto"/>
              <w:right w:val="single" w:sz="4" w:space="0" w:color="auto"/>
            </w:tcBorders>
            <w:noWrap/>
            <w:vAlign w:val="center"/>
            <w:hideMark/>
          </w:tcPr>
          <w:p w14:paraId="6CB7624E" w14:textId="77777777" w:rsidR="00033594" w:rsidRDefault="00033594">
            <w:pPr>
              <w:jc w:val="right"/>
              <w:rPr>
                <w:rFonts w:ascii="Arial" w:hAnsi="Arial" w:cs="Arial"/>
                <w:color w:val="000000"/>
                <w:sz w:val="16"/>
                <w:szCs w:val="16"/>
              </w:rPr>
            </w:pPr>
            <w:r>
              <w:rPr>
                <w:rFonts w:ascii="Arial" w:hAnsi="Arial" w:cs="Arial"/>
                <w:sz w:val="16"/>
                <w:szCs w:val="16"/>
              </w:rPr>
              <w:t>452.722</w:t>
            </w:r>
          </w:p>
        </w:tc>
        <w:tc>
          <w:tcPr>
            <w:tcW w:w="300" w:type="pct"/>
            <w:gridSpan w:val="2"/>
            <w:tcBorders>
              <w:top w:val="nil"/>
              <w:left w:val="nil"/>
              <w:bottom w:val="single" w:sz="4" w:space="0" w:color="auto"/>
              <w:right w:val="nil"/>
            </w:tcBorders>
          </w:tcPr>
          <w:p w14:paraId="52433748" w14:textId="77777777" w:rsidR="00033594" w:rsidRDefault="00033594">
            <w:pPr>
              <w:jc w:val="right"/>
              <w:rPr>
                <w:rFonts w:ascii="Arial" w:hAnsi="Arial" w:cs="Arial"/>
                <w:color w:val="000000"/>
                <w:sz w:val="16"/>
                <w:szCs w:val="16"/>
              </w:rPr>
            </w:pPr>
          </w:p>
        </w:tc>
        <w:tc>
          <w:tcPr>
            <w:tcW w:w="386" w:type="pct"/>
            <w:gridSpan w:val="2"/>
            <w:tcBorders>
              <w:top w:val="nil"/>
              <w:left w:val="nil"/>
              <w:bottom w:val="single" w:sz="4" w:space="0" w:color="auto"/>
              <w:right w:val="single" w:sz="4" w:space="0" w:color="auto"/>
            </w:tcBorders>
            <w:noWrap/>
            <w:vAlign w:val="center"/>
            <w:hideMark/>
          </w:tcPr>
          <w:p w14:paraId="77ACA30A" w14:textId="77777777" w:rsidR="00033594" w:rsidRDefault="00033594">
            <w:pPr>
              <w:jc w:val="right"/>
              <w:rPr>
                <w:rFonts w:ascii="Arial" w:hAnsi="Arial" w:cs="Arial"/>
                <w:color w:val="000000"/>
                <w:sz w:val="16"/>
                <w:szCs w:val="16"/>
              </w:rPr>
            </w:pPr>
            <w:r>
              <w:rPr>
                <w:rFonts w:ascii="Arial" w:hAnsi="Arial" w:cs="Arial"/>
                <w:sz w:val="16"/>
                <w:szCs w:val="16"/>
              </w:rPr>
              <w:t>452.722</w:t>
            </w:r>
          </w:p>
        </w:tc>
        <w:tc>
          <w:tcPr>
            <w:tcW w:w="314" w:type="pct"/>
            <w:gridSpan w:val="2"/>
            <w:tcBorders>
              <w:top w:val="nil"/>
              <w:left w:val="nil"/>
              <w:bottom w:val="single" w:sz="4" w:space="0" w:color="auto"/>
              <w:right w:val="single" w:sz="4" w:space="0" w:color="auto"/>
            </w:tcBorders>
            <w:noWrap/>
            <w:vAlign w:val="center"/>
            <w:hideMark/>
          </w:tcPr>
          <w:p w14:paraId="34F7A75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34" w:type="pct"/>
            <w:gridSpan w:val="2"/>
            <w:tcBorders>
              <w:top w:val="nil"/>
              <w:left w:val="nil"/>
              <w:bottom w:val="single" w:sz="4" w:space="0" w:color="auto"/>
              <w:right w:val="single" w:sz="4" w:space="0" w:color="auto"/>
            </w:tcBorders>
            <w:noWrap/>
            <w:vAlign w:val="center"/>
            <w:hideMark/>
          </w:tcPr>
          <w:p w14:paraId="1BDAFC3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87" w:type="pct"/>
            <w:gridSpan w:val="2"/>
            <w:tcBorders>
              <w:top w:val="nil"/>
              <w:left w:val="nil"/>
              <w:bottom w:val="single" w:sz="4" w:space="0" w:color="auto"/>
              <w:right w:val="single" w:sz="4" w:space="0" w:color="auto"/>
            </w:tcBorders>
            <w:noWrap/>
            <w:vAlign w:val="center"/>
            <w:hideMark/>
          </w:tcPr>
          <w:p w14:paraId="3B097988" w14:textId="77777777" w:rsidR="00033594" w:rsidRDefault="00033594">
            <w:pPr>
              <w:jc w:val="right"/>
              <w:rPr>
                <w:rFonts w:ascii="Arial" w:hAnsi="Arial" w:cs="Arial"/>
                <w:color w:val="000000"/>
                <w:sz w:val="16"/>
                <w:szCs w:val="16"/>
              </w:rPr>
            </w:pPr>
            <w:r>
              <w:rPr>
                <w:rFonts w:ascii="Arial" w:hAnsi="Arial" w:cs="Arial"/>
                <w:sz w:val="16"/>
                <w:szCs w:val="16"/>
              </w:rPr>
              <w:t>452.722</w:t>
            </w:r>
          </w:p>
        </w:tc>
        <w:tc>
          <w:tcPr>
            <w:tcW w:w="387" w:type="pct"/>
            <w:gridSpan w:val="2"/>
            <w:tcBorders>
              <w:top w:val="nil"/>
              <w:left w:val="nil"/>
              <w:bottom w:val="single" w:sz="4" w:space="0" w:color="auto"/>
              <w:right w:val="single" w:sz="4" w:space="0" w:color="auto"/>
            </w:tcBorders>
            <w:noWrap/>
            <w:vAlign w:val="center"/>
            <w:hideMark/>
          </w:tcPr>
          <w:p w14:paraId="758823CE" w14:textId="77777777" w:rsidR="00033594" w:rsidRDefault="00033594">
            <w:pPr>
              <w:jc w:val="right"/>
              <w:rPr>
                <w:rFonts w:ascii="Arial" w:hAnsi="Arial" w:cs="Arial"/>
                <w:color w:val="000000"/>
                <w:sz w:val="16"/>
                <w:szCs w:val="16"/>
              </w:rPr>
            </w:pPr>
            <w:r>
              <w:rPr>
                <w:rFonts w:ascii="Arial" w:hAnsi="Arial" w:cs="Arial"/>
                <w:sz w:val="16"/>
                <w:szCs w:val="16"/>
              </w:rPr>
              <w:t>452.722</w:t>
            </w:r>
          </w:p>
        </w:tc>
        <w:tc>
          <w:tcPr>
            <w:tcW w:w="328" w:type="pct"/>
            <w:gridSpan w:val="2"/>
            <w:tcBorders>
              <w:top w:val="nil"/>
              <w:left w:val="nil"/>
              <w:bottom w:val="single" w:sz="4" w:space="0" w:color="auto"/>
              <w:right w:val="single" w:sz="4" w:space="0" w:color="auto"/>
            </w:tcBorders>
            <w:noWrap/>
            <w:vAlign w:val="center"/>
            <w:hideMark/>
          </w:tcPr>
          <w:p w14:paraId="02D2880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5" w:type="pct"/>
            <w:gridSpan w:val="2"/>
            <w:tcBorders>
              <w:top w:val="nil"/>
              <w:left w:val="nil"/>
              <w:bottom w:val="single" w:sz="4" w:space="0" w:color="auto"/>
              <w:right w:val="single" w:sz="4" w:space="0" w:color="auto"/>
            </w:tcBorders>
            <w:noWrap/>
            <w:vAlign w:val="center"/>
            <w:hideMark/>
          </w:tcPr>
          <w:p w14:paraId="61B9477D"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74F7E6AE" w14:textId="77777777" w:rsidTr="00033594">
        <w:trPr>
          <w:trHeight w:val="300"/>
        </w:trPr>
        <w:tc>
          <w:tcPr>
            <w:tcW w:w="1815" w:type="pct"/>
            <w:tcBorders>
              <w:top w:val="nil"/>
              <w:left w:val="single" w:sz="4" w:space="0" w:color="auto"/>
              <w:bottom w:val="single" w:sz="4" w:space="0" w:color="auto"/>
              <w:right w:val="single" w:sz="4" w:space="0" w:color="auto"/>
            </w:tcBorders>
            <w:shd w:val="clear" w:color="auto" w:fill="4F81BD" w:themeFill="accent1"/>
            <w:noWrap/>
            <w:vAlign w:val="center"/>
            <w:hideMark/>
          </w:tcPr>
          <w:p w14:paraId="23017AE2" w14:textId="77777777" w:rsidR="00033594" w:rsidRDefault="00033594">
            <w:pPr>
              <w:rPr>
                <w:rFonts w:ascii="Arial" w:hAnsi="Arial" w:cs="Arial"/>
                <w:b/>
                <w:bCs/>
                <w:color w:val="000000"/>
                <w:sz w:val="16"/>
                <w:szCs w:val="16"/>
              </w:rPr>
            </w:pPr>
            <w:r>
              <w:rPr>
                <w:rFonts w:ascii="Arial" w:hAnsi="Arial" w:cs="Arial"/>
                <w:b/>
                <w:bCs/>
                <w:sz w:val="16"/>
                <w:szCs w:val="16"/>
              </w:rPr>
              <w:t>TOTAL INGRESOS</w:t>
            </w:r>
          </w:p>
        </w:tc>
        <w:tc>
          <w:tcPr>
            <w:tcW w:w="393" w:type="pct"/>
            <w:gridSpan w:val="2"/>
            <w:tcBorders>
              <w:top w:val="nil"/>
              <w:left w:val="nil"/>
              <w:bottom w:val="single" w:sz="4" w:space="0" w:color="auto"/>
              <w:right w:val="single" w:sz="4" w:space="0" w:color="auto"/>
            </w:tcBorders>
            <w:shd w:val="clear" w:color="auto" w:fill="4F81BD" w:themeFill="accent1"/>
            <w:noWrap/>
            <w:vAlign w:val="center"/>
            <w:hideMark/>
          </w:tcPr>
          <w:p w14:paraId="0AD3F929" w14:textId="77777777" w:rsidR="00033594" w:rsidRDefault="00033594">
            <w:pPr>
              <w:jc w:val="right"/>
              <w:rPr>
                <w:rFonts w:ascii="Arial" w:hAnsi="Arial" w:cs="Arial"/>
                <w:b/>
                <w:bCs/>
                <w:color w:val="000000"/>
                <w:sz w:val="16"/>
                <w:szCs w:val="16"/>
              </w:rPr>
            </w:pPr>
            <w:r>
              <w:rPr>
                <w:rFonts w:ascii="Arial" w:hAnsi="Arial" w:cs="Arial"/>
                <w:b/>
                <w:bCs/>
                <w:sz w:val="16"/>
                <w:szCs w:val="16"/>
              </w:rPr>
              <w:t>639.782</w:t>
            </w:r>
          </w:p>
        </w:tc>
        <w:tc>
          <w:tcPr>
            <w:tcW w:w="300" w:type="pct"/>
            <w:gridSpan w:val="2"/>
            <w:tcBorders>
              <w:top w:val="nil"/>
              <w:left w:val="nil"/>
              <w:bottom w:val="single" w:sz="4" w:space="0" w:color="auto"/>
              <w:right w:val="nil"/>
            </w:tcBorders>
            <w:shd w:val="clear" w:color="auto" w:fill="4F81BD" w:themeFill="accent1"/>
          </w:tcPr>
          <w:p w14:paraId="010A5132" w14:textId="77777777" w:rsidR="00033594" w:rsidRDefault="00033594">
            <w:pPr>
              <w:jc w:val="right"/>
              <w:rPr>
                <w:rFonts w:ascii="Arial" w:hAnsi="Arial" w:cs="Arial"/>
                <w:b/>
                <w:bCs/>
                <w:color w:val="000000"/>
                <w:sz w:val="16"/>
                <w:szCs w:val="16"/>
              </w:rPr>
            </w:pPr>
          </w:p>
        </w:tc>
        <w:tc>
          <w:tcPr>
            <w:tcW w:w="386" w:type="pct"/>
            <w:gridSpan w:val="2"/>
            <w:tcBorders>
              <w:top w:val="nil"/>
              <w:left w:val="nil"/>
              <w:bottom w:val="single" w:sz="4" w:space="0" w:color="auto"/>
              <w:right w:val="single" w:sz="4" w:space="0" w:color="auto"/>
            </w:tcBorders>
            <w:shd w:val="clear" w:color="auto" w:fill="4F81BD" w:themeFill="accent1"/>
            <w:noWrap/>
            <w:vAlign w:val="center"/>
            <w:hideMark/>
          </w:tcPr>
          <w:p w14:paraId="03D9A098" w14:textId="77777777" w:rsidR="00033594" w:rsidRDefault="00033594">
            <w:pPr>
              <w:jc w:val="right"/>
              <w:rPr>
                <w:rFonts w:ascii="Arial" w:hAnsi="Arial" w:cs="Arial"/>
                <w:b/>
                <w:bCs/>
                <w:color w:val="000000"/>
                <w:sz w:val="16"/>
                <w:szCs w:val="16"/>
              </w:rPr>
            </w:pPr>
            <w:r>
              <w:rPr>
                <w:rFonts w:ascii="Arial" w:hAnsi="Arial" w:cs="Arial"/>
                <w:b/>
                <w:bCs/>
                <w:sz w:val="16"/>
                <w:szCs w:val="16"/>
              </w:rPr>
              <w:t>639.782</w:t>
            </w:r>
          </w:p>
        </w:tc>
        <w:tc>
          <w:tcPr>
            <w:tcW w:w="314" w:type="pct"/>
            <w:gridSpan w:val="2"/>
            <w:tcBorders>
              <w:top w:val="nil"/>
              <w:left w:val="nil"/>
              <w:bottom w:val="single" w:sz="4" w:space="0" w:color="auto"/>
              <w:right w:val="single" w:sz="4" w:space="0" w:color="auto"/>
            </w:tcBorders>
            <w:shd w:val="clear" w:color="auto" w:fill="4F81BD" w:themeFill="accent1"/>
            <w:noWrap/>
            <w:vAlign w:val="center"/>
            <w:hideMark/>
          </w:tcPr>
          <w:p w14:paraId="4EF287E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34" w:type="pct"/>
            <w:gridSpan w:val="2"/>
            <w:tcBorders>
              <w:top w:val="nil"/>
              <w:left w:val="nil"/>
              <w:bottom w:val="single" w:sz="4" w:space="0" w:color="auto"/>
              <w:right w:val="single" w:sz="4" w:space="0" w:color="auto"/>
            </w:tcBorders>
            <w:shd w:val="clear" w:color="auto" w:fill="4F81BD" w:themeFill="accent1"/>
            <w:noWrap/>
            <w:vAlign w:val="center"/>
            <w:hideMark/>
          </w:tcPr>
          <w:p w14:paraId="4953FC4C"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87" w:type="pct"/>
            <w:gridSpan w:val="2"/>
            <w:tcBorders>
              <w:top w:val="nil"/>
              <w:left w:val="nil"/>
              <w:bottom w:val="single" w:sz="4" w:space="0" w:color="auto"/>
              <w:right w:val="single" w:sz="4" w:space="0" w:color="auto"/>
            </w:tcBorders>
            <w:shd w:val="clear" w:color="auto" w:fill="4F81BD" w:themeFill="accent1"/>
            <w:noWrap/>
            <w:vAlign w:val="center"/>
            <w:hideMark/>
          </w:tcPr>
          <w:p w14:paraId="3602D643" w14:textId="77777777" w:rsidR="00033594" w:rsidRDefault="00033594">
            <w:pPr>
              <w:jc w:val="right"/>
              <w:rPr>
                <w:rFonts w:ascii="Arial" w:hAnsi="Arial" w:cs="Arial"/>
                <w:b/>
                <w:bCs/>
                <w:color w:val="000000"/>
                <w:sz w:val="16"/>
                <w:szCs w:val="16"/>
              </w:rPr>
            </w:pPr>
            <w:r>
              <w:rPr>
                <w:rFonts w:ascii="Arial" w:hAnsi="Arial" w:cs="Arial"/>
                <w:b/>
                <w:bCs/>
                <w:sz w:val="16"/>
                <w:szCs w:val="16"/>
              </w:rPr>
              <w:t>649.428</w:t>
            </w:r>
          </w:p>
        </w:tc>
        <w:tc>
          <w:tcPr>
            <w:tcW w:w="387" w:type="pct"/>
            <w:gridSpan w:val="2"/>
            <w:tcBorders>
              <w:top w:val="nil"/>
              <w:left w:val="nil"/>
              <w:bottom w:val="single" w:sz="4" w:space="0" w:color="auto"/>
              <w:right w:val="single" w:sz="4" w:space="0" w:color="auto"/>
            </w:tcBorders>
            <w:shd w:val="clear" w:color="auto" w:fill="4F81BD" w:themeFill="accent1"/>
            <w:noWrap/>
            <w:vAlign w:val="center"/>
            <w:hideMark/>
          </w:tcPr>
          <w:p w14:paraId="25E29C56" w14:textId="77777777" w:rsidR="00033594" w:rsidRDefault="00033594">
            <w:pPr>
              <w:jc w:val="right"/>
              <w:rPr>
                <w:rFonts w:ascii="Arial" w:hAnsi="Arial" w:cs="Arial"/>
                <w:b/>
                <w:bCs/>
                <w:color w:val="000000"/>
                <w:sz w:val="16"/>
                <w:szCs w:val="16"/>
              </w:rPr>
            </w:pPr>
            <w:r>
              <w:rPr>
                <w:rFonts w:ascii="Arial" w:hAnsi="Arial" w:cs="Arial"/>
                <w:b/>
                <w:bCs/>
                <w:sz w:val="16"/>
                <w:szCs w:val="16"/>
              </w:rPr>
              <w:t>894.932</w:t>
            </w:r>
          </w:p>
        </w:tc>
        <w:tc>
          <w:tcPr>
            <w:tcW w:w="328" w:type="pct"/>
            <w:gridSpan w:val="2"/>
            <w:tcBorders>
              <w:top w:val="nil"/>
              <w:left w:val="nil"/>
              <w:bottom w:val="single" w:sz="4" w:space="0" w:color="auto"/>
              <w:right w:val="single" w:sz="4" w:space="0" w:color="auto"/>
            </w:tcBorders>
            <w:shd w:val="clear" w:color="auto" w:fill="4F81BD" w:themeFill="accent1"/>
            <w:noWrap/>
            <w:vAlign w:val="center"/>
            <w:hideMark/>
          </w:tcPr>
          <w:p w14:paraId="01945A79"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5" w:type="pct"/>
            <w:gridSpan w:val="2"/>
            <w:tcBorders>
              <w:top w:val="nil"/>
              <w:left w:val="nil"/>
              <w:bottom w:val="single" w:sz="4" w:space="0" w:color="auto"/>
              <w:right w:val="single" w:sz="4" w:space="0" w:color="auto"/>
            </w:tcBorders>
            <w:shd w:val="clear" w:color="auto" w:fill="4F81BD" w:themeFill="accent1"/>
            <w:noWrap/>
            <w:vAlign w:val="center"/>
            <w:hideMark/>
          </w:tcPr>
          <w:p w14:paraId="335F9585"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71338D7D" w14:textId="77777777" w:rsidTr="00033594">
        <w:trPr>
          <w:gridAfter w:val="1"/>
          <w:wAfter w:w="296" w:type="pct"/>
          <w:trHeight w:val="300"/>
          <w:tblHeader/>
        </w:trPr>
        <w:tc>
          <w:tcPr>
            <w:tcW w:w="1815" w:type="pct"/>
            <w:noWrap/>
            <w:vAlign w:val="center"/>
            <w:hideMark/>
          </w:tcPr>
          <w:p w14:paraId="4B4D1A2E" w14:textId="77777777" w:rsidR="00033594" w:rsidRDefault="00033594">
            <w:pPr>
              <w:rPr>
                <w:rFonts w:ascii="Arial" w:hAnsi="Arial" w:cs="Arial"/>
                <w:b/>
                <w:bCs/>
                <w:color w:val="000000"/>
                <w:sz w:val="16"/>
                <w:szCs w:val="16"/>
              </w:rPr>
            </w:pPr>
            <w:r>
              <w:rPr>
                <w:rFonts w:ascii="Arial" w:hAnsi="Arial" w:cs="Arial"/>
                <w:b/>
                <w:bCs/>
                <w:sz w:val="16"/>
                <w:szCs w:val="16"/>
              </w:rPr>
              <w:t>Millones de $</w:t>
            </w:r>
          </w:p>
        </w:tc>
        <w:tc>
          <w:tcPr>
            <w:tcW w:w="437" w:type="pct"/>
            <w:gridSpan w:val="3"/>
            <w:noWrap/>
            <w:vAlign w:val="center"/>
            <w:hideMark/>
          </w:tcPr>
          <w:p w14:paraId="67F237E4" w14:textId="77777777" w:rsidR="00033594" w:rsidRDefault="00033594">
            <w:pPr>
              <w:rPr>
                <w:rFonts w:ascii="Calibri" w:hAnsi="Calibri" w:cs="Times New Roman"/>
                <w:color w:val="000000"/>
                <w:sz w:val="19"/>
                <w:szCs w:val="19"/>
              </w:rPr>
            </w:pPr>
          </w:p>
        </w:tc>
        <w:tc>
          <w:tcPr>
            <w:tcW w:w="377" w:type="pct"/>
            <w:gridSpan w:val="2"/>
            <w:noWrap/>
            <w:vAlign w:val="center"/>
            <w:hideMark/>
          </w:tcPr>
          <w:p w14:paraId="52571638" w14:textId="77777777" w:rsidR="00033594" w:rsidRDefault="00033594">
            <w:pPr>
              <w:rPr>
                <w:rFonts w:ascii="Calibri" w:hAnsi="Calibri" w:cs="Times New Roman"/>
                <w:color w:val="000000"/>
                <w:sz w:val="19"/>
                <w:szCs w:val="19"/>
              </w:rPr>
            </w:pPr>
          </w:p>
        </w:tc>
        <w:tc>
          <w:tcPr>
            <w:tcW w:w="303" w:type="pct"/>
            <w:gridSpan w:val="2"/>
            <w:noWrap/>
            <w:vAlign w:val="center"/>
            <w:hideMark/>
          </w:tcPr>
          <w:p w14:paraId="71FC4DDD" w14:textId="77777777" w:rsidR="00033594" w:rsidRDefault="00033594">
            <w:pPr>
              <w:rPr>
                <w:rFonts w:ascii="Calibri" w:hAnsi="Calibri" w:cs="Times New Roman"/>
                <w:color w:val="000000"/>
                <w:sz w:val="19"/>
                <w:szCs w:val="19"/>
              </w:rPr>
            </w:pPr>
          </w:p>
        </w:tc>
        <w:tc>
          <w:tcPr>
            <w:tcW w:w="352" w:type="pct"/>
            <w:gridSpan w:val="2"/>
            <w:noWrap/>
            <w:vAlign w:val="center"/>
            <w:hideMark/>
          </w:tcPr>
          <w:p w14:paraId="77440A39" w14:textId="77777777" w:rsidR="00033594" w:rsidRDefault="00033594">
            <w:pPr>
              <w:rPr>
                <w:rFonts w:ascii="Calibri" w:hAnsi="Calibri" w:cs="Times New Roman"/>
                <w:color w:val="000000"/>
                <w:sz w:val="19"/>
                <w:szCs w:val="19"/>
              </w:rPr>
            </w:pPr>
          </w:p>
        </w:tc>
        <w:tc>
          <w:tcPr>
            <w:tcW w:w="352" w:type="pct"/>
            <w:gridSpan w:val="2"/>
            <w:noWrap/>
            <w:vAlign w:val="center"/>
            <w:hideMark/>
          </w:tcPr>
          <w:p w14:paraId="08491EFA" w14:textId="77777777" w:rsidR="00033594" w:rsidRDefault="00033594">
            <w:pPr>
              <w:rPr>
                <w:rFonts w:ascii="Calibri" w:hAnsi="Calibri" w:cs="Times New Roman"/>
                <w:color w:val="000000"/>
                <w:sz w:val="19"/>
                <w:szCs w:val="19"/>
              </w:rPr>
            </w:pPr>
          </w:p>
        </w:tc>
        <w:tc>
          <w:tcPr>
            <w:tcW w:w="341" w:type="pct"/>
            <w:gridSpan w:val="2"/>
            <w:noWrap/>
            <w:vAlign w:val="center"/>
            <w:hideMark/>
          </w:tcPr>
          <w:p w14:paraId="78361071" w14:textId="77777777" w:rsidR="00033594" w:rsidRDefault="00033594">
            <w:pPr>
              <w:rPr>
                <w:rFonts w:ascii="Calibri" w:hAnsi="Calibri" w:cs="Times New Roman"/>
                <w:color w:val="000000"/>
                <w:sz w:val="19"/>
                <w:szCs w:val="19"/>
              </w:rPr>
            </w:pPr>
          </w:p>
        </w:tc>
        <w:tc>
          <w:tcPr>
            <w:tcW w:w="352" w:type="pct"/>
            <w:gridSpan w:val="2"/>
            <w:noWrap/>
            <w:vAlign w:val="center"/>
            <w:hideMark/>
          </w:tcPr>
          <w:p w14:paraId="4D21C506" w14:textId="77777777" w:rsidR="00033594" w:rsidRDefault="00033594">
            <w:pPr>
              <w:rPr>
                <w:rFonts w:ascii="Calibri" w:hAnsi="Calibri" w:cs="Times New Roman"/>
                <w:color w:val="000000"/>
                <w:sz w:val="19"/>
                <w:szCs w:val="19"/>
              </w:rPr>
            </w:pPr>
          </w:p>
        </w:tc>
        <w:tc>
          <w:tcPr>
            <w:tcW w:w="374" w:type="pct"/>
            <w:gridSpan w:val="2"/>
            <w:noWrap/>
            <w:vAlign w:val="bottom"/>
            <w:hideMark/>
          </w:tcPr>
          <w:p w14:paraId="23904854" w14:textId="77777777" w:rsidR="00033594" w:rsidRDefault="00033594">
            <w:pPr>
              <w:rPr>
                <w:rFonts w:ascii="Calibri" w:hAnsi="Calibri" w:cs="Times New Roman"/>
                <w:color w:val="000000"/>
                <w:sz w:val="19"/>
                <w:szCs w:val="19"/>
              </w:rPr>
            </w:pPr>
          </w:p>
        </w:tc>
      </w:tr>
      <w:tr w:rsidR="00033594" w14:paraId="3BCCBB61" w14:textId="77777777" w:rsidTr="00E95757">
        <w:trPr>
          <w:gridAfter w:val="1"/>
          <w:wAfter w:w="296" w:type="pct"/>
          <w:trHeight w:val="300"/>
          <w:tblHeader/>
        </w:trPr>
        <w:tc>
          <w:tcPr>
            <w:tcW w:w="1815"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1C7DF7B" w14:textId="77777777" w:rsidR="00033594" w:rsidRDefault="00033594">
            <w:pPr>
              <w:rPr>
                <w:rFonts w:ascii="Arial" w:hAnsi="Arial" w:cs="Arial"/>
                <w:b/>
                <w:bCs/>
                <w:color w:val="000000"/>
                <w:sz w:val="16"/>
                <w:szCs w:val="16"/>
              </w:rPr>
            </w:pPr>
            <w:r>
              <w:rPr>
                <w:rFonts w:ascii="Arial" w:hAnsi="Arial" w:cs="Arial"/>
                <w:b/>
                <w:bCs/>
                <w:sz w:val="16"/>
                <w:szCs w:val="16"/>
              </w:rPr>
              <w:t>CONCEPTO</w:t>
            </w:r>
          </w:p>
        </w:tc>
        <w:tc>
          <w:tcPr>
            <w:tcW w:w="1470" w:type="pct"/>
            <w:gridSpan w:val="9"/>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4BD56140" w14:textId="77777777" w:rsidR="00033594" w:rsidRDefault="00033594">
            <w:pPr>
              <w:jc w:val="center"/>
              <w:rPr>
                <w:rFonts w:ascii="Arial" w:hAnsi="Arial" w:cs="Arial"/>
                <w:b/>
                <w:bCs/>
                <w:color w:val="000000"/>
                <w:sz w:val="16"/>
                <w:szCs w:val="16"/>
              </w:rPr>
            </w:pPr>
            <w:r>
              <w:rPr>
                <w:rFonts w:ascii="Arial" w:hAnsi="Arial" w:cs="Arial"/>
                <w:b/>
                <w:bCs/>
                <w:sz w:val="16"/>
                <w:szCs w:val="16"/>
              </w:rPr>
              <w:t>RECAUDADO</w:t>
            </w:r>
          </w:p>
        </w:tc>
        <w:tc>
          <w:tcPr>
            <w:tcW w:w="1419" w:type="pct"/>
            <w:gridSpan w:val="8"/>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5400BFD9" w14:textId="77777777" w:rsidR="00033594" w:rsidRDefault="00033594">
            <w:pPr>
              <w:jc w:val="center"/>
              <w:rPr>
                <w:rFonts w:ascii="Arial" w:hAnsi="Arial" w:cs="Arial"/>
                <w:b/>
                <w:bCs/>
                <w:color w:val="000000"/>
                <w:sz w:val="16"/>
                <w:szCs w:val="16"/>
              </w:rPr>
            </w:pPr>
            <w:r>
              <w:rPr>
                <w:rFonts w:ascii="Arial" w:hAnsi="Arial" w:cs="Arial"/>
                <w:b/>
                <w:bCs/>
                <w:sz w:val="16"/>
                <w:szCs w:val="16"/>
              </w:rPr>
              <w:t>%EJEC. REC/APR</w:t>
            </w:r>
          </w:p>
        </w:tc>
      </w:tr>
      <w:tr w:rsidR="00033594" w14:paraId="54BBC9DE" w14:textId="77777777" w:rsidTr="00E95757">
        <w:trPr>
          <w:gridAfter w:val="1"/>
          <w:wAfter w:w="296" w:type="pct"/>
          <w:trHeight w:val="300"/>
          <w:tblHeader/>
        </w:trPr>
        <w:tc>
          <w:tcPr>
            <w:tcW w:w="0" w:type="auto"/>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83D4005" w14:textId="77777777" w:rsidR="00033594" w:rsidRDefault="00033594">
            <w:pPr>
              <w:rPr>
                <w:rFonts w:ascii="Arial" w:hAnsi="Arial" w:cs="Arial"/>
                <w:b/>
                <w:bCs/>
                <w:color w:val="000000"/>
                <w:sz w:val="16"/>
                <w:szCs w:val="16"/>
              </w:rPr>
            </w:pPr>
          </w:p>
        </w:tc>
        <w:tc>
          <w:tcPr>
            <w:tcW w:w="437" w:type="pct"/>
            <w:gridSpan w:val="3"/>
            <w:tcBorders>
              <w:top w:val="nil"/>
              <w:left w:val="nil"/>
              <w:bottom w:val="single" w:sz="4" w:space="0" w:color="auto"/>
              <w:right w:val="single" w:sz="4" w:space="0" w:color="auto"/>
            </w:tcBorders>
            <w:shd w:val="clear" w:color="auto" w:fill="548DD4" w:themeFill="text2" w:themeFillTint="99"/>
            <w:vAlign w:val="center"/>
            <w:hideMark/>
          </w:tcPr>
          <w:p w14:paraId="20CDDA1B"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77" w:type="pct"/>
            <w:gridSpan w:val="2"/>
            <w:tcBorders>
              <w:top w:val="nil"/>
              <w:left w:val="nil"/>
              <w:bottom w:val="single" w:sz="4" w:space="0" w:color="auto"/>
              <w:right w:val="single" w:sz="4" w:space="0" w:color="auto"/>
            </w:tcBorders>
            <w:shd w:val="clear" w:color="auto" w:fill="548DD4" w:themeFill="text2" w:themeFillTint="99"/>
            <w:vAlign w:val="center"/>
            <w:hideMark/>
          </w:tcPr>
          <w:p w14:paraId="143512EE"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03" w:type="pct"/>
            <w:gridSpan w:val="2"/>
            <w:tcBorders>
              <w:top w:val="nil"/>
              <w:left w:val="nil"/>
              <w:bottom w:val="single" w:sz="4" w:space="0" w:color="auto"/>
              <w:right w:val="single" w:sz="4" w:space="0" w:color="auto"/>
            </w:tcBorders>
            <w:shd w:val="clear" w:color="auto" w:fill="548DD4" w:themeFill="text2" w:themeFillTint="99"/>
            <w:vAlign w:val="center"/>
            <w:hideMark/>
          </w:tcPr>
          <w:p w14:paraId="5323F520"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352" w:type="pct"/>
            <w:gridSpan w:val="2"/>
            <w:tcBorders>
              <w:top w:val="nil"/>
              <w:left w:val="nil"/>
              <w:bottom w:val="single" w:sz="4" w:space="0" w:color="auto"/>
              <w:right w:val="single" w:sz="4" w:space="0" w:color="auto"/>
            </w:tcBorders>
            <w:shd w:val="clear" w:color="auto" w:fill="548DD4" w:themeFill="text2" w:themeFillTint="99"/>
            <w:vAlign w:val="center"/>
            <w:hideMark/>
          </w:tcPr>
          <w:p w14:paraId="257F9D1A"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c>
          <w:tcPr>
            <w:tcW w:w="352" w:type="pct"/>
            <w:gridSpan w:val="2"/>
            <w:tcBorders>
              <w:top w:val="nil"/>
              <w:left w:val="nil"/>
              <w:bottom w:val="single" w:sz="4" w:space="0" w:color="auto"/>
              <w:right w:val="single" w:sz="4" w:space="0" w:color="auto"/>
            </w:tcBorders>
            <w:shd w:val="clear" w:color="auto" w:fill="548DD4" w:themeFill="text2" w:themeFillTint="99"/>
            <w:vAlign w:val="center"/>
            <w:hideMark/>
          </w:tcPr>
          <w:p w14:paraId="2BBAA512"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41" w:type="pct"/>
            <w:gridSpan w:val="2"/>
            <w:tcBorders>
              <w:top w:val="nil"/>
              <w:left w:val="nil"/>
              <w:bottom w:val="single" w:sz="4" w:space="0" w:color="auto"/>
              <w:right w:val="single" w:sz="4" w:space="0" w:color="auto"/>
            </w:tcBorders>
            <w:shd w:val="clear" w:color="auto" w:fill="548DD4" w:themeFill="text2" w:themeFillTint="99"/>
            <w:vAlign w:val="center"/>
            <w:hideMark/>
          </w:tcPr>
          <w:p w14:paraId="325B66FA"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52" w:type="pct"/>
            <w:gridSpan w:val="2"/>
            <w:tcBorders>
              <w:top w:val="nil"/>
              <w:left w:val="nil"/>
              <w:bottom w:val="single" w:sz="4" w:space="0" w:color="auto"/>
              <w:right w:val="single" w:sz="4" w:space="0" w:color="auto"/>
            </w:tcBorders>
            <w:shd w:val="clear" w:color="auto" w:fill="548DD4" w:themeFill="text2" w:themeFillTint="99"/>
            <w:vAlign w:val="center"/>
            <w:hideMark/>
          </w:tcPr>
          <w:p w14:paraId="778A4A93"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374" w:type="pct"/>
            <w:gridSpan w:val="2"/>
            <w:tcBorders>
              <w:top w:val="nil"/>
              <w:left w:val="nil"/>
              <w:bottom w:val="single" w:sz="4" w:space="0" w:color="auto"/>
              <w:right w:val="single" w:sz="4" w:space="0" w:color="auto"/>
            </w:tcBorders>
            <w:shd w:val="clear" w:color="auto" w:fill="548DD4" w:themeFill="text2" w:themeFillTint="99"/>
            <w:vAlign w:val="center"/>
            <w:hideMark/>
          </w:tcPr>
          <w:p w14:paraId="0F5BEDBB"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r>
      <w:tr w:rsidR="00033594" w14:paraId="6EE0A033"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433C268F" w14:textId="77777777" w:rsidR="00033594" w:rsidRDefault="00033594">
            <w:pPr>
              <w:rPr>
                <w:rFonts w:ascii="Arial" w:hAnsi="Arial" w:cs="Arial"/>
                <w:b/>
                <w:bCs/>
                <w:color w:val="000000"/>
                <w:sz w:val="16"/>
                <w:szCs w:val="16"/>
              </w:rPr>
            </w:pPr>
            <w:r>
              <w:rPr>
                <w:rFonts w:ascii="Arial" w:hAnsi="Arial" w:cs="Arial"/>
                <w:b/>
                <w:bCs/>
                <w:sz w:val="16"/>
                <w:szCs w:val="16"/>
              </w:rPr>
              <w:t>INGRESOS CORRIENTES</w:t>
            </w:r>
          </w:p>
        </w:tc>
        <w:tc>
          <w:tcPr>
            <w:tcW w:w="437" w:type="pct"/>
            <w:gridSpan w:val="3"/>
            <w:tcBorders>
              <w:top w:val="nil"/>
              <w:left w:val="nil"/>
              <w:bottom w:val="single" w:sz="4" w:space="0" w:color="auto"/>
              <w:right w:val="single" w:sz="4" w:space="0" w:color="auto"/>
            </w:tcBorders>
            <w:noWrap/>
            <w:vAlign w:val="center"/>
            <w:hideMark/>
          </w:tcPr>
          <w:p w14:paraId="75A01EC7" w14:textId="77777777" w:rsidR="00033594" w:rsidRDefault="00033594">
            <w:pPr>
              <w:jc w:val="right"/>
              <w:rPr>
                <w:rFonts w:ascii="Arial" w:hAnsi="Arial" w:cs="Arial"/>
                <w:b/>
                <w:bCs/>
                <w:color w:val="000000"/>
                <w:sz w:val="16"/>
                <w:szCs w:val="16"/>
              </w:rPr>
            </w:pPr>
            <w:r>
              <w:rPr>
                <w:rFonts w:ascii="Arial" w:hAnsi="Arial" w:cs="Arial"/>
                <w:b/>
                <w:bCs/>
                <w:sz w:val="16"/>
                <w:szCs w:val="16"/>
              </w:rPr>
              <w:t>188.568</w:t>
            </w:r>
          </w:p>
        </w:tc>
        <w:tc>
          <w:tcPr>
            <w:tcW w:w="377" w:type="pct"/>
            <w:gridSpan w:val="2"/>
            <w:tcBorders>
              <w:top w:val="nil"/>
              <w:left w:val="nil"/>
              <w:bottom w:val="single" w:sz="4" w:space="0" w:color="auto"/>
              <w:right w:val="single" w:sz="4" w:space="0" w:color="auto"/>
            </w:tcBorders>
            <w:noWrap/>
            <w:vAlign w:val="center"/>
            <w:hideMark/>
          </w:tcPr>
          <w:p w14:paraId="1AC9A88A" w14:textId="77777777" w:rsidR="00033594" w:rsidRDefault="00033594">
            <w:pPr>
              <w:jc w:val="right"/>
              <w:rPr>
                <w:rFonts w:ascii="Arial" w:hAnsi="Arial" w:cs="Arial"/>
                <w:b/>
                <w:bCs/>
                <w:color w:val="000000"/>
                <w:sz w:val="16"/>
                <w:szCs w:val="16"/>
              </w:rPr>
            </w:pPr>
            <w:r>
              <w:rPr>
                <w:rFonts w:ascii="Arial" w:hAnsi="Arial" w:cs="Arial"/>
                <w:b/>
                <w:bCs/>
                <w:sz w:val="16"/>
                <w:szCs w:val="16"/>
              </w:rPr>
              <w:t>432.693</w:t>
            </w:r>
          </w:p>
        </w:tc>
        <w:tc>
          <w:tcPr>
            <w:tcW w:w="303" w:type="pct"/>
            <w:gridSpan w:val="2"/>
            <w:tcBorders>
              <w:top w:val="nil"/>
              <w:left w:val="nil"/>
              <w:bottom w:val="single" w:sz="4" w:space="0" w:color="auto"/>
              <w:right w:val="single" w:sz="4" w:space="0" w:color="auto"/>
            </w:tcBorders>
            <w:noWrap/>
            <w:vAlign w:val="center"/>
            <w:hideMark/>
          </w:tcPr>
          <w:p w14:paraId="45536D5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2C9710E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3A6F52E4" w14:textId="77777777" w:rsidR="00033594" w:rsidRDefault="00033594">
            <w:pPr>
              <w:jc w:val="right"/>
              <w:rPr>
                <w:rFonts w:ascii="Arial" w:hAnsi="Arial" w:cs="Arial"/>
                <w:b/>
                <w:bCs/>
                <w:color w:val="000000"/>
                <w:sz w:val="16"/>
                <w:szCs w:val="16"/>
              </w:rPr>
            </w:pPr>
            <w:r>
              <w:rPr>
                <w:rFonts w:ascii="Arial" w:hAnsi="Arial" w:cs="Arial"/>
                <w:b/>
                <w:bCs/>
                <w:sz w:val="16"/>
                <w:szCs w:val="16"/>
              </w:rPr>
              <w:t>101%</w:t>
            </w:r>
          </w:p>
        </w:tc>
        <w:tc>
          <w:tcPr>
            <w:tcW w:w="341" w:type="pct"/>
            <w:gridSpan w:val="2"/>
            <w:tcBorders>
              <w:top w:val="nil"/>
              <w:left w:val="nil"/>
              <w:bottom w:val="single" w:sz="4" w:space="0" w:color="auto"/>
              <w:right w:val="single" w:sz="4" w:space="0" w:color="auto"/>
            </w:tcBorders>
            <w:noWrap/>
            <w:vAlign w:val="center"/>
            <w:hideMark/>
          </w:tcPr>
          <w:p w14:paraId="5BCBD5C9" w14:textId="77777777" w:rsidR="00033594" w:rsidRDefault="00033594">
            <w:pPr>
              <w:jc w:val="right"/>
              <w:rPr>
                <w:rFonts w:ascii="Arial" w:hAnsi="Arial" w:cs="Arial"/>
                <w:b/>
                <w:bCs/>
                <w:color w:val="000000"/>
                <w:sz w:val="16"/>
                <w:szCs w:val="16"/>
              </w:rPr>
            </w:pPr>
            <w:r>
              <w:rPr>
                <w:rFonts w:ascii="Arial" w:hAnsi="Arial" w:cs="Arial"/>
                <w:b/>
                <w:bCs/>
                <w:sz w:val="16"/>
                <w:szCs w:val="16"/>
              </w:rPr>
              <w:t>231%</w:t>
            </w:r>
          </w:p>
        </w:tc>
        <w:tc>
          <w:tcPr>
            <w:tcW w:w="352" w:type="pct"/>
            <w:gridSpan w:val="2"/>
            <w:tcBorders>
              <w:top w:val="nil"/>
              <w:left w:val="nil"/>
              <w:bottom w:val="single" w:sz="4" w:space="0" w:color="auto"/>
              <w:right w:val="single" w:sz="4" w:space="0" w:color="auto"/>
            </w:tcBorders>
            <w:noWrap/>
            <w:vAlign w:val="center"/>
            <w:hideMark/>
          </w:tcPr>
          <w:p w14:paraId="35D55B8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55245BB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50AC5A89"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3A6EC15C" w14:textId="77777777" w:rsidR="00033594" w:rsidRDefault="00033594">
            <w:pPr>
              <w:rPr>
                <w:rFonts w:ascii="Arial" w:hAnsi="Arial" w:cs="Arial"/>
                <w:b/>
                <w:bCs/>
                <w:color w:val="000000"/>
                <w:sz w:val="16"/>
                <w:szCs w:val="16"/>
              </w:rPr>
            </w:pPr>
            <w:r>
              <w:rPr>
                <w:rFonts w:ascii="Arial" w:hAnsi="Arial" w:cs="Arial"/>
                <w:b/>
                <w:bCs/>
                <w:sz w:val="16"/>
                <w:szCs w:val="16"/>
              </w:rPr>
              <w:t>NO TRIBUTARIOS</w:t>
            </w:r>
          </w:p>
        </w:tc>
        <w:tc>
          <w:tcPr>
            <w:tcW w:w="437" w:type="pct"/>
            <w:gridSpan w:val="3"/>
            <w:tcBorders>
              <w:top w:val="nil"/>
              <w:left w:val="nil"/>
              <w:bottom w:val="single" w:sz="4" w:space="0" w:color="auto"/>
              <w:right w:val="single" w:sz="4" w:space="0" w:color="auto"/>
            </w:tcBorders>
            <w:noWrap/>
            <w:vAlign w:val="center"/>
            <w:hideMark/>
          </w:tcPr>
          <w:p w14:paraId="45FCB16D" w14:textId="77777777" w:rsidR="00033594" w:rsidRDefault="00033594">
            <w:pPr>
              <w:jc w:val="right"/>
              <w:rPr>
                <w:rFonts w:ascii="Arial" w:hAnsi="Arial" w:cs="Arial"/>
                <w:b/>
                <w:bCs/>
                <w:color w:val="000000"/>
                <w:sz w:val="16"/>
                <w:szCs w:val="16"/>
              </w:rPr>
            </w:pPr>
            <w:r>
              <w:rPr>
                <w:rFonts w:ascii="Arial" w:hAnsi="Arial" w:cs="Arial"/>
                <w:b/>
                <w:bCs/>
                <w:sz w:val="16"/>
                <w:szCs w:val="16"/>
              </w:rPr>
              <w:t>188.568</w:t>
            </w:r>
          </w:p>
        </w:tc>
        <w:tc>
          <w:tcPr>
            <w:tcW w:w="377" w:type="pct"/>
            <w:gridSpan w:val="2"/>
            <w:tcBorders>
              <w:top w:val="nil"/>
              <w:left w:val="nil"/>
              <w:bottom w:val="single" w:sz="4" w:space="0" w:color="auto"/>
              <w:right w:val="single" w:sz="4" w:space="0" w:color="auto"/>
            </w:tcBorders>
            <w:noWrap/>
            <w:vAlign w:val="center"/>
            <w:hideMark/>
          </w:tcPr>
          <w:p w14:paraId="0A2F759F" w14:textId="77777777" w:rsidR="00033594" w:rsidRDefault="00033594">
            <w:pPr>
              <w:jc w:val="right"/>
              <w:rPr>
                <w:rFonts w:ascii="Arial" w:hAnsi="Arial" w:cs="Arial"/>
                <w:b/>
                <w:bCs/>
                <w:color w:val="000000"/>
                <w:sz w:val="16"/>
                <w:szCs w:val="16"/>
              </w:rPr>
            </w:pPr>
            <w:r>
              <w:rPr>
                <w:rFonts w:ascii="Arial" w:hAnsi="Arial" w:cs="Arial"/>
                <w:b/>
                <w:bCs/>
                <w:sz w:val="16"/>
                <w:szCs w:val="16"/>
              </w:rPr>
              <w:t>432.693</w:t>
            </w:r>
          </w:p>
        </w:tc>
        <w:tc>
          <w:tcPr>
            <w:tcW w:w="303" w:type="pct"/>
            <w:gridSpan w:val="2"/>
            <w:tcBorders>
              <w:top w:val="nil"/>
              <w:left w:val="nil"/>
              <w:bottom w:val="single" w:sz="4" w:space="0" w:color="auto"/>
              <w:right w:val="single" w:sz="4" w:space="0" w:color="auto"/>
            </w:tcBorders>
            <w:noWrap/>
            <w:vAlign w:val="center"/>
            <w:hideMark/>
          </w:tcPr>
          <w:p w14:paraId="59C01220"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38844CC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4681A756" w14:textId="77777777" w:rsidR="00033594" w:rsidRDefault="00033594">
            <w:pPr>
              <w:jc w:val="right"/>
              <w:rPr>
                <w:rFonts w:ascii="Arial" w:hAnsi="Arial" w:cs="Arial"/>
                <w:b/>
                <w:bCs/>
                <w:color w:val="000000"/>
                <w:sz w:val="16"/>
                <w:szCs w:val="16"/>
              </w:rPr>
            </w:pPr>
            <w:r>
              <w:rPr>
                <w:rFonts w:ascii="Arial" w:hAnsi="Arial" w:cs="Arial"/>
                <w:b/>
                <w:bCs/>
                <w:sz w:val="16"/>
                <w:szCs w:val="16"/>
              </w:rPr>
              <w:t>101%</w:t>
            </w:r>
          </w:p>
        </w:tc>
        <w:tc>
          <w:tcPr>
            <w:tcW w:w="341" w:type="pct"/>
            <w:gridSpan w:val="2"/>
            <w:tcBorders>
              <w:top w:val="nil"/>
              <w:left w:val="nil"/>
              <w:bottom w:val="single" w:sz="4" w:space="0" w:color="auto"/>
              <w:right w:val="single" w:sz="4" w:space="0" w:color="auto"/>
            </w:tcBorders>
            <w:noWrap/>
            <w:vAlign w:val="center"/>
            <w:hideMark/>
          </w:tcPr>
          <w:p w14:paraId="76FD678E" w14:textId="77777777" w:rsidR="00033594" w:rsidRDefault="00033594">
            <w:pPr>
              <w:jc w:val="right"/>
              <w:rPr>
                <w:rFonts w:ascii="Arial" w:hAnsi="Arial" w:cs="Arial"/>
                <w:b/>
                <w:bCs/>
                <w:color w:val="000000"/>
                <w:sz w:val="16"/>
                <w:szCs w:val="16"/>
              </w:rPr>
            </w:pPr>
            <w:r>
              <w:rPr>
                <w:rFonts w:ascii="Arial" w:hAnsi="Arial" w:cs="Arial"/>
                <w:b/>
                <w:bCs/>
                <w:sz w:val="16"/>
                <w:szCs w:val="16"/>
              </w:rPr>
              <w:t>231%</w:t>
            </w:r>
          </w:p>
        </w:tc>
        <w:tc>
          <w:tcPr>
            <w:tcW w:w="352" w:type="pct"/>
            <w:gridSpan w:val="2"/>
            <w:tcBorders>
              <w:top w:val="nil"/>
              <w:left w:val="nil"/>
              <w:bottom w:val="single" w:sz="4" w:space="0" w:color="auto"/>
              <w:right w:val="single" w:sz="4" w:space="0" w:color="auto"/>
            </w:tcBorders>
            <w:noWrap/>
            <w:vAlign w:val="center"/>
            <w:hideMark/>
          </w:tcPr>
          <w:p w14:paraId="727AA034"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6560E13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6693053C"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7F1A2104" w14:textId="77777777" w:rsidR="00033594" w:rsidRDefault="00033594">
            <w:pPr>
              <w:rPr>
                <w:rFonts w:ascii="Arial" w:hAnsi="Arial" w:cs="Arial"/>
                <w:color w:val="000000"/>
                <w:sz w:val="16"/>
                <w:szCs w:val="16"/>
              </w:rPr>
            </w:pPr>
            <w:r>
              <w:rPr>
                <w:rFonts w:ascii="Arial" w:hAnsi="Arial" w:cs="Arial"/>
                <w:sz w:val="16"/>
                <w:szCs w:val="16"/>
              </w:rPr>
              <w:t>VENTA DE SERVICIOS</w:t>
            </w:r>
          </w:p>
        </w:tc>
        <w:tc>
          <w:tcPr>
            <w:tcW w:w="437" w:type="pct"/>
            <w:gridSpan w:val="3"/>
            <w:tcBorders>
              <w:top w:val="nil"/>
              <w:left w:val="nil"/>
              <w:bottom w:val="single" w:sz="4" w:space="0" w:color="auto"/>
              <w:right w:val="single" w:sz="4" w:space="0" w:color="auto"/>
            </w:tcBorders>
            <w:noWrap/>
            <w:vAlign w:val="center"/>
            <w:hideMark/>
          </w:tcPr>
          <w:p w14:paraId="2871A23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7" w:type="pct"/>
            <w:gridSpan w:val="2"/>
            <w:tcBorders>
              <w:top w:val="nil"/>
              <w:left w:val="nil"/>
              <w:bottom w:val="single" w:sz="4" w:space="0" w:color="auto"/>
              <w:right w:val="single" w:sz="4" w:space="0" w:color="auto"/>
            </w:tcBorders>
            <w:noWrap/>
            <w:vAlign w:val="center"/>
            <w:hideMark/>
          </w:tcPr>
          <w:p w14:paraId="2A6828D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3" w:type="pct"/>
            <w:gridSpan w:val="2"/>
            <w:tcBorders>
              <w:top w:val="nil"/>
              <w:left w:val="nil"/>
              <w:bottom w:val="single" w:sz="4" w:space="0" w:color="auto"/>
              <w:right w:val="single" w:sz="4" w:space="0" w:color="auto"/>
            </w:tcBorders>
            <w:noWrap/>
            <w:vAlign w:val="center"/>
            <w:hideMark/>
          </w:tcPr>
          <w:p w14:paraId="78F471CF"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54BF15FF"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41BBC4F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41" w:type="pct"/>
            <w:gridSpan w:val="2"/>
            <w:tcBorders>
              <w:top w:val="nil"/>
              <w:left w:val="nil"/>
              <w:bottom w:val="single" w:sz="4" w:space="0" w:color="auto"/>
              <w:right w:val="single" w:sz="4" w:space="0" w:color="auto"/>
            </w:tcBorders>
            <w:noWrap/>
            <w:vAlign w:val="center"/>
            <w:hideMark/>
          </w:tcPr>
          <w:p w14:paraId="5B7FC55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4FC3833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1A8E77B4"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456C694C"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313CCEA0" w14:textId="77777777" w:rsidR="00033594" w:rsidRDefault="00033594">
            <w:pPr>
              <w:rPr>
                <w:rFonts w:ascii="Arial" w:hAnsi="Arial" w:cs="Arial"/>
                <w:color w:val="000000"/>
                <w:sz w:val="16"/>
                <w:szCs w:val="16"/>
              </w:rPr>
            </w:pPr>
            <w:r>
              <w:rPr>
                <w:rFonts w:ascii="Arial" w:hAnsi="Arial" w:cs="Arial"/>
                <w:sz w:val="16"/>
                <w:szCs w:val="16"/>
              </w:rPr>
              <w:t>TASAS, MULTAS Y CONTRIBUCIONES (D.E)</w:t>
            </w:r>
          </w:p>
        </w:tc>
        <w:tc>
          <w:tcPr>
            <w:tcW w:w="437" w:type="pct"/>
            <w:gridSpan w:val="3"/>
            <w:tcBorders>
              <w:top w:val="nil"/>
              <w:left w:val="nil"/>
              <w:bottom w:val="single" w:sz="4" w:space="0" w:color="auto"/>
              <w:right w:val="single" w:sz="4" w:space="0" w:color="auto"/>
            </w:tcBorders>
            <w:noWrap/>
            <w:vAlign w:val="center"/>
            <w:hideMark/>
          </w:tcPr>
          <w:p w14:paraId="04CFA553" w14:textId="77777777" w:rsidR="00033594" w:rsidRDefault="00033594">
            <w:pPr>
              <w:jc w:val="right"/>
              <w:rPr>
                <w:rFonts w:ascii="Arial" w:hAnsi="Arial" w:cs="Arial"/>
                <w:color w:val="000000"/>
                <w:sz w:val="16"/>
                <w:szCs w:val="16"/>
              </w:rPr>
            </w:pPr>
            <w:r>
              <w:rPr>
                <w:rFonts w:ascii="Arial" w:hAnsi="Arial" w:cs="Arial"/>
                <w:sz w:val="16"/>
                <w:szCs w:val="16"/>
              </w:rPr>
              <w:t>185.158</w:t>
            </w:r>
          </w:p>
        </w:tc>
        <w:tc>
          <w:tcPr>
            <w:tcW w:w="377" w:type="pct"/>
            <w:gridSpan w:val="2"/>
            <w:tcBorders>
              <w:top w:val="nil"/>
              <w:left w:val="nil"/>
              <w:bottom w:val="single" w:sz="4" w:space="0" w:color="auto"/>
              <w:right w:val="single" w:sz="4" w:space="0" w:color="auto"/>
            </w:tcBorders>
            <w:noWrap/>
            <w:vAlign w:val="center"/>
            <w:hideMark/>
          </w:tcPr>
          <w:p w14:paraId="2D06026C" w14:textId="77777777" w:rsidR="00033594" w:rsidRDefault="00033594">
            <w:pPr>
              <w:jc w:val="right"/>
              <w:rPr>
                <w:rFonts w:ascii="Arial" w:hAnsi="Arial" w:cs="Arial"/>
                <w:color w:val="000000"/>
                <w:sz w:val="16"/>
                <w:szCs w:val="16"/>
              </w:rPr>
            </w:pPr>
            <w:r>
              <w:rPr>
                <w:rFonts w:ascii="Arial" w:hAnsi="Arial" w:cs="Arial"/>
                <w:sz w:val="16"/>
                <w:szCs w:val="16"/>
              </w:rPr>
              <w:t>429.254</w:t>
            </w:r>
          </w:p>
        </w:tc>
        <w:tc>
          <w:tcPr>
            <w:tcW w:w="303" w:type="pct"/>
            <w:gridSpan w:val="2"/>
            <w:tcBorders>
              <w:top w:val="nil"/>
              <w:left w:val="nil"/>
              <w:bottom w:val="single" w:sz="4" w:space="0" w:color="auto"/>
              <w:right w:val="single" w:sz="4" w:space="0" w:color="auto"/>
            </w:tcBorders>
            <w:noWrap/>
            <w:vAlign w:val="center"/>
            <w:hideMark/>
          </w:tcPr>
          <w:p w14:paraId="5A97B59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091E18D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62AC4978" w14:textId="77777777" w:rsidR="00033594" w:rsidRDefault="00033594">
            <w:pPr>
              <w:jc w:val="right"/>
              <w:rPr>
                <w:rFonts w:ascii="Arial" w:hAnsi="Arial" w:cs="Arial"/>
                <w:color w:val="000000"/>
                <w:sz w:val="16"/>
                <w:szCs w:val="16"/>
              </w:rPr>
            </w:pPr>
            <w:r>
              <w:rPr>
                <w:rFonts w:ascii="Arial" w:hAnsi="Arial" w:cs="Arial"/>
                <w:sz w:val="16"/>
                <w:szCs w:val="16"/>
              </w:rPr>
              <w:t>99%</w:t>
            </w:r>
          </w:p>
        </w:tc>
        <w:tc>
          <w:tcPr>
            <w:tcW w:w="341" w:type="pct"/>
            <w:gridSpan w:val="2"/>
            <w:tcBorders>
              <w:top w:val="nil"/>
              <w:left w:val="nil"/>
              <w:bottom w:val="single" w:sz="4" w:space="0" w:color="auto"/>
              <w:right w:val="single" w:sz="4" w:space="0" w:color="auto"/>
            </w:tcBorders>
            <w:noWrap/>
            <w:vAlign w:val="center"/>
            <w:hideMark/>
          </w:tcPr>
          <w:p w14:paraId="068B7E7A" w14:textId="77777777" w:rsidR="00033594" w:rsidRDefault="00033594">
            <w:pPr>
              <w:jc w:val="right"/>
              <w:rPr>
                <w:rFonts w:ascii="Arial" w:hAnsi="Arial" w:cs="Arial"/>
                <w:color w:val="000000"/>
                <w:sz w:val="16"/>
                <w:szCs w:val="16"/>
              </w:rPr>
            </w:pPr>
            <w:r>
              <w:rPr>
                <w:rFonts w:ascii="Arial" w:hAnsi="Arial" w:cs="Arial"/>
                <w:sz w:val="16"/>
                <w:szCs w:val="16"/>
              </w:rPr>
              <w:t>229%</w:t>
            </w:r>
          </w:p>
        </w:tc>
        <w:tc>
          <w:tcPr>
            <w:tcW w:w="352" w:type="pct"/>
            <w:gridSpan w:val="2"/>
            <w:tcBorders>
              <w:top w:val="nil"/>
              <w:left w:val="nil"/>
              <w:bottom w:val="single" w:sz="4" w:space="0" w:color="auto"/>
              <w:right w:val="single" w:sz="4" w:space="0" w:color="auto"/>
            </w:tcBorders>
            <w:noWrap/>
            <w:vAlign w:val="center"/>
            <w:hideMark/>
          </w:tcPr>
          <w:p w14:paraId="307FC7C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31207670"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7342CC61"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6B1074CE" w14:textId="77777777" w:rsidR="00033594" w:rsidRDefault="00033594">
            <w:pPr>
              <w:rPr>
                <w:rFonts w:ascii="Arial" w:hAnsi="Arial" w:cs="Arial"/>
                <w:color w:val="000000"/>
                <w:sz w:val="16"/>
                <w:szCs w:val="16"/>
              </w:rPr>
            </w:pPr>
            <w:r>
              <w:rPr>
                <w:rFonts w:ascii="Arial" w:hAnsi="Arial" w:cs="Arial"/>
                <w:sz w:val="16"/>
                <w:szCs w:val="16"/>
              </w:rPr>
              <w:t>OTROS INGRESOS</w:t>
            </w:r>
          </w:p>
        </w:tc>
        <w:tc>
          <w:tcPr>
            <w:tcW w:w="437" w:type="pct"/>
            <w:gridSpan w:val="3"/>
            <w:tcBorders>
              <w:top w:val="nil"/>
              <w:left w:val="nil"/>
              <w:bottom w:val="single" w:sz="4" w:space="0" w:color="auto"/>
              <w:right w:val="single" w:sz="4" w:space="0" w:color="auto"/>
            </w:tcBorders>
            <w:noWrap/>
            <w:vAlign w:val="center"/>
            <w:hideMark/>
          </w:tcPr>
          <w:p w14:paraId="715DE7C3" w14:textId="77777777" w:rsidR="00033594" w:rsidRDefault="00033594">
            <w:pPr>
              <w:jc w:val="right"/>
              <w:rPr>
                <w:rFonts w:ascii="Arial" w:hAnsi="Arial" w:cs="Arial"/>
                <w:color w:val="000000"/>
                <w:sz w:val="16"/>
                <w:szCs w:val="16"/>
              </w:rPr>
            </w:pPr>
            <w:r>
              <w:rPr>
                <w:rFonts w:ascii="Arial" w:hAnsi="Arial" w:cs="Arial"/>
                <w:sz w:val="16"/>
                <w:szCs w:val="16"/>
              </w:rPr>
              <w:t>3.410</w:t>
            </w:r>
          </w:p>
        </w:tc>
        <w:tc>
          <w:tcPr>
            <w:tcW w:w="377" w:type="pct"/>
            <w:gridSpan w:val="2"/>
            <w:tcBorders>
              <w:top w:val="nil"/>
              <w:left w:val="nil"/>
              <w:bottom w:val="single" w:sz="4" w:space="0" w:color="auto"/>
              <w:right w:val="single" w:sz="4" w:space="0" w:color="auto"/>
            </w:tcBorders>
            <w:noWrap/>
            <w:vAlign w:val="center"/>
            <w:hideMark/>
          </w:tcPr>
          <w:p w14:paraId="3A911774" w14:textId="77777777" w:rsidR="00033594" w:rsidRDefault="00033594">
            <w:pPr>
              <w:jc w:val="right"/>
              <w:rPr>
                <w:rFonts w:ascii="Arial" w:hAnsi="Arial" w:cs="Arial"/>
                <w:color w:val="000000"/>
                <w:sz w:val="16"/>
                <w:szCs w:val="16"/>
              </w:rPr>
            </w:pPr>
            <w:r>
              <w:rPr>
                <w:rFonts w:ascii="Arial" w:hAnsi="Arial" w:cs="Arial"/>
                <w:sz w:val="16"/>
                <w:szCs w:val="16"/>
              </w:rPr>
              <w:t>3.439</w:t>
            </w:r>
          </w:p>
        </w:tc>
        <w:tc>
          <w:tcPr>
            <w:tcW w:w="303" w:type="pct"/>
            <w:gridSpan w:val="2"/>
            <w:tcBorders>
              <w:top w:val="nil"/>
              <w:left w:val="nil"/>
              <w:bottom w:val="single" w:sz="4" w:space="0" w:color="auto"/>
              <w:right w:val="single" w:sz="4" w:space="0" w:color="auto"/>
            </w:tcBorders>
            <w:noWrap/>
            <w:vAlign w:val="center"/>
            <w:hideMark/>
          </w:tcPr>
          <w:p w14:paraId="6B3DA17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36685AC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5C6E4FA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41" w:type="pct"/>
            <w:gridSpan w:val="2"/>
            <w:tcBorders>
              <w:top w:val="nil"/>
              <w:left w:val="nil"/>
              <w:bottom w:val="single" w:sz="4" w:space="0" w:color="auto"/>
              <w:right w:val="single" w:sz="4" w:space="0" w:color="auto"/>
            </w:tcBorders>
            <w:noWrap/>
            <w:vAlign w:val="center"/>
            <w:hideMark/>
          </w:tcPr>
          <w:p w14:paraId="0EF222E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7A31564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51C7A647"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4BD1608C"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64A7963A" w14:textId="77777777" w:rsidR="00033594" w:rsidRDefault="00033594">
            <w:pPr>
              <w:rPr>
                <w:rFonts w:ascii="Arial" w:hAnsi="Arial" w:cs="Arial"/>
                <w:b/>
                <w:bCs/>
                <w:color w:val="000000"/>
                <w:sz w:val="16"/>
                <w:szCs w:val="16"/>
              </w:rPr>
            </w:pPr>
            <w:r>
              <w:rPr>
                <w:rFonts w:ascii="Arial" w:hAnsi="Arial" w:cs="Arial"/>
                <w:b/>
                <w:bCs/>
                <w:sz w:val="16"/>
                <w:szCs w:val="16"/>
              </w:rPr>
              <w:t>RECURSOS DE CAPITAL</w:t>
            </w:r>
          </w:p>
        </w:tc>
        <w:tc>
          <w:tcPr>
            <w:tcW w:w="437" w:type="pct"/>
            <w:gridSpan w:val="3"/>
            <w:tcBorders>
              <w:top w:val="nil"/>
              <w:left w:val="nil"/>
              <w:bottom w:val="single" w:sz="4" w:space="0" w:color="auto"/>
              <w:right w:val="single" w:sz="4" w:space="0" w:color="auto"/>
            </w:tcBorders>
            <w:noWrap/>
            <w:vAlign w:val="center"/>
            <w:hideMark/>
          </w:tcPr>
          <w:p w14:paraId="0C3B2BFB" w14:textId="77777777" w:rsidR="00033594" w:rsidRDefault="00033594">
            <w:pPr>
              <w:jc w:val="right"/>
              <w:rPr>
                <w:rFonts w:ascii="Arial" w:hAnsi="Arial" w:cs="Arial"/>
                <w:b/>
                <w:bCs/>
                <w:color w:val="000000"/>
                <w:sz w:val="16"/>
                <w:szCs w:val="16"/>
              </w:rPr>
            </w:pPr>
            <w:r>
              <w:rPr>
                <w:rFonts w:ascii="Arial" w:hAnsi="Arial" w:cs="Arial"/>
                <w:b/>
                <w:bCs/>
                <w:sz w:val="16"/>
                <w:szCs w:val="16"/>
              </w:rPr>
              <w:t>75</w:t>
            </w:r>
          </w:p>
        </w:tc>
        <w:tc>
          <w:tcPr>
            <w:tcW w:w="377" w:type="pct"/>
            <w:gridSpan w:val="2"/>
            <w:tcBorders>
              <w:top w:val="nil"/>
              <w:left w:val="nil"/>
              <w:bottom w:val="single" w:sz="4" w:space="0" w:color="auto"/>
              <w:right w:val="single" w:sz="4" w:space="0" w:color="auto"/>
            </w:tcBorders>
            <w:noWrap/>
            <w:vAlign w:val="center"/>
            <w:hideMark/>
          </w:tcPr>
          <w:p w14:paraId="5512E7CA" w14:textId="77777777" w:rsidR="00033594" w:rsidRDefault="00033594">
            <w:pPr>
              <w:jc w:val="right"/>
              <w:rPr>
                <w:rFonts w:ascii="Arial" w:hAnsi="Arial" w:cs="Arial"/>
                <w:b/>
                <w:bCs/>
                <w:color w:val="000000"/>
                <w:sz w:val="16"/>
                <w:szCs w:val="16"/>
              </w:rPr>
            </w:pPr>
            <w:r>
              <w:rPr>
                <w:rFonts w:ascii="Arial" w:hAnsi="Arial" w:cs="Arial"/>
                <w:b/>
                <w:bCs/>
                <w:sz w:val="16"/>
                <w:szCs w:val="16"/>
              </w:rPr>
              <w:t>159</w:t>
            </w:r>
          </w:p>
        </w:tc>
        <w:tc>
          <w:tcPr>
            <w:tcW w:w="303" w:type="pct"/>
            <w:gridSpan w:val="2"/>
            <w:tcBorders>
              <w:top w:val="nil"/>
              <w:left w:val="nil"/>
              <w:bottom w:val="single" w:sz="4" w:space="0" w:color="auto"/>
              <w:right w:val="single" w:sz="4" w:space="0" w:color="auto"/>
            </w:tcBorders>
            <w:noWrap/>
            <w:vAlign w:val="center"/>
            <w:hideMark/>
          </w:tcPr>
          <w:p w14:paraId="515325A5"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7DD80F0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64C60C9C"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41" w:type="pct"/>
            <w:gridSpan w:val="2"/>
            <w:tcBorders>
              <w:top w:val="nil"/>
              <w:left w:val="nil"/>
              <w:bottom w:val="single" w:sz="4" w:space="0" w:color="auto"/>
              <w:right w:val="single" w:sz="4" w:space="0" w:color="auto"/>
            </w:tcBorders>
            <w:noWrap/>
            <w:vAlign w:val="center"/>
            <w:hideMark/>
          </w:tcPr>
          <w:p w14:paraId="1CDEA10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23D35F28"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7EF6596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2FB562D5"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3A71AC4F" w14:textId="77777777" w:rsidR="00033594" w:rsidRDefault="00033594">
            <w:pPr>
              <w:rPr>
                <w:rFonts w:ascii="Arial" w:hAnsi="Arial" w:cs="Arial"/>
                <w:color w:val="000000"/>
                <w:sz w:val="16"/>
                <w:szCs w:val="16"/>
              </w:rPr>
            </w:pPr>
            <w:r>
              <w:rPr>
                <w:rFonts w:ascii="Arial" w:hAnsi="Arial" w:cs="Arial"/>
                <w:sz w:val="16"/>
                <w:szCs w:val="16"/>
              </w:rPr>
              <w:t>RENDIMIENTOS FINANCIEROS</w:t>
            </w:r>
          </w:p>
        </w:tc>
        <w:tc>
          <w:tcPr>
            <w:tcW w:w="437" w:type="pct"/>
            <w:gridSpan w:val="3"/>
            <w:tcBorders>
              <w:top w:val="nil"/>
              <w:left w:val="nil"/>
              <w:bottom w:val="single" w:sz="4" w:space="0" w:color="auto"/>
              <w:right w:val="single" w:sz="4" w:space="0" w:color="auto"/>
            </w:tcBorders>
            <w:noWrap/>
            <w:vAlign w:val="center"/>
            <w:hideMark/>
          </w:tcPr>
          <w:p w14:paraId="35EC172F" w14:textId="77777777" w:rsidR="00033594" w:rsidRDefault="00033594">
            <w:pPr>
              <w:jc w:val="right"/>
              <w:rPr>
                <w:rFonts w:ascii="Arial" w:hAnsi="Arial" w:cs="Arial"/>
                <w:color w:val="000000"/>
                <w:sz w:val="16"/>
                <w:szCs w:val="16"/>
              </w:rPr>
            </w:pPr>
            <w:r>
              <w:rPr>
                <w:rFonts w:ascii="Arial" w:hAnsi="Arial" w:cs="Arial"/>
                <w:sz w:val="16"/>
                <w:szCs w:val="16"/>
              </w:rPr>
              <w:t>75</w:t>
            </w:r>
          </w:p>
        </w:tc>
        <w:tc>
          <w:tcPr>
            <w:tcW w:w="377" w:type="pct"/>
            <w:gridSpan w:val="2"/>
            <w:tcBorders>
              <w:top w:val="nil"/>
              <w:left w:val="nil"/>
              <w:bottom w:val="single" w:sz="4" w:space="0" w:color="auto"/>
              <w:right w:val="single" w:sz="4" w:space="0" w:color="auto"/>
            </w:tcBorders>
            <w:noWrap/>
            <w:vAlign w:val="center"/>
            <w:hideMark/>
          </w:tcPr>
          <w:p w14:paraId="3D4240AA" w14:textId="77777777" w:rsidR="00033594" w:rsidRDefault="00033594">
            <w:pPr>
              <w:jc w:val="right"/>
              <w:rPr>
                <w:rFonts w:ascii="Arial" w:hAnsi="Arial" w:cs="Arial"/>
                <w:color w:val="000000"/>
                <w:sz w:val="16"/>
                <w:szCs w:val="16"/>
              </w:rPr>
            </w:pPr>
            <w:r>
              <w:rPr>
                <w:rFonts w:ascii="Arial" w:hAnsi="Arial" w:cs="Arial"/>
                <w:sz w:val="16"/>
                <w:szCs w:val="16"/>
              </w:rPr>
              <w:t>159</w:t>
            </w:r>
          </w:p>
        </w:tc>
        <w:tc>
          <w:tcPr>
            <w:tcW w:w="303" w:type="pct"/>
            <w:gridSpan w:val="2"/>
            <w:tcBorders>
              <w:top w:val="nil"/>
              <w:left w:val="nil"/>
              <w:bottom w:val="single" w:sz="4" w:space="0" w:color="auto"/>
              <w:right w:val="single" w:sz="4" w:space="0" w:color="auto"/>
            </w:tcBorders>
            <w:noWrap/>
            <w:vAlign w:val="center"/>
            <w:hideMark/>
          </w:tcPr>
          <w:p w14:paraId="31B7846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685EA081"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11406D3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41" w:type="pct"/>
            <w:gridSpan w:val="2"/>
            <w:tcBorders>
              <w:top w:val="nil"/>
              <w:left w:val="nil"/>
              <w:bottom w:val="single" w:sz="4" w:space="0" w:color="auto"/>
              <w:right w:val="single" w:sz="4" w:space="0" w:color="auto"/>
            </w:tcBorders>
            <w:noWrap/>
            <w:vAlign w:val="center"/>
            <w:hideMark/>
          </w:tcPr>
          <w:p w14:paraId="6FAA0C6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69AB95B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769AE7A4"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5CFC4AF2"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5C9D6091" w14:textId="77777777" w:rsidR="00033594" w:rsidRDefault="00033594">
            <w:pPr>
              <w:rPr>
                <w:rFonts w:ascii="Arial" w:hAnsi="Arial" w:cs="Arial"/>
                <w:b/>
                <w:bCs/>
                <w:color w:val="000000"/>
                <w:sz w:val="16"/>
                <w:szCs w:val="16"/>
              </w:rPr>
            </w:pPr>
            <w:r>
              <w:rPr>
                <w:rFonts w:ascii="Arial" w:hAnsi="Arial" w:cs="Arial"/>
                <w:b/>
                <w:bCs/>
                <w:sz w:val="16"/>
                <w:szCs w:val="16"/>
              </w:rPr>
              <w:t>RECURSOS DEL BALANCE</w:t>
            </w:r>
          </w:p>
        </w:tc>
        <w:tc>
          <w:tcPr>
            <w:tcW w:w="437" w:type="pct"/>
            <w:gridSpan w:val="3"/>
            <w:tcBorders>
              <w:top w:val="nil"/>
              <w:left w:val="nil"/>
              <w:bottom w:val="single" w:sz="4" w:space="0" w:color="auto"/>
              <w:right w:val="single" w:sz="4" w:space="0" w:color="auto"/>
            </w:tcBorders>
            <w:noWrap/>
            <w:vAlign w:val="center"/>
            <w:hideMark/>
          </w:tcPr>
          <w:p w14:paraId="1C8E76B1" w14:textId="77777777" w:rsidR="00033594" w:rsidRDefault="00033594">
            <w:pPr>
              <w:jc w:val="right"/>
              <w:rPr>
                <w:rFonts w:ascii="Arial" w:hAnsi="Arial" w:cs="Arial"/>
                <w:b/>
                <w:bCs/>
                <w:color w:val="000000"/>
                <w:sz w:val="16"/>
                <w:szCs w:val="16"/>
              </w:rPr>
            </w:pPr>
            <w:r>
              <w:rPr>
                <w:rFonts w:ascii="Arial" w:hAnsi="Arial" w:cs="Arial"/>
                <w:b/>
                <w:bCs/>
                <w:sz w:val="16"/>
                <w:szCs w:val="16"/>
              </w:rPr>
              <w:t>453.187</w:t>
            </w:r>
          </w:p>
        </w:tc>
        <w:tc>
          <w:tcPr>
            <w:tcW w:w="377" w:type="pct"/>
            <w:gridSpan w:val="2"/>
            <w:tcBorders>
              <w:top w:val="nil"/>
              <w:left w:val="nil"/>
              <w:bottom w:val="single" w:sz="4" w:space="0" w:color="auto"/>
              <w:right w:val="single" w:sz="4" w:space="0" w:color="auto"/>
            </w:tcBorders>
            <w:noWrap/>
            <w:vAlign w:val="center"/>
            <w:hideMark/>
          </w:tcPr>
          <w:p w14:paraId="206C19E0" w14:textId="77777777" w:rsidR="00033594" w:rsidRDefault="00033594">
            <w:pPr>
              <w:jc w:val="right"/>
              <w:rPr>
                <w:rFonts w:ascii="Arial" w:hAnsi="Arial" w:cs="Arial"/>
                <w:b/>
                <w:bCs/>
                <w:color w:val="000000"/>
                <w:sz w:val="16"/>
                <w:szCs w:val="16"/>
              </w:rPr>
            </w:pPr>
            <w:r>
              <w:rPr>
                <w:rFonts w:ascii="Arial" w:hAnsi="Arial" w:cs="Arial"/>
                <w:b/>
                <w:bCs/>
                <w:sz w:val="16"/>
                <w:szCs w:val="16"/>
              </w:rPr>
              <w:t>453.559</w:t>
            </w:r>
          </w:p>
        </w:tc>
        <w:tc>
          <w:tcPr>
            <w:tcW w:w="303" w:type="pct"/>
            <w:gridSpan w:val="2"/>
            <w:tcBorders>
              <w:top w:val="nil"/>
              <w:left w:val="nil"/>
              <w:bottom w:val="single" w:sz="4" w:space="0" w:color="auto"/>
              <w:right w:val="single" w:sz="4" w:space="0" w:color="auto"/>
            </w:tcBorders>
            <w:noWrap/>
            <w:vAlign w:val="center"/>
            <w:hideMark/>
          </w:tcPr>
          <w:p w14:paraId="6E297B57"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486DB80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343AF03E" w14:textId="77777777" w:rsidR="00033594" w:rsidRDefault="00033594">
            <w:pPr>
              <w:jc w:val="right"/>
              <w:rPr>
                <w:rFonts w:ascii="Arial" w:hAnsi="Arial" w:cs="Arial"/>
                <w:b/>
                <w:bCs/>
                <w:color w:val="000000"/>
                <w:sz w:val="16"/>
                <w:szCs w:val="16"/>
              </w:rPr>
            </w:pPr>
            <w:r>
              <w:rPr>
                <w:rFonts w:ascii="Arial" w:hAnsi="Arial" w:cs="Arial"/>
                <w:b/>
                <w:bCs/>
                <w:sz w:val="16"/>
                <w:szCs w:val="16"/>
              </w:rPr>
              <w:t>100%</w:t>
            </w:r>
          </w:p>
        </w:tc>
        <w:tc>
          <w:tcPr>
            <w:tcW w:w="341" w:type="pct"/>
            <w:gridSpan w:val="2"/>
            <w:tcBorders>
              <w:top w:val="nil"/>
              <w:left w:val="nil"/>
              <w:bottom w:val="single" w:sz="4" w:space="0" w:color="auto"/>
              <w:right w:val="single" w:sz="4" w:space="0" w:color="auto"/>
            </w:tcBorders>
            <w:noWrap/>
            <w:vAlign w:val="center"/>
            <w:hideMark/>
          </w:tcPr>
          <w:p w14:paraId="541F375D" w14:textId="77777777" w:rsidR="00033594" w:rsidRDefault="00033594">
            <w:pPr>
              <w:jc w:val="right"/>
              <w:rPr>
                <w:rFonts w:ascii="Arial" w:hAnsi="Arial" w:cs="Arial"/>
                <w:b/>
                <w:bCs/>
                <w:color w:val="000000"/>
                <w:sz w:val="16"/>
                <w:szCs w:val="16"/>
              </w:rPr>
            </w:pPr>
            <w:r>
              <w:rPr>
                <w:rFonts w:ascii="Arial" w:hAnsi="Arial" w:cs="Arial"/>
                <w:b/>
                <w:bCs/>
                <w:sz w:val="16"/>
                <w:szCs w:val="16"/>
              </w:rPr>
              <w:t>100%</w:t>
            </w:r>
          </w:p>
        </w:tc>
        <w:tc>
          <w:tcPr>
            <w:tcW w:w="352" w:type="pct"/>
            <w:gridSpan w:val="2"/>
            <w:tcBorders>
              <w:top w:val="nil"/>
              <w:left w:val="nil"/>
              <w:bottom w:val="single" w:sz="4" w:space="0" w:color="auto"/>
              <w:right w:val="single" w:sz="4" w:space="0" w:color="auto"/>
            </w:tcBorders>
            <w:noWrap/>
            <w:vAlign w:val="center"/>
            <w:hideMark/>
          </w:tcPr>
          <w:p w14:paraId="4C9BD78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11A75F36"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1613806D"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noWrap/>
            <w:vAlign w:val="center"/>
            <w:hideMark/>
          </w:tcPr>
          <w:p w14:paraId="55D405D2" w14:textId="77777777" w:rsidR="00033594" w:rsidRDefault="00033594">
            <w:pPr>
              <w:rPr>
                <w:rFonts w:ascii="Arial" w:hAnsi="Arial" w:cs="Arial"/>
                <w:color w:val="000000"/>
                <w:sz w:val="16"/>
                <w:szCs w:val="16"/>
              </w:rPr>
            </w:pPr>
            <w:r>
              <w:rPr>
                <w:rFonts w:ascii="Arial" w:hAnsi="Arial" w:cs="Arial"/>
                <w:sz w:val="16"/>
                <w:szCs w:val="16"/>
              </w:rPr>
              <w:t>VENTA DE ACTIVOS</w:t>
            </w:r>
          </w:p>
        </w:tc>
        <w:tc>
          <w:tcPr>
            <w:tcW w:w="437" w:type="pct"/>
            <w:gridSpan w:val="3"/>
            <w:tcBorders>
              <w:top w:val="nil"/>
              <w:left w:val="nil"/>
              <w:bottom w:val="single" w:sz="4" w:space="0" w:color="auto"/>
              <w:right w:val="single" w:sz="4" w:space="0" w:color="auto"/>
            </w:tcBorders>
            <w:noWrap/>
            <w:vAlign w:val="center"/>
            <w:hideMark/>
          </w:tcPr>
          <w:p w14:paraId="41F0364F"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7" w:type="pct"/>
            <w:gridSpan w:val="2"/>
            <w:tcBorders>
              <w:top w:val="nil"/>
              <w:left w:val="nil"/>
              <w:bottom w:val="single" w:sz="4" w:space="0" w:color="auto"/>
              <w:right w:val="single" w:sz="4" w:space="0" w:color="auto"/>
            </w:tcBorders>
            <w:noWrap/>
            <w:vAlign w:val="center"/>
            <w:hideMark/>
          </w:tcPr>
          <w:p w14:paraId="3760598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03" w:type="pct"/>
            <w:gridSpan w:val="2"/>
            <w:tcBorders>
              <w:top w:val="nil"/>
              <w:left w:val="nil"/>
              <w:bottom w:val="single" w:sz="4" w:space="0" w:color="auto"/>
              <w:right w:val="single" w:sz="4" w:space="0" w:color="auto"/>
            </w:tcBorders>
            <w:noWrap/>
            <w:vAlign w:val="center"/>
            <w:hideMark/>
          </w:tcPr>
          <w:p w14:paraId="065862C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07D2E72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40FAA21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41" w:type="pct"/>
            <w:gridSpan w:val="2"/>
            <w:tcBorders>
              <w:top w:val="nil"/>
              <w:left w:val="nil"/>
              <w:bottom w:val="single" w:sz="4" w:space="0" w:color="auto"/>
              <w:right w:val="single" w:sz="4" w:space="0" w:color="auto"/>
            </w:tcBorders>
            <w:noWrap/>
            <w:vAlign w:val="center"/>
            <w:hideMark/>
          </w:tcPr>
          <w:p w14:paraId="6A299E9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59B66E0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46A72A6D"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69EA8ADF" w14:textId="77777777" w:rsidTr="00033594">
        <w:trPr>
          <w:gridAfter w:val="1"/>
          <w:wAfter w:w="296" w:type="pct"/>
          <w:trHeight w:val="450"/>
        </w:trPr>
        <w:tc>
          <w:tcPr>
            <w:tcW w:w="1815" w:type="pct"/>
            <w:tcBorders>
              <w:top w:val="nil"/>
              <w:left w:val="single" w:sz="4" w:space="0" w:color="auto"/>
              <w:bottom w:val="single" w:sz="4" w:space="0" w:color="auto"/>
              <w:right w:val="single" w:sz="4" w:space="0" w:color="auto"/>
            </w:tcBorders>
            <w:vAlign w:val="center"/>
            <w:hideMark/>
          </w:tcPr>
          <w:p w14:paraId="05328D80" w14:textId="77777777" w:rsidR="00033594" w:rsidRDefault="00033594">
            <w:pPr>
              <w:rPr>
                <w:rFonts w:ascii="Arial" w:hAnsi="Arial" w:cs="Arial"/>
                <w:color w:val="000000"/>
                <w:sz w:val="16"/>
                <w:szCs w:val="16"/>
              </w:rPr>
            </w:pPr>
            <w:r>
              <w:rPr>
                <w:rFonts w:ascii="Arial" w:hAnsi="Arial" w:cs="Arial"/>
                <w:sz w:val="16"/>
                <w:szCs w:val="16"/>
              </w:rPr>
              <w:t>OTROS RECURSOS DEL BALANCE (INT.MORA)</w:t>
            </w:r>
          </w:p>
        </w:tc>
        <w:tc>
          <w:tcPr>
            <w:tcW w:w="437" w:type="pct"/>
            <w:gridSpan w:val="3"/>
            <w:tcBorders>
              <w:top w:val="nil"/>
              <w:left w:val="nil"/>
              <w:bottom w:val="single" w:sz="4" w:space="0" w:color="auto"/>
              <w:right w:val="single" w:sz="4" w:space="0" w:color="auto"/>
            </w:tcBorders>
            <w:noWrap/>
            <w:vAlign w:val="center"/>
            <w:hideMark/>
          </w:tcPr>
          <w:p w14:paraId="7F6B07F1" w14:textId="77777777" w:rsidR="00033594" w:rsidRDefault="00033594">
            <w:pPr>
              <w:jc w:val="right"/>
              <w:rPr>
                <w:rFonts w:ascii="Arial" w:hAnsi="Arial" w:cs="Arial"/>
                <w:color w:val="000000"/>
                <w:sz w:val="16"/>
                <w:szCs w:val="16"/>
              </w:rPr>
            </w:pPr>
            <w:r>
              <w:rPr>
                <w:rFonts w:ascii="Arial" w:hAnsi="Arial" w:cs="Arial"/>
                <w:sz w:val="16"/>
                <w:szCs w:val="16"/>
              </w:rPr>
              <w:t>465</w:t>
            </w:r>
          </w:p>
        </w:tc>
        <w:tc>
          <w:tcPr>
            <w:tcW w:w="377" w:type="pct"/>
            <w:gridSpan w:val="2"/>
            <w:tcBorders>
              <w:top w:val="nil"/>
              <w:left w:val="nil"/>
              <w:bottom w:val="single" w:sz="4" w:space="0" w:color="auto"/>
              <w:right w:val="single" w:sz="4" w:space="0" w:color="auto"/>
            </w:tcBorders>
            <w:noWrap/>
            <w:vAlign w:val="center"/>
            <w:hideMark/>
          </w:tcPr>
          <w:p w14:paraId="481C9B57" w14:textId="77777777" w:rsidR="00033594" w:rsidRDefault="00033594">
            <w:pPr>
              <w:jc w:val="right"/>
              <w:rPr>
                <w:rFonts w:ascii="Arial" w:hAnsi="Arial" w:cs="Arial"/>
                <w:color w:val="000000"/>
                <w:sz w:val="16"/>
                <w:szCs w:val="16"/>
              </w:rPr>
            </w:pPr>
            <w:r>
              <w:rPr>
                <w:rFonts w:ascii="Arial" w:hAnsi="Arial" w:cs="Arial"/>
                <w:sz w:val="16"/>
                <w:szCs w:val="16"/>
              </w:rPr>
              <w:t>837</w:t>
            </w:r>
          </w:p>
        </w:tc>
        <w:tc>
          <w:tcPr>
            <w:tcW w:w="303" w:type="pct"/>
            <w:gridSpan w:val="2"/>
            <w:tcBorders>
              <w:top w:val="nil"/>
              <w:left w:val="nil"/>
              <w:bottom w:val="single" w:sz="4" w:space="0" w:color="auto"/>
              <w:right w:val="single" w:sz="4" w:space="0" w:color="auto"/>
            </w:tcBorders>
            <w:noWrap/>
            <w:vAlign w:val="center"/>
            <w:hideMark/>
          </w:tcPr>
          <w:p w14:paraId="0C803CF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2EAE7EF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774A3B1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41" w:type="pct"/>
            <w:gridSpan w:val="2"/>
            <w:tcBorders>
              <w:top w:val="nil"/>
              <w:left w:val="nil"/>
              <w:bottom w:val="single" w:sz="4" w:space="0" w:color="auto"/>
              <w:right w:val="single" w:sz="4" w:space="0" w:color="auto"/>
            </w:tcBorders>
            <w:noWrap/>
            <w:vAlign w:val="center"/>
            <w:hideMark/>
          </w:tcPr>
          <w:p w14:paraId="75C9243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407F236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687EF785"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25BADDE1"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vAlign w:val="center"/>
            <w:hideMark/>
          </w:tcPr>
          <w:p w14:paraId="65DE79E1" w14:textId="77777777" w:rsidR="00033594" w:rsidRDefault="00033594">
            <w:pPr>
              <w:rPr>
                <w:rFonts w:ascii="Arial" w:hAnsi="Arial" w:cs="Arial"/>
                <w:color w:val="000000"/>
                <w:sz w:val="16"/>
                <w:szCs w:val="16"/>
              </w:rPr>
            </w:pPr>
            <w:r>
              <w:rPr>
                <w:rFonts w:ascii="Arial" w:hAnsi="Arial" w:cs="Arial"/>
                <w:sz w:val="16"/>
                <w:szCs w:val="16"/>
              </w:rPr>
              <w:t>EXCEDENTES FINANCIEROS</w:t>
            </w:r>
          </w:p>
        </w:tc>
        <w:tc>
          <w:tcPr>
            <w:tcW w:w="437" w:type="pct"/>
            <w:gridSpan w:val="3"/>
            <w:tcBorders>
              <w:top w:val="nil"/>
              <w:left w:val="nil"/>
              <w:bottom w:val="single" w:sz="4" w:space="0" w:color="auto"/>
              <w:right w:val="single" w:sz="4" w:space="0" w:color="auto"/>
            </w:tcBorders>
            <w:noWrap/>
            <w:vAlign w:val="center"/>
            <w:hideMark/>
          </w:tcPr>
          <w:p w14:paraId="22F6AA05" w14:textId="77777777" w:rsidR="00033594" w:rsidRDefault="00033594">
            <w:pPr>
              <w:jc w:val="right"/>
              <w:rPr>
                <w:rFonts w:ascii="Arial" w:hAnsi="Arial" w:cs="Arial"/>
                <w:color w:val="000000"/>
                <w:sz w:val="16"/>
                <w:szCs w:val="16"/>
              </w:rPr>
            </w:pPr>
            <w:r>
              <w:rPr>
                <w:rFonts w:ascii="Arial" w:hAnsi="Arial" w:cs="Arial"/>
                <w:sz w:val="16"/>
                <w:szCs w:val="16"/>
              </w:rPr>
              <w:t>452.722</w:t>
            </w:r>
          </w:p>
        </w:tc>
        <w:tc>
          <w:tcPr>
            <w:tcW w:w="377" w:type="pct"/>
            <w:gridSpan w:val="2"/>
            <w:tcBorders>
              <w:top w:val="nil"/>
              <w:left w:val="nil"/>
              <w:bottom w:val="single" w:sz="4" w:space="0" w:color="auto"/>
              <w:right w:val="single" w:sz="4" w:space="0" w:color="auto"/>
            </w:tcBorders>
            <w:noWrap/>
            <w:vAlign w:val="center"/>
            <w:hideMark/>
          </w:tcPr>
          <w:p w14:paraId="6BE55044" w14:textId="77777777" w:rsidR="00033594" w:rsidRDefault="00033594">
            <w:pPr>
              <w:jc w:val="right"/>
              <w:rPr>
                <w:rFonts w:ascii="Arial" w:hAnsi="Arial" w:cs="Arial"/>
                <w:color w:val="000000"/>
                <w:sz w:val="16"/>
                <w:szCs w:val="16"/>
              </w:rPr>
            </w:pPr>
            <w:r>
              <w:rPr>
                <w:rFonts w:ascii="Arial" w:hAnsi="Arial" w:cs="Arial"/>
                <w:sz w:val="16"/>
                <w:szCs w:val="16"/>
              </w:rPr>
              <w:t>452.722</w:t>
            </w:r>
          </w:p>
        </w:tc>
        <w:tc>
          <w:tcPr>
            <w:tcW w:w="303" w:type="pct"/>
            <w:gridSpan w:val="2"/>
            <w:tcBorders>
              <w:top w:val="nil"/>
              <w:left w:val="nil"/>
              <w:bottom w:val="single" w:sz="4" w:space="0" w:color="auto"/>
              <w:right w:val="single" w:sz="4" w:space="0" w:color="auto"/>
            </w:tcBorders>
            <w:noWrap/>
            <w:vAlign w:val="center"/>
            <w:hideMark/>
          </w:tcPr>
          <w:p w14:paraId="5745215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121DAC6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52" w:type="pct"/>
            <w:gridSpan w:val="2"/>
            <w:tcBorders>
              <w:top w:val="nil"/>
              <w:left w:val="nil"/>
              <w:bottom w:val="single" w:sz="4" w:space="0" w:color="auto"/>
              <w:right w:val="single" w:sz="4" w:space="0" w:color="auto"/>
            </w:tcBorders>
            <w:noWrap/>
            <w:vAlign w:val="center"/>
            <w:hideMark/>
          </w:tcPr>
          <w:p w14:paraId="176BA710" w14:textId="77777777" w:rsidR="00033594" w:rsidRDefault="00033594">
            <w:pPr>
              <w:jc w:val="right"/>
              <w:rPr>
                <w:rFonts w:ascii="Arial" w:hAnsi="Arial" w:cs="Arial"/>
                <w:color w:val="000000"/>
                <w:sz w:val="16"/>
                <w:szCs w:val="16"/>
              </w:rPr>
            </w:pPr>
            <w:r>
              <w:rPr>
                <w:rFonts w:ascii="Arial" w:hAnsi="Arial" w:cs="Arial"/>
                <w:sz w:val="16"/>
                <w:szCs w:val="16"/>
              </w:rPr>
              <w:t>100%</w:t>
            </w:r>
          </w:p>
        </w:tc>
        <w:tc>
          <w:tcPr>
            <w:tcW w:w="341" w:type="pct"/>
            <w:gridSpan w:val="2"/>
            <w:tcBorders>
              <w:top w:val="nil"/>
              <w:left w:val="nil"/>
              <w:bottom w:val="single" w:sz="4" w:space="0" w:color="auto"/>
              <w:right w:val="single" w:sz="4" w:space="0" w:color="auto"/>
            </w:tcBorders>
            <w:noWrap/>
            <w:vAlign w:val="center"/>
            <w:hideMark/>
          </w:tcPr>
          <w:p w14:paraId="17F4DAC5" w14:textId="77777777" w:rsidR="00033594" w:rsidRDefault="00033594">
            <w:pPr>
              <w:jc w:val="right"/>
              <w:rPr>
                <w:rFonts w:ascii="Arial" w:hAnsi="Arial" w:cs="Arial"/>
                <w:color w:val="000000"/>
                <w:sz w:val="16"/>
                <w:szCs w:val="16"/>
              </w:rPr>
            </w:pPr>
            <w:r>
              <w:rPr>
                <w:rFonts w:ascii="Arial" w:hAnsi="Arial" w:cs="Arial"/>
                <w:sz w:val="16"/>
                <w:szCs w:val="16"/>
              </w:rPr>
              <w:t>100%</w:t>
            </w:r>
          </w:p>
        </w:tc>
        <w:tc>
          <w:tcPr>
            <w:tcW w:w="352" w:type="pct"/>
            <w:gridSpan w:val="2"/>
            <w:tcBorders>
              <w:top w:val="nil"/>
              <w:left w:val="nil"/>
              <w:bottom w:val="single" w:sz="4" w:space="0" w:color="auto"/>
              <w:right w:val="single" w:sz="4" w:space="0" w:color="auto"/>
            </w:tcBorders>
            <w:noWrap/>
            <w:vAlign w:val="center"/>
            <w:hideMark/>
          </w:tcPr>
          <w:p w14:paraId="277975C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4" w:type="pct"/>
            <w:gridSpan w:val="2"/>
            <w:tcBorders>
              <w:top w:val="nil"/>
              <w:left w:val="nil"/>
              <w:bottom w:val="single" w:sz="4" w:space="0" w:color="auto"/>
              <w:right w:val="single" w:sz="4" w:space="0" w:color="auto"/>
            </w:tcBorders>
            <w:noWrap/>
            <w:vAlign w:val="center"/>
            <w:hideMark/>
          </w:tcPr>
          <w:p w14:paraId="79A7642C"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11B0525B" w14:textId="77777777" w:rsidTr="00033594">
        <w:trPr>
          <w:gridAfter w:val="1"/>
          <w:wAfter w:w="296" w:type="pct"/>
          <w:trHeight w:val="300"/>
        </w:trPr>
        <w:tc>
          <w:tcPr>
            <w:tcW w:w="1815" w:type="pct"/>
            <w:tcBorders>
              <w:top w:val="nil"/>
              <w:left w:val="single" w:sz="4" w:space="0" w:color="auto"/>
              <w:bottom w:val="single" w:sz="4" w:space="0" w:color="auto"/>
              <w:right w:val="single" w:sz="4" w:space="0" w:color="auto"/>
            </w:tcBorders>
            <w:shd w:val="clear" w:color="auto" w:fill="4F81BD" w:themeFill="accent1"/>
            <w:noWrap/>
            <w:vAlign w:val="center"/>
            <w:hideMark/>
          </w:tcPr>
          <w:p w14:paraId="0CDEB7D0" w14:textId="77777777" w:rsidR="00033594" w:rsidRDefault="00033594">
            <w:pPr>
              <w:rPr>
                <w:rFonts w:ascii="Arial" w:hAnsi="Arial" w:cs="Arial"/>
                <w:b/>
                <w:bCs/>
                <w:color w:val="000000"/>
                <w:sz w:val="16"/>
                <w:szCs w:val="16"/>
              </w:rPr>
            </w:pPr>
            <w:r>
              <w:rPr>
                <w:rFonts w:ascii="Arial" w:hAnsi="Arial" w:cs="Arial"/>
                <w:b/>
                <w:bCs/>
                <w:sz w:val="16"/>
                <w:szCs w:val="16"/>
              </w:rPr>
              <w:t>TOTAL INGRESOS</w:t>
            </w:r>
          </w:p>
        </w:tc>
        <w:tc>
          <w:tcPr>
            <w:tcW w:w="437" w:type="pct"/>
            <w:gridSpan w:val="3"/>
            <w:tcBorders>
              <w:top w:val="nil"/>
              <w:left w:val="nil"/>
              <w:bottom w:val="single" w:sz="4" w:space="0" w:color="auto"/>
              <w:right w:val="single" w:sz="4" w:space="0" w:color="auto"/>
            </w:tcBorders>
            <w:shd w:val="clear" w:color="auto" w:fill="4F81BD" w:themeFill="accent1"/>
            <w:noWrap/>
            <w:vAlign w:val="center"/>
            <w:hideMark/>
          </w:tcPr>
          <w:p w14:paraId="573E6D72" w14:textId="77777777" w:rsidR="00033594" w:rsidRDefault="00033594">
            <w:pPr>
              <w:jc w:val="right"/>
              <w:rPr>
                <w:rFonts w:ascii="Arial" w:hAnsi="Arial" w:cs="Arial"/>
                <w:b/>
                <w:bCs/>
                <w:color w:val="000000"/>
                <w:sz w:val="16"/>
                <w:szCs w:val="16"/>
              </w:rPr>
            </w:pPr>
            <w:r>
              <w:rPr>
                <w:rFonts w:ascii="Arial" w:hAnsi="Arial" w:cs="Arial"/>
                <w:b/>
                <w:bCs/>
                <w:sz w:val="16"/>
                <w:szCs w:val="16"/>
              </w:rPr>
              <w:t>641.830</w:t>
            </w:r>
          </w:p>
        </w:tc>
        <w:tc>
          <w:tcPr>
            <w:tcW w:w="377" w:type="pct"/>
            <w:gridSpan w:val="2"/>
            <w:tcBorders>
              <w:top w:val="nil"/>
              <w:left w:val="nil"/>
              <w:bottom w:val="single" w:sz="4" w:space="0" w:color="auto"/>
              <w:right w:val="single" w:sz="4" w:space="0" w:color="auto"/>
            </w:tcBorders>
            <w:shd w:val="clear" w:color="auto" w:fill="4F81BD" w:themeFill="accent1"/>
            <w:noWrap/>
            <w:vAlign w:val="center"/>
            <w:hideMark/>
          </w:tcPr>
          <w:p w14:paraId="10F981D0" w14:textId="77777777" w:rsidR="00033594" w:rsidRDefault="00033594">
            <w:pPr>
              <w:jc w:val="right"/>
              <w:rPr>
                <w:rFonts w:ascii="Arial" w:hAnsi="Arial" w:cs="Arial"/>
                <w:b/>
                <w:bCs/>
                <w:color w:val="000000"/>
                <w:sz w:val="16"/>
                <w:szCs w:val="16"/>
              </w:rPr>
            </w:pPr>
            <w:r>
              <w:rPr>
                <w:rFonts w:ascii="Arial" w:hAnsi="Arial" w:cs="Arial"/>
                <w:b/>
                <w:bCs/>
                <w:sz w:val="16"/>
                <w:szCs w:val="16"/>
              </w:rPr>
              <w:t>886.411</w:t>
            </w:r>
          </w:p>
        </w:tc>
        <w:tc>
          <w:tcPr>
            <w:tcW w:w="303" w:type="pct"/>
            <w:gridSpan w:val="2"/>
            <w:tcBorders>
              <w:top w:val="nil"/>
              <w:left w:val="nil"/>
              <w:bottom w:val="single" w:sz="4" w:space="0" w:color="auto"/>
              <w:right w:val="single" w:sz="4" w:space="0" w:color="auto"/>
            </w:tcBorders>
            <w:shd w:val="clear" w:color="auto" w:fill="4F81BD" w:themeFill="accent1"/>
            <w:noWrap/>
            <w:vAlign w:val="center"/>
            <w:hideMark/>
          </w:tcPr>
          <w:p w14:paraId="4EF5C268"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shd w:val="clear" w:color="auto" w:fill="4F81BD" w:themeFill="accent1"/>
            <w:noWrap/>
            <w:vAlign w:val="center"/>
            <w:hideMark/>
          </w:tcPr>
          <w:p w14:paraId="452FF250"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52" w:type="pct"/>
            <w:gridSpan w:val="2"/>
            <w:tcBorders>
              <w:top w:val="nil"/>
              <w:left w:val="nil"/>
              <w:bottom w:val="single" w:sz="4" w:space="0" w:color="auto"/>
              <w:right w:val="single" w:sz="4" w:space="0" w:color="auto"/>
            </w:tcBorders>
            <w:shd w:val="clear" w:color="auto" w:fill="4F81BD" w:themeFill="accent1"/>
            <w:noWrap/>
            <w:vAlign w:val="center"/>
            <w:hideMark/>
          </w:tcPr>
          <w:p w14:paraId="5B6FBB6E" w14:textId="77777777" w:rsidR="00033594" w:rsidRDefault="00033594">
            <w:pPr>
              <w:jc w:val="right"/>
              <w:rPr>
                <w:rFonts w:ascii="Arial" w:hAnsi="Arial" w:cs="Arial"/>
                <w:b/>
                <w:bCs/>
                <w:color w:val="000000"/>
                <w:sz w:val="16"/>
                <w:szCs w:val="16"/>
              </w:rPr>
            </w:pPr>
            <w:r>
              <w:rPr>
                <w:rFonts w:ascii="Arial" w:hAnsi="Arial" w:cs="Arial"/>
                <w:b/>
                <w:bCs/>
                <w:sz w:val="16"/>
                <w:szCs w:val="16"/>
              </w:rPr>
              <w:t>100%</w:t>
            </w:r>
          </w:p>
        </w:tc>
        <w:tc>
          <w:tcPr>
            <w:tcW w:w="341" w:type="pct"/>
            <w:gridSpan w:val="2"/>
            <w:tcBorders>
              <w:top w:val="nil"/>
              <w:left w:val="nil"/>
              <w:bottom w:val="single" w:sz="4" w:space="0" w:color="auto"/>
              <w:right w:val="single" w:sz="4" w:space="0" w:color="auto"/>
            </w:tcBorders>
            <w:shd w:val="clear" w:color="auto" w:fill="4F81BD" w:themeFill="accent1"/>
            <w:noWrap/>
            <w:vAlign w:val="center"/>
            <w:hideMark/>
          </w:tcPr>
          <w:p w14:paraId="68765907" w14:textId="77777777" w:rsidR="00033594" w:rsidRDefault="00033594">
            <w:pPr>
              <w:jc w:val="right"/>
              <w:rPr>
                <w:rFonts w:ascii="Arial" w:hAnsi="Arial" w:cs="Arial"/>
                <w:b/>
                <w:bCs/>
                <w:color w:val="000000"/>
                <w:sz w:val="16"/>
                <w:szCs w:val="16"/>
              </w:rPr>
            </w:pPr>
            <w:r>
              <w:rPr>
                <w:rFonts w:ascii="Arial" w:hAnsi="Arial" w:cs="Arial"/>
                <w:b/>
                <w:bCs/>
                <w:sz w:val="16"/>
                <w:szCs w:val="16"/>
              </w:rPr>
              <w:t>139%</w:t>
            </w:r>
          </w:p>
        </w:tc>
        <w:tc>
          <w:tcPr>
            <w:tcW w:w="352" w:type="pct"/>
            <w:gridSpan w:val="2"/>
            <w:tcBorders>
              <w:top w:val="nil"/>
              <w:left w:val="nil"/>
              <w:bottom w:val="single" w:sz="4" w:space="0" w:color="auto"/>
              <w:right w:val="single" w:sz="4" w:space="0" w:color="auto"/>
            </w:tcBorders>
            <w:shd w:val="clear" w:color="auto" w:fill="4F81BD" w:themeFill="accent1"/>
            <w:noWrap/>
            <w:vAlign w:val="center"/>
            <w:hideMark/>
          </w:tcPr>
          <w:p w14:paraId="1F425B3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4" w:type="pct"/>
            <w:gridSpan w:val="2"/>
            <w:tcBorders>
              <w:top w:val="nil"/>
              <w:left w:val="nil"/>
              <w:bottom w:val="single" w:sz="4" w:space="0" w:color="auto"/>
              <w:right w:val="single" w:sz="4" w:space="0" w:color="auto"/>
            </w:tcBorders>
            <w:shd w:val="clear" w:color="auto" w:fill="4F81BD" w:themeFill="accent1"/>
            <w:noWrap/>
            <w:vAlign w:val="center"/>
            <w:hideMark/>
          </w:tcPr>
          <w:p w14:paraId="4FB2994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bl>
    <w:p w14:paraId="61A9F9F7" w14:textId="77777777" w:rsidR="00033594" w:rsidRPr="00033594" w:rsidRDefault="00033594" w:rsidP="00033594">
      <w:pPr>
        <w:spacing w:after="0" w:line="240" w:lineRule="auto"/>
        <w:jc w:val="center"/>
        <w:rPr>
          <w:rFonts w:ascii="Arial" w:eastAsia="Calibri" w:hAnsi="Arial" w:cs="Arial"/>
          <w:sz w:val="16"/>
          <w:szCs w:val="16"/>
        </w:rPr>
      </w:pPr>
      <w:r w:rsidRPr="00033594">
        <w:rPr>
          <w:rFonts w:ascii="Arial" w:hAnsi="Arial" w:cs="Arial"/>
          <w:sz w:val="16"/>
          <w:szCs w:val="16"/>
          <w:lang w:eastAsia="es-ES"/>
        </w:rPr>
        <w:t>Millones de pesos</w:t>
      </w:r>
    </w:p>
    <w:p w14:paraId="5F6EDF25" w14:textId="478CAA64" w:rsidR="00C02282" w:rsidRDefault="00C02282" w:rsidP="00033594">
      <w:pPr>
        <w:jc w:val="center"/>
        <w:rPr>
          <w:rFonts w:ascii="Arial" w:hAnsi="Arial" w:cs="Arial"/>
          <w:sz w:val="16"/>
          <w:szCs w:val="16"/>
        </w:rPr>
      </w:pPr>
      <w:r w:rsidRPr="00033594">
        <w:rPr>
          <w:rFonts w:ascii="Arial" w:hAnsi="Arial" w:cs="Arial"/>
          <w:sz w:val="16"/>
          <w:szCs w:val="16"/>
        </w:rPr>
        <w:t>Fuente: Ley 1873 de 2017</w:t>
      </w:r>
    </w:p>
    <w:p w14:paraId="7A718E20" w14:textId="77777777" w:rsidR="00E95757" w:rsidRPr="00033594" w:rsidRDefault="00E95757" w:rsidP="00033594">
      <w:pPr>
        <w:jc w:val="center"/>
        <w:rPr>
          <w:rFonts w:ascii="Arial" w:hAnsi="Arial" w:cs="Arial"/>
          <w:sz w:val="16"/>
          <w:szCs w:val="16"/>
        </w:rPr>
      </w:pPr>
    </w:p>
    <w:p w14:paraId="3B736642" w14:textId="77777777" w:rsidR="00C02282" w:rsidRPr="00033594" w:rsidRDefault="00C02282" w:rsidP="00C02282">
      <w:pPr>
        <w:jc w:val="both"/>
        <w:rPr>
          <w:rFonts w:ascii="Arial" w:hAnsi="Arial" w:cs="Arial"/>
          <w:b/>
          <w:bCs/>
          <w:lang w:val="es-ES" w:eastAsia="es-ES"/>
        </w:rPr>
      </w:pPr>
      <w:r w:rsidRPr="00033594">
        <w:rPr>
          <w:rFonts w:ascii="Arial" w:hAnsi="Arial" w:cs="Arial"/>
          <w:b/>
          <w:bCs/>
          <w:lang w:val="es-ES" w:eastAsia="es-ES"/>
        </w:rPr>
        <w:t>Ingresos No Tributarios</w:t>
      </w:r>
    </w:p>
    <w:p w14:paraId="0005DFC2" w14:textId="77777777" w:rsidR="00033594" w:rsidRDefault="00033594" w:rsidP="00033594">
      <w:pPr>
        <w:jc w:val="both"/>
        <w:rPr>
          <w:rFonts w:ascii="Arial" w:hAnsi="Arial" w:cs="Arial"/>
          <w:bCs/>
          <w:lang w:val="es-ES" w:eastAsia="es-ES"/>
        </w:rPr>
      </w:pPr>
      <w:r>
        <w:rPr>
          <w:rFonts w:ascii="Arial" w:hAnsi="Arial" w:cs="Arial"/>
          <w:bCs/>
          <w:lang w:val="es-ES" w:eastAsia="es-ES"/>
        </w:rPr>
        <w:lastRenderedPageBreak/>
        <w:t>El valor recaudado por Ingresos no Tributarios está compuesto por los conceptos de Derechos Económicos, Venta de Información y Otros Ingresos. El valor recaudado de Otros Ingresos corresponde a reintegro de recursos no ejecutados de convenios, recuperaciones y reintegro de gastos, multas y sanciones por renuncia de contratos y a reintegro de incapacidades.</w:t>
      </w:r>
    </w:p>
    <w:p w14:paraId="64883098" w14:textId="77777777" w:rsidR="00033594" w:rsidRDefault="00033594" w:rsidP="00033594">
      <w:pPr>
        <w:jc w:val="both"/>
        <w:rPr>
          <w:rFonts w:ascii="Arial" w:hAnsi="Arial" w:cs="Arial"/>
          <w:bCs/>
          <w:lang w:val="es-ES" w:eastAsia="es-ES"/>
        </w:rPr>
      </w:pPr>
      <w:r>
        <w:rPr>
          <w:rFonts w:ascii="Arial" w:hAnsi="Arial" w:cs="Arial"/>
          <w:bCs/>
          <w:lang w:val="es-ES" w:eastAsia="es-ES"/>
        </w:rPr>
        <w:t>A continuación, se detallan los conceptos de Ventas de Información y Derechos Económicos:</w:t>
      </w:r>
    </w:p>
    <w:p w14:paraId="6FB4E419" w14:textId="4786846D" w:rsidR="00033594" w:rsidRPr="00033594" w:rsidRDefault="00033594" w:rsidP="00033594">
      <w:pPr>
        <w:jc w:val="both"/>
        <w:rPr>
          <w:rFonts w:ascii="Arial" w:hAnsi="Arial" w:cs="Arial"/>
          <w:b/>
          <w:bCs/>
          <w:lang w:val="es-ES" w:eastAsia="es-ES"/>
        </w:rPr>
      </w:pPr>
      <w:r w:rsidRPr="00033594">
        <w:rPr>
          <w:rFonts w:ascii="Arial" w:hAnsi="Arial" w:cs="Arial"/>
          <w:b/>
          <w:bCs/>
          <w:lang w:val="es-ES" w:eastAsia="es-ES"/>
        </w:rPr>
        <w:t>Venta de Información</w:t>
      </w:r>
    </w:p>
    <w:p w14:paraId="4DD78642" w14:textId="77777777" w:rsidR="00033594" w:rsidRPr="00033594" w:rsidRDefault="00033594" w:rsidP="00033594">
      <w:pPr>
        <w:pStyle w:val="Descripcin"/>
        <w:rPr>
          <w:rFonts w:ascii="Arial" w:hAnsi="Arial" w:cs="Arial"/>
          <w:bCs/>
          <w:i w:val="0"/>
          <w:color w:val="auto"/>
          <w:sz w:val="22"/>
          <w:szCs w:val="22"/>
        </w:rPr>
      </w:pPr>
      <w:r w:rsidRPr="00033594">
        <w:rPr>
          <w:rFonts w:ascii="Arial" w:hAnsi="Arial" w:cs="Arial"/>
          <w:bCs/>
          <w:i w:val="0"/>
          <w:color w:val="auto"/>
          <w:sz w:val="22"/>
          <w:szCs w:val="22"/>
        </w:rPr>
        <w:t xml:space="preserve">Los rubros por venta de información petrolera BIP y de </w:t>
      </w:r>
      <w:proofErr w:type="spellStart"/>
      <w:r w:rsidRPr="00033594">
        <w:rPr>
          <w:rFonts w:ascii="Arial" w:hAnsi="Arial" w:cs="Arial"/>
          <w:bCs/>
          <w:i w:val="0"/>
          <w:color w:val="auto"/>
          <w:sz w:val="22"/>
          <w:szCs w:val="22"/>
        </w:rPr>
        <w:t>Litoteca</w:t>
      </w:r>
      <w:proofErr w:type="spellEnd"/>
      <w:r w:rsidRPr="00033594">
        <w:rPr>
          <w:rFonts w:ascii="Arial" w:hAnsi="Arial" w:cs="Arial"/>
          <w:bCs/>
          <w:i w:val="0"/>
          <w:color w:val="auto"/>
          <w:sz w:val="22"/>
          <w:szCs w:val="22"/>
        </w:rPr>
        <w:t xml:space="preserve"> no tienen aforo presupuestal para la vigencia, ya que esta operación es realizada por Servicio Geológico Colombiano. </w:t>
      </w:r>
    </w:p>
    <w:p w14:paraId="099F838E" w14:textId="36CDECBF" w:rsidR="00033594" w:rsidRDefault="00033594" w:rsidP="00033594">
      <w:pPr>
        <w:pStyle w:val="Descripcin"/>
        <w:jc w:val="center"/>
        <w:rPr>
          <w:rFonts w:ascii="Arial" w:hAnsi="Arial" w:cs="Arial"/>
          <w:bCs/>
        </w:rPr>
      </w:pPr>
      <w:bookmarkStart w:id="109" w:name="_Toc525652490"/>
      <w:r>
        <w:t xml:space="preserve">Tabla </w:t>
      </w:r>
      <w:r>
        <w:fldChar w:fldCharType="begin"/>
      </w:r>
      <w:r>
        <w:instrText xml:space="preserve"> SEQ Tabla \* ARABIC </w:instrText>
      </w:r>
      <w:r>
        <w:fldChar w:fldCharType="separate"/>
      </w:r>
      <w:r w:rsidR="008B4625">
        <w:rPr>
          <w:noProof/>
        </w:rPr>
        <w:t>45</w:t>
      </w:r>
      <w:r>
        <w:fldChar w:fldCharType="end"/>
      </w:r>
      <w:r>
        <w:t>Venta de Información Segundo Trimestre ANH</w:t>
      </w:r>
      <w:bookmarkEnd w:id="109"/>
      <w:r>
        <w:t xml:space="preserve"> </w:t>
      </w:r>
    </w:p>
    <w:tbl>
      <w:tblPr>
        <w:tblW w:w="5000" w:type="pct"/>
        <w:tblCellMar>
          <w:left w:w="70" w:type="dxa"/>
          <w:right w:w="70" w:type="dxa"/>
        </w:tblCellMar>
        <w:tblLook w:val="04A0" w:firstRow="1" w:lastRow="0" w:firstColumn="1" w:lastColumn="0" w:noHBand="0" w:noVBand="1"/>
      </w:tblPr>
      <w:tblGrid>
        <w:gridCol w:w="2649"/>
        <w:gridCol w:w="891"/>
        <w:gridCol w:w="705"/>
        <w:gridCol w:w="846"/>
        <w:gridCol w:w="343"/>
        <w:gridCol w:w="577"/>
        <w:gridCol w:w="919"/>
        <w:gridCol w:w="849"/>
        <w:gridCol w:w="847"/>
        <w:gridCol w:w="768"/>
      </w:tblGrid>
      <w:tr w:rsidR="00033594" w14:paraId="74A32EF7" w14:textId="77777777" w:rsidTr="00E95757">
        <w:trPr>
          <w:trHeight w:val="300"/>
        </w:trPr>
        <w:tc>
          <w:tcPr>
            <w:tcW w:w="1407"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0F816F96" w14:textId="77777777" w:rsidR="00033594" w:rsidRDefault="00033594">
            <w:pPr>
              <w:jc w:val="center"/>
              <w:rPr>
                <w:rFonts w:ascii="Arial" w:hAnsi="Arial" w:cs="Arial"/>
                <w:b/>
                <w:bCs/>
                <w:color w:val="000000"/>
                <w:sz w:val="16"/>
                <w:szCs w:val="16"/>
              </w:rPr>
            </w:pPr>
            <w:r>
              <w:rPr>
                <w:rFonts w:ascii="Arial" w:hAnsi="Arial" w:cs="Arial"/>
                <w:b/>
                <w:bCs/>
                <w:sz w:val="16"/>
                <w:szCs w:val="16"/>
              </w:rPr>
              <w:t>RUBRO</w:t>
            </w:r>
          </w:p>
        </w:tc>
        <w:tc>
          <w:tcPr>
            <w:tcW w:w="475" w:type="pct"/>
            <w:tcBorders>
              <w:top w:val="single" w:sz="4" w:space="0" w:color="auto"/>
              <w:left w:val="nil"/>
              <w:bottom w:val="single" w:sz="4" w:space="0" w:color="auto"/>
              <w:right w:val="nil"/>
            </w:tcBorders>
            <w:shd w:val="clear" w:color="auto" w:fill="548DD4" w:themeFill="text2" w:themeFillTint="99"/>
          </w:tcPr>
          <w:p w14:paraId="73A2981E" w14:textId="77777777" w:rsidR="00033594" w:rsidRDefault="00033594">
            <w:pPr>
              <w:jc w:val="center"/>
              <w:rPr>
                <w:rFonts w:ascii="Arial" w:hAnsi="Arial" w:cs="Arial"/>
                <w:b/>
                <w:bCs/>
                <w:color w:val="000000"/>
                <w:sz w:val="16"/>
                <w:szCs w:val="16"/>
              </w:rPr>
            </w:pPr>
          </w:p>
        </w:tc>
        <w:tc>
          <w:tcPr>
            <w:tcW w:w="1317" w:type="pct"/>
            <w:gridSpan w:val="4"/>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3FB2B3CE" w14:textId="77777777" w:rsidR="00033594" w:rsidRDefault="00033594">
            <w:pPr>
              <w:jc w:val="center"/>
              <w:rPr>
                <w:rFonts w:ascii="Arial" w:hAnsi="Arial" w:cs="Arial"/>
                <w:b/>
                <w:bCs/>
                <w:color w:val="000000"/>
                <w:sz w:val="16"/>
                <w:szCs w:val="16"/>
              </w:rPr>
            </w:pPr>
            <w:r>
              <w:rPr>
                <w:rFonts w:ascii="Arial" w:hAnsi="Arial" w:cs="Arial"/>
                <w:b/>
                <w:bCs/>
                <w:sz w:val="16"/>
                <w:szCs w:val="16"/>
              </w:rPr>
              <w:t>PRESUPUESTO DEFINITIVO</w:t>
            </w:r>
          </w:p>
        </w:tc>
        <w:tc>
          <w:tcPr>
            <w:tcW w:w="1801" w:type="pct"/>
            <w:gridSpan w:val="4"/>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45A8B7E2" w14:textId="77777777" w:rsidR="00033594" w:rsidRDefault="00033594">
            <w:pPr>
              <w:jc w:val="center"/>
              <w:rPr>
                <w:rFonts w:ascii="Arial" w:hAnsi="Arial" w:cs="Arial"/>
                <w:b/>
                <w:bCs/>
                <w:color w:val="000000"/>
                <w:sz w:val="16"/>
                <w:szCs w:val="16"/>
              </w:rPr>
            </w:pPr>
            <w:r>
              <w:rPr>
                <w:rFonts w:ascii="Arial" w:hAnsi="Arial" w:cs="Arial"/>
                <w:b/>
                <w:bCs/>
                <w:sz w:val="16"/>
                <w:szCs w:val="16"/>
              </w:rPr>
              <w:t>CAUSADO</w:t>
            </w:r>
          </w:p>
        </w:tc>
      </w:tr>
      <w:tr w:rsidR="00033594" w14:paraId="5B500515" w14:textId="77777777" w:rsidTr="00E95757">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34DC014" w14:textId="77777777" w:rsidR="00033594" w:rsidRDefault="00033594">
            <w:pPr>
              <w:rPr>
                <w:rFonts w:ascii="Arial" w:hAnsi="Arial" w:cs="Arial"/>
                <w:b/>
                <w:bCs/>
                <w:color w:val="000000"/>
                <w:sz w:val="16"/>
                <w:szCs w:val="16"/>
              </w:rPr>
            </w:pPr>
          </w:p>
        </w:tc>
        <w:tc>
          <w:tcPr>
            <w:tcW w:w="475" w:type="pct"/>
            <w:tcBorders>
              <w:top w:val="nil"/>
              <w:left w:val="nil"/>
              <w:bottom w:val="single" w:sz="4" w:space="0" w:color="auto"/>
              <w:right w:val="single" w:sz="4" w:space="0" w:color="auto"/>
            </w:tcBorders>
            <w:shd w:val="clear" w:color="auto" w:fill="548DD4" w:themeFill="text2" w:themeFillTint="99"/>
            <w:vAlign w:val="center"/>
            <w:hideMark/>
          </w:tcPr>
          <w:p w14:paraId="48CE8CF7"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76" w:type="pct"/>
            <w:tcBorders>
              <w:top w:val="nil"/>
              <w:left w:val="nil"/>
              <w:bottom w:val="single" w:sz="4" w:space="0" w:color="auto"/>
              <w:right w:val="single" w:sz="4" w:space="0" w:color="auto"/>
            </w:tcBorders>
            <w:shd w:val="clear" w:color="auto" w:fill="548DD4" w:themeFill="text2" w:themeFillTint="99"/>
            <w:vAlign w:val="center"/>
            <w:hideMark/>
          </w:tcPr>
          <w:p w14:paraId="3702C76F"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451" w:type="pct"/>
            <w:tcBorders>
              <w:top w:val="nil"/>
              <w:left w:val="nil"/>
              <w:bottom w:val="single" w:sz="4" w:space="0" w:color="auto"/>
              <w:right w:val="single" w:sz="4" w:space="0" w:color="auto"/>
            </w:tcBorders>
            <w:shd w:val="clear" w:color="auto" w:fill="548DD4" w:themeFill="text2" w:themeFillTint="99"/>
            <w:vAlign w:val="center"/>
            <w:hideMark/>
          </w:tcPr>
          <w:p w14:paraId="00A9AFCA"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183" w:type="pct"/>
            <w:tcBorders>
              <w:top w:val="nil"/>
              <w:left w:val="nil"/>
              <w:bottom w:val="single" w:sz="4" w:space="0" w:color="auto"/>
              <w:right w:val="nil"/>
            </w:tcBorders>
            <w:shd w:val="clear" w:color="auto" w:fill="548DD4" w:themeFill="text2" w:themeFillTint="99"/>
          </w:tcPr>
          <w:p w14:paraId="08C99048" w14:textId="77777777" w:rsidR="00033594" w:rsidRDefault="00033594">
            <w:pPr>
              <w:jc w:val="center"/>
              <w:rPr>
                <w:rFonts w:ascii="Arial" w:hAnsi="Arial" w:cs="Arial"/>
                <w:b/>
                <w:bCs/>
                <w:color w:val="000000"/>
                <w:sz w:val="16"/>
                <w:szCs w:val="16"/>
              </w:rPr>
            </w:pPr>
          </w:p>
        </w:tc>
        <w:tc>
          <w:tcPr>
            <w:tcW w:w="307" w:type="pct"/>
            <w:tcBorders>
              <w:top w:val="nil"/>
              <w:left w:val="nil"/>
              <w:bottom w:val="single" w:sz="4" w:space="0" w:color="auto"/>
              <w:right w:val="single" w:sz="4" w:space="0" w:color="auto"/>
            </w:tcBorders>
            <w:shd w:val="clear" w:color="auto" w:fill="548DD4" w:themeFill="text2" w:themeFillTint="99"/>
            <w:vAlign w:val="center"/>
            <w:hideMark/>
          </w:tcPr>
          <w:p w14:paraId="37B0E0F7"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c>
          <w:tcPr>
            <w:tcW w:w="489" w:type="pct"/>
            <w:tcBorders>
              <w:top w:val="nil"/>
              <w:left w:val="nil"/>
              <w:bottom w:val="single" w:sz="4" w:space="0" w:color="auto"/>
              <w:right w:val="single" w:sz="4" w:space="0" w:color="auto"/>
            </w:tcBorders>
            <w:shd w:val="clear" w:color="auto" w:fill="548DD4" w:themeFill="text2" w:themeFillTint="99"/>
            <w:vAlign w:val="center"/>
            <w:hideMark/>
          </w:tcPr>
          <w:p w14:paraId="17B33BA9"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452" w:type="pct"/>
            <w:tcBorders>
              <w:top w:val="nil"/>
              <w:left w:val="nil"/>
              <w:bottom w:val="single" w:sz="4" w:space="0" w:color="auto"/>
              <w:right w:val="single" w:sz="4" w:space="0" w:color="auto"/>
            </w:tcBorders>
            <w:shd w:val="clear" w:color="auto" w:fill="548DD4" w:themeFill="text2" w:themeFillTint="99"/>
            <w:vAlign w:val="center"/>
            <w:hideMark/>
          </w:tcPr>
          <w:p w14:paraId="52048F0C"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451" w:type="pct"/>
            <w:tcBorders>
              <w:top w:val="nil"/>
              <w:left w:val="nil"/>
              <w:bottom w:val="single" w:sz="4" w:space="0" w:color="auto"/>
              <w:right w:val="single" w:sz="4" w:space="0" w:color="auto"/>
            </w:tcBorders>
            <w:shd w:val="clear" w:color="auto" w:fill="548DD4" w:themeFill="text2" w:themeFillTint="99"/>
            <w:vAlign w:val="center"/>
            <w:hideMark/>
          </w:tcPr>
          <w:p w14:paraId="13F0923C"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410" w:type="pct"/>
            <w:tcBorders>
              <w:top w:val="nil"/>
              <w:left w:val="nil"/>
              <w:bottom w:val="single" w:sz="4" w:space="0" w:color="auto"/>
              <w:right w:val="single" w:sz="4" w:space="0" w:color="auto"/>
            </w:tcBorders>
            <w:shd w:val="clear" w:color="auto" w:fill="548DD4" w:themeFill="text2" w:themeFillTint="99"/>
            <w:vAlign w:val="center"/>
            <w:hideMark/>
          </w:tcPr>
          <w:p w14:paraId="0F26B73B"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r>
      <w:tr w:rsidR="00033594" w14:paraId="169A2A8A" w14:textId="77777777" w:rsidTr="00033594">
        <w:trPr>
          <w:trHeight w:val="300"/>
        </w:trPr>
        <w:tc>
          <w:tcPr>
            <w:tcW w:w="1407" w:type="pct"/>
            <w:tcBorders>
              <w:top w:val="nil"/>
              <w:left w:val="single" w:sz="4" w:space="0" w:color="auto"/>
              <w:bottom w:val="single" w:sz="4" w:space="0" w:color="auto"/>
              <w:right w:val="single" w:sz="4" w:space="0" w:color="auto"/>
            </w:tcBorders>
            <w:noWrap/>
            <w:vAlign w:val="center"/>
            <w:hideMark/>
          </w:tcPr>
          <w:p w14:paraId="27DFEEBE" w14:textId="77777777" w:rsidR="00033594" w:rsidRDefault="00033594">
            <w:pPr>
              <w:rPr>
                <w:rFonts w:ascii="Arial" w:hAnsi="Arial" w:cs="Arial"/>
                <w:color w:val="000000"/>
                <w:sz w:val="16"/>
                <w:szCs w:val="16"/>
              </w:rPr>
            </w:pPr>
            <w:r>
              <w:rPr>
                <w:rFonts w:ascii="Arial" w:hAnsi="Arial" w:cs="Arial"/>
                <w:sz w:val="16"/>
                <w:szCs w:val="16"/>
              </w:rPr>
              <w:t>Venta de información Petrolera BIP</w:t>
            </w:r>
          </w:p>
        </w:tc>
        <w:tc>
          <w:tcPr>
            <w:tcW w:w="475" w:type="pct"/>
            <w:tcBorders>
              <w:top w:val="nil"/>
              <w:left w:val="nil"/>
              <w:bottom w:val="single" w:sz="4" w:space="0" w:color="auto"/>
              <w:right w:val="single" w:sz="4" w:space="0" w:color="auto"/>
            </w:tcBorders>
            <w:noWrap/>
            <w:vAlign w:val="center"/>
            <w:hideMark/>
          </w:tcPr>
          <w:p w14:paraId="54D6A90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6" w:type="pct"/>
            <w:tcBorders>
              <w:top w:val="nil"/>
              <w:left w:val="nil"/>
              <w:bottom w:val="single" w:sz="4" w:space="0" w:color="auto"/>
              <w:right w:val="single" w:sz="4" w:space="0" w:color="auto"/>
            </w:tcBorders>
            <w:noWrap/>
            <w:vAlign w:val="center"/>
            <w:hideMark/>
          </w:tcPr>
          <w:p w14:paraId="4A1EEEE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1FC09FD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183" w:type="pct"/>
            <w:tcBorders>
              <w:top w:val="nil"/>
              <w:left w:val="nil"/>
              <w:bottom w:val="single" w:sz="4" w:space="0" w:color="auto"/>
              <w:right w:val="nil"/>
            </w:tcBorders>
          </w:tcPr>
          <w:p w14:paraId="3BC1A9BE" w14:textId="77777777" w:rsidR="00033594" w:rsidRDefault="00033594">
            <w:pPr>
              <w:jc w:val="right"/>
              <w:rPr>
                <w:rFonts w:ascii="Arial" w:hAnsi="Arial" w:cs="Arial"/>
                <w:color w:val="000000"/>
                <w:sz w:val="16"/>
                <w:szCs w:val="16"/>
              </w:rPr>
            </w:pPr>
          </w:p>
        </w:tc>
        <w:tc>
          <w:tcPr>
            <w:tcW w:w="307" w:type="pct"/>
            <w:tcBorders>
              <w:top w:val="nil"/>
              <w:left w:val="nil"/>
              <w:bottom w:val="single" w:sz="4" w:space="0" w:color="auto"/>
              <w:right w:val="single" w:sz="4" w:space="0" w:color="auto"/>
            </w:tcBorders>
            <w:noWrap/>
            <w:vAlign w:val="center"/>
            <w:hideMark/>
          </w:tcPr>
          <w:p w14:paraId="0F99AA4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89" w:type="pct"/>
            <w:tcBorders>
              <w:top w:val="nil"/>
              <w:left w:val="nil"/>
              <w:bottom w:val="single" w:sz="4" w:space="0" w:color="auto"/>
              <w:right w:val="single" w:sz="4" w:space="0" w:color="auto"/>
            </w:tcBorders>
            <w:noWrap/>
            <w:vAlign w:val="center"/>
            <w:hideMark/>
          </w:tcPr>
          <w:p w14:paraId="1527225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2" w:type="pct"/>
            <w:tcBorders>
              <w:top w:val="nil"/>
              <w:left w:val="nil"/>
              <w:bottom w:val="single" w:sz="4" w:space="0" w:color="auto"/>
              <w:right w:val="single" w:sz="4" w:space="0" w:color="auto"/>
            </w:tcBorders>
            <w:noWrap/>
            <w:vAlign w:val="center"/>
            <w:hideMark/>
          </w:tcPr>
          <w:p w14:paraId="195E343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4E04C63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10" w:type="pct"/>
            <w:tcBorders>
              <w:top w:val="nil"/>
              <w:left w:val="nil"/>
              <w:bottom w:val="single" w:sz="4" w:space="0" w:color="auto"/>
              <w:right w:val="single" w:sz="4" w:space="0" w:color="auto"/>
            </w:tcBorders>
            <w:noWrap/>
            <w:vAlign w:val="center"/>
            <w:hideMark/>
          </w:tcPr>
          <w:p w14:paraId="28350F56"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752B4DAB" w14:textId="77777777" w:rsidTr="00033594">
        <w:trPr>
          <w:trHeight w:val="300"/>
        </w:trPr>
        <w:tc>
          <w:tcPr>
            <w:tcW w:w="1407" w:type="pct"/>
            <w:tcBorders>
              <w:top w:val="nil"/>
              <w:left w:val="single" w:sz="4" w:space="0" w:color="auto"/>
              <w:bottom w:val="single" w:sz="4" w:space="0" w:color="auto"/>
              <w:right w:val="single" w:sz="4" w:space="0" w:color="auto"/>
            </w:tcBorders>
            <w:noWrap/>
            <w:vAlign w:val="center"/>
            <w:hideMark/>
          </w:tcPr>
          <w:p w14:paraId="335EB0DF" w14:textId="77777777" w:rsidR="00033594" w:rsidRDefault="00033594">
            <w:pPr>
              <w:rPr>
                <w:rFonts w:ascii="Arial" w:hAnsi="Arial" w:cs="Arial"/>
                <w:color w:val="000000"/>
                <w:sz w:val="16"/>
                <w:szCs w:val="16"/>
              </w:rPr>
            </w:pPr>
            <w:proofErr w:type="spellStart"/>
            <w:r>
              <w:rPr>
                <w:rFonts w:ascii="Arial" w:hAnsi="Arial" w:cs="Arial"/>
                <w:sz w:val="16"/>
                <w:szCs w:val="16"/>
              </w:rPr>
              <w:t>Litoteca</w:t>
            </w:r>
            <w:proofErr w:type="spellEnd"/>
          </w:p>
        </w:tc>
        <w:tc>
          <w:tcPr>
            <w:tcW w:w="475" w:type="pct"/>
            <w:tcBorders>
              <w:top w:val="nil"/>
              <w:left w:val="nil"/>
              <w:bottom w:val="single" w:sz="4" w:space="0" w:color="auto"/>
              <w:right w:val="single" w:sz="4" w:space="0" w:color="auto"/>
            </w:tcBorders>
            <w:noWrap/>
            <w:vAlign w:val="center"/>
            <w:hideMark/>
          </w:tcPr>
          <w:p w14:paraId="52B4327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6" w:type="pct"/>
            <w:tcBorders>
              <w:top w:val="nil"/>
              <w:left w:val="nil"/>
              <w:bottom w:val="single" w:sz="4" w:space="0" w:color="auto"/>
              <w:right w:val="single" w:sz="4" w:space="0" w:color="auto"/>
            </w:tcBorders>
            <w:noWrap/>
            <w:vAlign w:val="center"/>
            <w:hideMark/>
          </w:tcPr>
          <w:p w14:paraId="66006501"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382FC18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183" w:type="pct"/>
            <w:tcBorders>
              <w:top w:val="nil"/>
              <w:left w:val="nil"/>
              <w:bottom w:val="single" w:sz="4" w:space="0" w:color="auto"/>
              <w:right w:val="nil"/>
            </w:tcBorders>
          </w:tcPr>
          <w:p w14:paraId="1B208D5F" w14:textId="77777777" w:rsidR="00033594" w:rsidRDefault="00033594">
            <w:pPr>
              <w:jc w:val="right"/>
              <w:rPr>
                <w:rFonts w:ascii="Arial" w:hAnsi="Arial" w:cs="Arial"/>
                <w:color w:val="000000"/>
                <w:sz w:val="16"/>
                <w:szCs w:val="16"/>
              </w:rPr>
            </w:pPr>
          </w:p>
        </w:tc>
        <w:tc>
          <w:tcPr>
            <w:tcW w:w="307" w:type="pct"/>
            <w:tcBorders>
              <w:top w:val="nil"/>
              <w:left w:val="nil"/>
              <w:bottom w:val="single" w:sz="4" w:space="0" w:color="auto"/>
              <w:right w:val="single" w:sz="4" w:space="0" w:color="auto"/>
            </w:tcBorders>
            <w:noWrap/>
            <w:vAlign w:val="center"/>
            <w:hideMark/>
          </w:tcPr>
          <w:p w14:paraId="4ADC3ED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89" w:type="pct"/>
            <w:tcBorders>
              <w:top w:val="nil"/>
              <w:left w:val="nil"/>
              <w:bottom w:val="single" w:sz="4" w:space="0" w:color="auto"/>
              <w:right w:val="single" w:sz="4" w:space="0" w:color="auto"/>
            </w:tcBorders>
            <w:noWrap/>
            <w:vAlign w:val="center"/>
            <w:hideMark/>
          </w:tcPr>
          <w:p w14:paraId="7E649DD1"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2" w:type="pct"/>
            <w:tcBorders>
              <w:top w:val="nil"/>
              <w:left w:val="nil"/>
              <w:bottom w:val="single" w:sz="4" w:space="0" w:color="auto"/>
              <w:right w:val="single" w:sz="4" w:space="0" w:color="auto"/>
            </w:tcBorders>
            <w:noWrap/>
            <w:vAlign w:val="center"/>
            <w:hideMark/>
          </w:tcPr>
          <w:p w14:paraId="75074C9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34122BD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10" w:type="pct"/>
            <w:tcBorders>
              <w:top w:val="nil"/>
              <w:left w:val="nil"/>
              <w:bottom w:val="single" w:sz="4" w:space="0" w:color="auto"/>
              <w:right w:val="single" w:sz="4" w:space="0" w:color="auto"/>
            </w:tcBorders>
            <w:noWrap/>
            <w:vAlign w:val="center"/>
            <w:hideMark/>
          </w:tcPr>
          <w:p w14:paraId="382817F1"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5B91F14A" w14:textId="77777777" w:rsidTr="00033594">
        <w:trPr>
          <w:trHeight w:val="300"/>
        </w:trPr>
        <w:tc>
          <w:tcPr>
            <w:tcW w:w="1407" w:type="pct"/>
            <w:tcBorders>
              <w:top w:val="nil"/>
              <w:left w:val="single" w:sz="4" w:space="0" w:color="auto"/>
              <w:bottom w:val="single" w:sz="4" w:space="0" w:color="auto"/>
              <w:right w:val="single" w:sz="4" w:space="0" w:color="auto"/>
            </w:tcBorders>
            <w:shd w:val="clear" w:color="auto" w:fill="4F81BD" w:themeFill="accent1"/>
            <w:noWrap/>
            <w:vAlign w:val="center"/>
            <w:hideMark/>
          </w:tcPr>
          <w:p w14:paraId="194F8026" w14:textId="77777777" w:rsidR="00033594" w:rsidRDefault="00033594">
            <w:pPr>
              <w:rPr>
                <w:rFonts w:ascii="Arial" w:hAnsi="Arial" w:cs="Arial"/>
                <w:b/>
                <w:bCs/>
                <w:color w:val="000000"/>
                <w:sz w:val="16"/>
                <w:szCs w:val="16"/>
              </w:rPr>
            </w:pPr>
            <w:r>
              <w:rPr>
                <w:rFonts w:ascii="Arial" w:hAnsi="Arial" w:cs="Arial"/>
                <w:b/>
                <w:bCs/>
                <w:sz w:val="16"/>
                <w:szCs w:val="16"/>
              </w:rPr>
              <w:t>Total Venta de Servicios</w:t>
            </w:r>
          </w:p>
        </w:tc>
        <w:tc>
          <w:tcPr>
            <w:tcW w:w="475" w:type="pct"/>
            <w:tcBorders>
              <w:top w:val="nil"/>
              <w:left w:val="nil"/>
              <w:bottom w:val="single" w:sz="4" w:space="0" w:color="auto"/>
              <w:right w:val="single" w:sz="4" w:space="0" w:color="auto"/>
            </w:tcBorders>
            <w:shd w:val="clear" w:color="auto" w:fill="4F81BD" w:themeFill="accent1"/>
            <w:noWrap/>
            <w:vAlign w:val="center"/>
            <w:hideMark/>
          </w:tcPr>
          <w:p w14:paraId="19F4025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6" w:type="pct"/>
            <w:tcBorders>
              <w:top w:val="nil"/>
              <w:left w:val="nil"/>
              <w:bottom w:val="single" w:sz="4" w:space="0" w:color="auto"/>
              <w:right w:val="single" w:sz="4" w:space="0" w:color="auto"/>
            </w:tcBorders>
            <w:shd w:val="clear" w:color="auto" w:fill="4F81BD" w:themeFill="accent1"/>
            <w:noWrap/>
            <w:vAlign w:val="center"/>
            <w:hideMark/>
          </w:tcPr>
          <w:p w14:paraId="410B1AA6"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51" w:type="pct"/>
            <w:tcBorders>
              <w:top w:val="nil"/>
              <w:left w:val="nil"/>
              <w:bottom w:val="single" w:sz="4" w:space="0" w:color="auto"/>
              <w:right w:val="single" w:sz="4" w:space="0" w:color="auto"/>
            </w:tcBorders>
            <w:shd w:val="clear" w:color="auto" w:fill="4F81BD" w:themeFill="accent1"/>
            <w:noWrap/>
            <w:vAlign w:val="center"/>
            <w:hideMark/>
          </w:tcPr>
          <w:p w14:paraId="620A37F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183" w:type="pct"/>
            <w:tcBorders>
              <w:top w:val="nil"/>
              <w:left w:val="nil"/>
              <w:bottom w:val="single" w:sz="4" w:space="0" w:color="auto"/>
              <w:right w:val="nil"/>
            </w:tcBorders>
            <w:shd w:val="clear" w:color="auto" w:fill="4F81BD" w:themeFill="accent1"/>
          </w:tcPr>
          <w:p w14:paraId="3D1284AE" w14:textId="77777777" w:rsidR="00033594" w:rsidRDefault="00033594">
            <w:pPr>
              <w:jc w:val="right"/>
              <w:rPr>
                <w:rFonts w:ascii="Arial" w:hAnsi="Arial" w:cs="Arial"/>
                <w:b/>
                <w:bCs/>
                <w:color w:val="000000"/>
                <w:sz w:val="16"/>
                <w:szCs w:val="16"/>
              </w:rPr>
            </w:pPr>
          </w:p>
        </w:tc>
        <w:tc>
          <w:tcPr>
            <w:tcW w:w="307" w:type="pct"/>
            <w:tcBorders>
              <w:top w:val="nil"/>
              <w:left w:val="nil"/>
              <w:bottom w:val="single" w:sz="4" w:space="0" w:color="auto"/>
              <w:right w:val="single" w:sz="4" w:space="0" w:color="auto"/>
            </w:tcBorders>
            <w:shd w:val="clear" w:color="auto" w:fill="4F81BD" w:themeFill="accent1"/>
            <w:noWrap/>
            <w:vAlign w:val="center"/>
            <w:hideMark/>
          </w:tcPr>
          <w:p w14:paraId="0A78E1A7"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89" w:type="pct"/>
            <w:tcBorders>
              <w:top w:val="nil"/>
              <w:left w:val="nil"/>
              <w:bottom w:val="single" w:sz="4" w:space="0" w:color="auto"/>
              <w:right w:val="single" w:sz="4" w:space="0" w:color="auto"/>
            </w:tcBorders>
            <w:shd w:val="clear" w:color="auto" w:fill="4F81BD" w:themeFill="accent1"/>
            <w:noWrap/>
            <w:vAlign w:val="center"/>
            <w:hideMark/>
          </w:tcPr>
          <w:p w14:paraId="5A75805C"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52" w:type="pct"/>
            <w:tcBorders>
              <w:top w:val="nil"/>
              <w:left w:val="nil"/>
              <w:bottom w:val="single" w:sz="4" w:space="0" w:color="auto"/>
              <w:right w:val="single" w:sz="4" w:space="0" w:color="auto"/>
            </w:tcBorders>
            <w:shd w:val="clear" w:color="auto" w:fill="4F81BD" w:themeFill="accent1"/>
            <w:noWrap/>
            <w:vAlign w:val="center"/>
            <w:hideMark/>
          </w:tcPr>
          <w:p w14:paraId="68CA2834"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51" w:type="pct"/>
            <w:tcBorders>
              <w:top w:val="nil"/>
              <w:left w:val="nil"/>
              <w:bottom w:val="single" w:sz="4" w:space="0" w:color="auto"/>
              <w:right w:val="single" w:sz="4" w:space="0" w:color="auto"/>
            </w:tcBorders>
            <w:shd w:val="clear" w:color="auto" w:fill="4F81BD" w:themeFill="accent1"/>
            <w:noWrap/>
            <w:vAlign w:val="center"/>
            <w:hideMark/>
          </w:tcPr>
          <w:p w14:paraId="2E754A7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10" w:type="pct"/>
            <w:tcBorders>
              <w:top w:val="nil"/>
              <w:left w:val="nil"/>
              <w:bottom w:val="single" w:sz="4" w:space="0" w:color="auto"/>
              <w:right w:val="single" w:sz="4" w:space="0" w:color="auto"/>
            </w:tcBorders>
            <w:shd w:val="clear" w:color="auto" w:fill="4F81BD" w:themeFill="accent1"/>
            <w:noWrap/>
            <w:vAlign w:val="center"/>
            <w:hideMark/>
          </w:tcPr>
          <w:p w14:paraId="64B7004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033594" w14:paraId="33BF5B85" w14:textId="77777777" w:rsidTr="00033594">
        <w:trPr>
          <w:trHeight w:val="300"/>
        </w:trPr>
        <w:tc>
          <w:tcPr>
            <w:tcW w:w="1407" w:type="pct"/>
            <w:noWrap/>
            <w:vAlign w:val="bottom"/>
            <w:hideMark/>
          </w:tcPr>
          <w:p w14:paraId="08E293C1" w14:textId="77777777" w:rsidR="00033594" w:rsidRDefault="00033594">
            <w:pPr>
              <w:rPr>
                <w:rFonts w:ascii="Calibri" w:hAnsi="Calibri" w:cs="Times New Roman"/>
                <w:color w:val="000000"/>
                <w:sz w:val="19"/>
                <w:szCs w:val="19"/>
              </w:rPr>
            </w:pPr>
          </w:p>
        </w:tc>
        <w:tc>
          <w:tcPr>
            <w:tcW w:w="475" w:type="pct"/>
            <w:noWrap/>
            <w:vAlign w:val="bottom"/>
            <w:hideMark/>
          </w:tcPr>
          <w:p w14:paraId="774B0DDB" w14:textId="77777777" w:rsidR="00033594" w:rsidRDefault="00033594">
            <w:pPr>
              <w:rPr>
                <w:rFonts w:ascii="Calibri" w:hAnsi="Calibri" w:cs="Times New Roman"/>
                <w:color w:val="000000"/>
                <w:sz w:val="19"/>
                <w:szCs w:val="19"/>
              </w:rPr>
            </w:pPr>
          </w:p>
        </w:tc>
        <w:tc>
          <w:tcPr>
            <w:tcW w:w="376" w:type="pct"/>
            <w:noWrap/>
            <w:vAlign w:val="bottom"/>
            <w:hideMark/>
          </w:tcPr>
          <w:p w14:paraId="155F73FC" w14:textId="77777777" w:rsidR="00033594" w:rsidRDefault="00033594">
            <w:pPr>
              <w:rPr>
                <w:rFonts w:ascii="Calibri" w:hAnsi="Calibri" w:cs="Times New Roman"/>
                <w:color w:val="000000"/>
                <w:sz w:val="19"/>
                <w:szCs w:val="19"/>
              </w:rPr>
            </w:pPr>
          </w:p>
        </w:tc>
        <w:tc>
          <w:tcPr>
            <w:tcW w:w="451" w:type="pct"/>
            <w:noWrap/>
            <w:vAlign w:val="bottom"/>
            <w:hideMark/>
          </w:tcPr>
          <w:p w14:paraId="09F153E8" w14:textId="77777777" w:rsidR="00033594" w:rsidRDefault="00033594">
            <w:pPr>
              <w:rPr>
                <w:rFonts w:ascii="Calibri" w:hAnsi="Calibri" w:cs="Times New Roman"/>
                <w:color w:val="000000"/>
                <w:sz w:val="19"/>
                <w:szCs w:val="19"/>
              </w:rPr>
            </w:pPr>
          </w:p>
        </w:tc>
        <w:tc>
          <w:tcPr>
            <w:tcW w:w="183" w:type="pct"/>
          </w:tcPr>
          <w:p w14:paraId="0A2C9818" w14:textId="77777777" w:rsidR="00033594" w:rsidRDefault="00033594">
            <w:pPr>
              <w:rPr>
                <w:rFonts w:ascii="Arial" w:hAnsi="Arial" w:cs="Arial"/>
                <w:sz w:val="20"/>
                <w:szCs w:val="20"/>
              </w:rPr>
            </w:pPr>
          </w:p>
        </w:tc>
        <w:tc>
          <w:tcPr>
            <w:tcW w:w="307" w:type="pct"/>
            <w:noWrap/>
            <w:vAlign w:val="bottom"/>
            <w:hideMark/>
          </w:tcPr>
          <w:p w14:paraId="6BD375A8" w14:textId="77777777" w:rsidR="00033594" w:rsidRDefault="00033594">
            <w:pPr>
              <w:rPr>
                <w:rFonts w:ascii="Calibri" w:hAnsi="Calibri" w:cs="Times New Roman"/>
                <w:color w:val="000000"/>
                <w:sz w:val="19"/>
                <w:szCs w:val="19"/>
              </w:rPr>
            </w:pPr>
          </w:p>
        </w:tc>
        <w:tc>
          <w:tcPr>
            <w:tcW w:w="489" w:type="pct"/>
            <w:noWrap/>
            <w:vAlign w:val="bottom"/>
            <w:hideMark/>
          </w:tcPr>
          <w:p w14:paraId="2A559CED" w14:textId="77777777" w:rsidR="00033594" w:rsidRDefault="00033594">
            <w:pPr>
              <w:rPr>
                <w:rFonts w:ascii="Calibri" w:hAnsi="Calibri" w:cs="Times New Roman"/>
                <w:color w:val="000000"/>
                <w:sz w:val="19"/>
                <w:szCs w:val="19"/>
              </w:rPr>
            </w:pPr>
          </w:p>
        </w:tc>
        <w:tc>
          <w:tcPr>
            <w:tcW w:w="452" w:type="pct"/>
            <w:noWrap/>
            <w:vAlign w:val="bottom"/>
            <w:hideMark/>
          </w:tcPr>
          <w:p w14:paraId="31720358" w14:textId="77777777" w:rsidR="00033594" w:rsidRDefault="00033594">
            <w:pPr>
              <w:rPr>
                <w:rFonts w:ascii="Calibri" w:hAnsi="Calibri" w:cs="Times New Roman"/>
                <w:color w:val="000000"/>
                <w:sz w:val="19"/>
                <w:szCs w:val="19"/>
              </w:rPr>
            </w:pPr>
          </w:p>
        </w:tc>
        <w:tc>
          <w:tcPr>
            <w:tcW w:w="451" w:type="pct"/>
            <w:noWrap/>
            <w:vAlign w:val="bottom"/>
            <w:hideMark/>
          </w:tcPr>
          <w:p w14:paraId="7DF7193D" w14:textId="77777777" w:rsidR="00033594" w:rsidRDefault="00033594">
            <w:pPr>
              <w:rPr>
                <w:rFonts w:ascii="Calibri" w:hAnsi="Calibri" w:cs="Times New Roman"/>
                <w:color w:val="000000"/>
                <w:sz w:val="19"/>
                <w:szCs w:val="19"/>
              </w:rPr>
            </w:pPr>
          </w:p>
        </w:tc>
        <w:tc>
          <w:tcPr>
            <w:tcW w:w="410" w:type="pct"/>
            <w:noWrap/>
            <w:vAlign w:val="bottom"/>
            <w:hideMark/>
          </w:tcPr>
          <w:p w14:paraId="0B9023F0" w14:textId="77777777" w:rsidR="00033594" w:rsidRDefault="00033594">
            <w:pPr>
              <w:rPr>
                <w:rFonts w:ascii="Calibri" w:hAnsi="Calibri" w:cs="Times New Roman"/>
                <w:color w:val="000000"/>
                <w:sz w:val="19"/>
                <w:szCs w:val="19"/>
              </w:rPr>
            </w:pPr>
          </w:p>
        </w:tc>
      </w:tr>
      <w:tr w:rsidR="00033594" w14:paraId="3CBCE129" w14:textId="77777777" w:rsidTr="00033594">
        <w:trPr>
          <w:trHeight w:val="300"/>
        </w:trPr>
        <w:tc>
          <w:tcPr>
            <w:tcW w:w="1407" w:type="pct"/>
            <w:noWrap/>
            <w:vAlign w:val="center"/>
            <w:hideMark/>
          </w:tcPr>
          <w:p w14:paraId="4F26D309" w14:textId="77777777" w:rsidR="00033594" w:rsidRDefault="00033594">
            <w:pPr>
              <w:rPr>
                <w:rFonts w:ascii="Arial" w:hAnsi="Arial" w:cs="Arial"/>
                <w:b/>
                <w:bCs/>
                <w:color w:val="000000"/>
                <w:sz w:val="14"/>
                <w:szCs w:val="14"/>
              </w:rPr>
            </w:pPr>
            <w:r>
              <w:rPr>
                <w:rFonts w:ascii="Arial" w:hAnsi="Arial" w:cs="Arial"/>
                <w:b/>
                <w:bCs/>
                <w:sz w:val="14"/>
                <w:szCs w:val="14"/>
              </w:rPr>
              <w:t>Millones de $</w:t>
            </w:r>
          </w:p>
        </w:tc>
        <w:tc>
          <w:tcPr>
            <w:tcW w:w="475" w:type="pct"/>
            <w:noWrap/>
            <w:vAlign w:val="bottom"/>
            <w:hideMark/>
          </w:tcPr>
          <w:p w14:paraId="1F7AD251" w14:textId="77777777" w:rsidR="00033594" w:rsidRDefault="00033594">
            <w:pPr>
              <w:rPr>
                <w:rFonts w:ascii="Calibri" w:hAnsi="Calibri" w:cs="Times New Roman"/>
                <w:color w:val="000000"/>
                <w:sz w:val="19"/>
                <w:szCs w:val="19"/>
              </w:rPr>
            </w:pPr>
          </w:p>
        </w:tc>
        <w:tc>
          <w:tcPr>
            <w:tcW w:w="376" w:type="pct"/>
            <w:noWrap/>
            <w:vAlign w:val="bottom"/>
            <w:hideMark/>
          </w:tcPr>
          <w:p w14:paraId="45E3434B" w14:textId="77777777" w:rsidR="00033594" w:rsidRDefault="00033594">
            <w:pPr>
              <w:rPr>
                <w:rFonts w:ascii="Calibri" w:hAnsi="Calibri" w:cs="Times New Roman"/>
                <w:color w:val="000000"/>
                <w:sz w:val="19"/>
                <w:szCs w:val="19"/>
              </w:rPr>
            </w:pPr>
          </w:p>
        </w:tc>
        <w:tc>
          <w:tcPr>
            <w:tcW w:w="451" w:type="pct"/>
            <w:noWrap/>
            <w:vAlign w:val="center"/>
            <w:hideMark/>
          </w:tcPr>
          <w:p w14:paraId="3A99743B" w14:textId="77777777" w:rsidR="00033594" w:rsidRDefault="00033594">
            <w:pPr>
              <w:rPr>
                <w:rFonts w:ascii="Calibri" w:hAnsi="Calibri" w:cs="Times New Roman"/>
                <w:color w:val="000000"/>
                <w:sz w:val="19"/>
                <w:szCs w:val="19"/>
              </w:rPr>
            </w:pPr>
          </w:p>
        </w:tc>
        <w:tc>
          <w:tcPr>
            <w:tcW w:w="183" w:type="pct"/>
          </w:tcPr>
          <w:p w14:paraId="2C0CC910" w14:textId="77777777" w:rsidR="00033594" w:rsidRDefault="00033594">
            <w:pPr>
              <w:jc w:val="right"/>
              <w:rPr>
                <w:rFonts w:ascii="Arial" w:hAnsi="Arial" w:cs="Arial"/>
                <w:sz w:val="20"/>
                <w:szCs w:val="20"/>
              </w:rPr>
            </w:pPr>
          </w:p>
        </w:tc>
        <w:tc>
          <w:tcPr>
            <w:tcW w:w="307" w:type="pct"/>
            <w:noWrap/>
            <w:vAlign w:val="center"/>
            <w:hideMark/>
          </w:tcPr>
          <w:p w14:paraId="018A2530" w14:textId="77777777" w:rsidR="00033594" w:rsidRDefault="00033594">
            <w:pPr>
              <w:rPr>
                <w:rFonts w:ascii="Calibri" w:hAnsi="Calibri" w:cs="Times New Roman"/>
                <w:color w:val="000000"/>
                <w:sz w:val="19"/>
                <w:szCs w:val="19"/>
              </w:rPr>
            </w:pPr>
          </w:p>
        </w:tc>
        <w:tc>
          <w:tcPr>
            <w:tcW w:w="489" w:type="pct"/>
            <w:noWrap/>
            <w:vAlign w:val="bottom"/>
            <w:hideMark/>
          </w:tcPr>
          <w:p w14:paraId="2BC142A9" w14:textId="77777777" w:rsidR="00033594" w:rsidRDefault="00033594">
            <w:pPr>
              <w:rPr>
                <w:rFonts w:ascii="Calibri" w:hAnsi="Calibri" w:cs="Times New Roman"/>
                <w:color w:val="000000"/>
                <w:sz w:val="19"/>
                <w:szCs w:val="19"/>
              </w:rPr>
            </w:pPr>
          </w:p>
        </w:tc>
        <w:tc>
          <w:tcPr>
            <w:tcW w:w="452" w:type="pct"/>
            <w:noWrap/>
            <w:vAlign w:val="bottom"/>
            <w:hideMark/>
          </w:tcPr>
          <w:p w14:paraId="302704EB" w14:textId="77777777" w:rsidR="00033594" w:rsidRDefault="00033594">
            <w:pPr>
              <w:rPr>
                <w:rFonts w:ascii="Calibri" w:hAnsi="Calibri" w:cs="Times New Roman"/>
                <w:color w:val="000000"/>
                <w:sz w:val="19"/>
                <w:szCs w:val="19"/>
              </w:rPr>
            </w:pPr>
          </w:p>
        </w:tc>
        <w:tc>
          <w:tcPr>
            <w:tcW w:w="451" w:type="pct"/>
            <w:noWrap/>
            <w:vAlign w:val="bottom"/>
            <w:hideMark/>
          </w:tcPr>
          <w:p w14:paraId="63F48133" w14:textId="77777777" w:rsidR="00033594" w:rsidRDefault="00033594">
            <w:pPr>
              <w:rPr>
                <w:rFonts w:ascii="Calibri" w:hAnsi="Calibri" w:cs="Times New Roman"/>
                <w:color w:val="000000"/>
                <w:sz w:val="19"/>
                <w:szCs w:val="19"/>
              </w:rPr>
            </w:pPr>
          </w:p>
        </w:tc>
        <w:tc>
          <w:tcPr>
            <w:tcW w:w="410" w:type="pct"/>
            <w:noWrap/>
            <w:vAlign w:val="bottom"/>
            <w:hideMark/>
          </w:tcPr>
          <w:p w14:paraId="360D7135" w14:textId="77777777" w:rsidR="00033594" w:rsidRDefault="00033594">
            <w:pPr>
              <w:rPr>
                <w:rFonts w:ascii="Calibri" w:hAnsi="Calibri" w:cs="Times New Roman"/>
                <w:color w:val="000000"/>
                <w:sz w:val="19"/>
                <w:szCs w:val="19"/>
              </w:rPr>
            </w:pPr>
          </w:p>
        </w:tc>
      </w:tr>
      <w:tr w:rsidR="00033594" w14:paraId="778742E6" w14:textId="77777777" w:rsidTr="00E95757">
        <w:trPr>
          <w:trHeight w:val="300"/>
        </w:trPr>
        <w:tc>
          <w:tcPr>
            <w:tcW w:w="1407"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516B2BE" w14:textId="77777777" w:rsidR="00033594" w:rsidRDefault="00033594">
            <w:pPr>
              <w:jc w:val="center"/>
              <w:rPr>
                <w:rFonts w:ascii="Arial" w:hAnsi="Arial" w:cs="Arial"/>
                <w:b/>
                <w:bCs/>
                <w:color w:val="000000"/>
                <w:sz w:val="16"/>
                <w:szCs w:val="16"/>
              </w:rPr>
            </w:pPr>
            <w:r>
              <w:rPr>
                <w:rFonts w:ascii="Arial" w:hAnsi="Arial" w:cs="Arial"/>
                <w:b/>
                <w:bCs/>
                <w:sz w:val="16"/>
                <w:szCs w:val="16"/>
              </w:rPr>
              <w:t>RUBRO</w:t>
            </w:r>
          </w:p>
        </w:tc>
        <w:tc>
          <w:tcPr>
            <w:tcW w:w="475" w:type="pct"/>
            <w:tcBorders>
              <w:top w:val="single" w:sz="4" w:space="0" w:color="auto"/>
              <w:left w:val="nil"/>
              <w:bottom w:val="single" w:sz="4" w:space="0" w:color="auto"/>
              <w:right w:val="nil"/>
            </w:tcBorders>
            <w:shd w:val="clear" w:color="auto" w:fill="548DD4" w:themeFill="text2" w:themeFillTint="99"/>
          </w:tcPr>
          <w:p w14:paraId="42D3FC7D" w14:textId="77777777" w:rsidR="00033594" w:rsidRDefault="00033594">
            <w:pPr>
              <w:jc w:val="center"/>
              <w:rPr>
                <w:rFonts w:ascii="Arial" w:hAnsi="Arial" w:cs="Arial"/>
                <w:b/>
                <w:bCs/>
                <w:color w:val="000000"/>
                <w:sz w:val="16"/>
                <w:szCs w:val="16"/>
              </w:rPr>
            </w:pPr>
          </w:p>
        </w:tc>
        <w:tc>
          <w:tcPr>
            <w:tcW w:w="1317" w:type="pct"/>
            <w:gridSpan w:val="4"/>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598A1C9A" w14:textId="77777777" w:rsidR="00033594" w:rsidRDefault="00033594">
            <w:pPr>
              <w:jc w:val="center"/>
              <w:rPr>
                <w:rFonts w:ascii="Arial" w:hAnsi="Arial" w:cs="Arial"/>
                <w:b/>
                <w:bCs/>
                <w:color w:val="000000"/>
                <w:sz w:val="16"/>
                <w:szCs w:val="16"/>
              </w:rPr>
            </w:pPr>
            <w:r>
              <w:rPr>
                <w:rFonts w:ascii="Arial" w:hAnsi="Arial" w:cs="Arial"/>
                <w:b/>
                <w:bCs/>
                <w:sz w:val="16"/>
                <w:szCs w:val="16"/>
              </w:rPr>
              <w:t>RECAUDADO</w:t>
            </w:r>
          </w:p>
        </w:tc>
        <w:tc>
          <w:tcPr>
            <w:tcW w:w="1801" w:type="pct"/>
            <w:gridSpan w:val="4"/>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22782DF1" w14:textId="77777777" w:rsidR="00033594" w:rsidRDefault="00033594">
            <w:pPr>
              <w:jc w:val="center"/>
              <w:rPr>
                <w:rFonts w:ascii="Arial" w:hAnsi="Arial" w:cs="Arial"/>
                <w:b/>
                <w:bCs/>
                <w:color w:val="000000"/>
                <w:sz w:val="16"/>
                <w:szCs w:val="16"/>
              </w:rPr>
            </w:pPr>
            <w:r>
              <w:rPr>
                <w:rFonts w:ascii="Arial" w:hAnsi="Arial" w:cs="Arial"/>
                <w:b/>
                <w:bCs/>
                <w:sz w:val="16"/>
                <w:szCs w:val="16"/>
              </w:rPr>
              <w:t>%EJEC. REC/APR</w:t>
            </w:r>
          </w:p>
        </w:tc>
      </w:tr>
      <w:tr w:rsidR="00033594" w14:paraId="4DB870B2" w14:textId="77777777" w:rsidTr="00E95757">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B1E7548" w14:textId="77777777" w:rsidR="00033594" w:rsidRDefault="00033594">
            <w:pPr>
              <w:rPr>
                <w:rFonts w:ascii="Arial" w:hAnsi="Arial" w:cs="Arial"/>
                <w:b/>
                <w:bCs/>
                <w:color w:val="000000"/>
                <w:sz w:val="16"/>
                <w:szCs w:val="16"/>
              </w:rPr>
            </w:pPr>
          </w:p>
        </w:tc>
        <w:tc>
          <w:tcPr>
            <w:tcW w:w="475" w:type="pct"/>
            <w:tcBorders>
              <w:top w:val="nil"/>
              <w:left w:val="nil"/>
              <w:bottom w:val="single" w:sz="4" w:space="0" w:color="auto"/>
              <w:right w:val="single" w:sz="4" w:space="0" w:color="auto"/>
            </w:tcBorders>
            <w:shd w:val="clear" w:color="auto" w:fill="548DD4" w:themeFill="text2" w:themeFillTint="99"/>
            <w:vAlign w:val="center"/>
            <w:hideMark/>
          </w:tcPr>
          <w:p w14:paraId="7A860B11"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76" w:type="pct"/>
            <w:tcBorders>
              <w:top w:val="nil"/>
              <w:left w:val="nil"/>
              <w:bottom w:val="single" w:sz="4" w:space="0" w:color="auto"/>
              <w:right w:val="single" w:sz="4" w:space="0" w:color="auto"/>
            </w:tcBorders>
            <w:shd w:val="clear" w:color="auto" w:fill="548DD4" w:themeFill="text2" w:themeFillTint="99"/>
            <w:vAlign w:val="center"/>
            <w:hideMark/>
          </w:tcPr>
          <w:p w14:paraId="0363890F"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451" w:type="pct"/>
            <w:tcBorders>
              <w:top w:val="nil"/>
              <w:left w:val="nil"/>
              <w:bottom w:val="single" w:sz="4" w:space="0" w:color="auto"/>
              <w:right w:val="single" w:sz="4" w:space="0" w:color="auto"/>
            </w:tcBorders>
            <w:shd w:val="clear" w:color="auto" w:fill="548DD4" w:themeFill="text2" w:themeFillTint="99"/>
            <w:vAlign w:val="center"/>
            <w:hideMark/>
          </w:tcPr>
          <w:p w14:paraId="1C8DBDEC"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183" w:type="pct"/>
            <w:tcBorders>
              <w:top w:val="nil"/>
              <w:left w:val="nil"/>
              <w:bottom w:val="single" w:sz="4" w:space="0" w:color="auto"/>
              <w:right w:val="nil"/>
            </w:tcBorders>
            <w:shd w:val="clear" w:color="auto" w:fill="548DD4" w:themeFill="text2" w:themeFillTint="99"/>
          </w:tcPr>
          <w:p w14:paraId="04BBC66D" w14:textId="77777777" w:rsidR="00033594" w:rsidRDefault="00033594">
            <w:pPr>
              <w:jc w:val="center"/>
              <w:rPr>
                <w:rFonts w:ascii="Arial" w:hAnsi="Arial" w:cs="Arial"/>
                <w:b/>
                <w:bCs/>
                <w:color w:val="000000"/>
                <w:sz w:val="16"/>
                <w:szCs w:val="16"/>
              </w:rPr>
            </w:pPr>
          </w:p>
        </w:tc>
        <w:tc>
          <w:tcPr>
            <w:tcW w:w="307" w:type="pct"/>
            <w:tcBorders>
              <w:top w:val="nil"/>
              <w:left w:val="nil"/>
              <w:bottom w:val="single" w:sz="4" w:space="0" w:color="auto"/>
              <w:right w:val="single" w:sz="4" w:space="0" w:color="auto"/>
            </w:tcBorders>
            <w:shd w:val="clear" w:color="auto" w:fill="548DD4" w:themeFill="text2" w:themeFillTint="99"/>
            <w:vAlign w:val="center"/>
            <w:hideMark/>
          </w:tcPr>
          <w:p w14:paraId="32B80636"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c>
          <w:tcPr>
            <w:tcW w:w="489" w:type="pct"/>
            <w:tcBorders>
              <w:top w:val="nil"/>
              <w:left w:val="nil"/>
              <w:bottom w:val="single" w:sz="4" w:space="0" w:color="auto"/>
              <w:right w:val="single" w:sz="4" w:space="0" w:color="auto"/>
            </w:tcBorders>
            <w:shd w:val="clear" w:color="auto" w:fill="548DD4" w:themeFill="text2" w:themeFillTint="99"/>
            <w:vAlign w:val="center"/>
            <w:hideMark/>
          </w:tcPr>
          <w:p w14:paraId="58D30B73"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452" w:type="pct"/>
            <w:tcBorders>
              <w:top w:val="nil"/>
              <w:left w:val="nil"/>
              <w:bottom w:val="single" w:sz="4" w:space="0" w:color="auto"/>
              <w:right w:val="single" w:sz="4" w:space="0" w:color="auto"/>
            </w:tcBorders>
            <w:shd w:val="clear" w:color="auto" w:fill="548DD4" w:themeFill="text2" w:themeFillTint="99"/>
            <w:vAlign w:val="center"/>
            <w:hideMark/>
          </w:tcPr>
          <w:p w14:paraId="336B1FB5"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451" w:type="pct"/>
            <w:tcBorders>
              <w:top w:val="nil"/>
              <w:left w:val="nil"/>
              <w:bottom w:val="single" w:sz="4" w:space="0" w:color="auto"/>
              <w:right w:val="single" w:sz="4" w:space="0" w:color="auto"/>
            </w:tcBorders>
            <w:shd w:val="clear" w:color="auto" w:fill="548DD4" w:themeFill="text2" w:themeFillTint="99"/>
            <w:vAlign w:val="center"/>
            <w:hideMark/>
          </w:tcPr>
          <w:p w14:paraId="2FAC2FEE"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410" w:type="pct"/>
            <w:tcBorders>
              <w:top w:val="nil"/>
              <w:left w:val="nil"/>
              <w:bottom w:val="single" w:sz="4" w:space="0" w:color="auto"/>
              <w:right w:val="single" w:sz="4" w:space="0" w:color="auto"/>
            </w:tcBorders>
            <w:shd w:val="clear" w:color="auto" w:fill="548DD4" w:themeFill="text2" w:themeFillTint="99"/>
            <w:vAlign w:val="center"/>
            <w:hideMark/>
          </w:tcPr>
          <w:p w14:paraId="7BB79ABE"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r>
      <w:tr w:rsidR="00033594" w14:paraId="7B4BBCF6" w14:textId="77777777" w:rsidTr="00033594">
        <w:trPr>
          <w:trHeight w:val="300"/>
        </w:trPr>
        <w:tc>
          <w:tcPr>
            <w:tcW w:w="1407" w:type="pct"/>
            <w:tcBorders>
              <w:top w:val="nil"/>
              <w:left w:val="single" w:sz="4" w:space="0" w:color="auto"/>
              <w:bottom w:val="single" w:sz="4" w:space="0" w:color="auto"/>
              <w:right w:val="single" w:sz="4" w:space="0" w:color="auto"/>
            </w:tcBorders>
            <w:noWrap/>
            <w:vAlign w:val="center"/>
            <w:hideMark/>
          </w:tcPr>
          <w:p w14:paraId="37C8384D" w14:textId="77777777" w:rsidR="00033594" w:rsidRDefault="00033594">
            <w:pPr>
              <w:rPr>
                <w:rFonts w:ascii="Arial" w:hAnsi="Arial" w:cs="Arial"/>
                <w:color w:val="000000"/>
                <w:sz w:val="16"/>
                <w:szCs w:val="16"/>
              </w:rPr>
            </w:pPr>
            <w:r>
              <w:rPr>
                <w:rFonts w:ascii="Arial" w:hAnsi="Arial" w:cs="Arial"/>
                <w:sz w:val="16"/>
                <w:szCs w:val="16"/>
              </w:rPr>
              <w:t>Venta de información Petrolera BIP</w:t>
            </w:r>
          </w:p>
        </w:tc>
        <w:tc>
          <w:tcPr>
            <w:tcW w:w="475" w:type="pct"/>
            <w:tcBorders>
              <w:top w:val="nil"/>
              <w:left w:val="nil"/>
              <w:bottom w:val="single" w:sz="4" w:space="0" w:color="auto"/>
              <w:right w:val="single" w:sz="4" w:space="0" w:color="auto"/>
            </w:tcBorders>
            <w:noWrap/>
            <w:vAlign w:val="center"/>
            <w:hideMark/>
          </w:tcPr>
          <w:p w14:paraId="1724C16F"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6" w:type="pct"/>
            <w:tcBorders>
              <w:top w:val="nil"/>
              <w:left w:val="nil"/>
              <w:bottom w:val="single" w:sz="4" w:space="0" w:color="auto"/>
              <w:right w:val="single" w:sz="4" w:space="0" w:color="auto"/>
            </w:tcBorders>
            <w:noWrap/>
            <w:vAlign w:val="center"/>
            <w:hideMark/>
          </w:tcPr>
          <w:p w14:paraId="781D828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1F2598F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183" w:type="pct"/>
            <w:tcBorders>
              <w:top w:val="nil"/>
              <w:left w:val="nil"/>
              <w:bottom w:val="single" w:sz="4" w:space="0" w:color="auto"/>
              <w:right w:val="nil"/>
            </w:tcBorders>
          </w:tcPr>
          <w:p w14:paraId="006AE5E0" w14:textId="77777777" w:rsidR="00033594" w:rsidRDefault="00033594">
            <w:pPr>
              <w:jc w:val="right"/>
              <w:rPr>
                <w:rFonts w:ascii="Arial" w:hAnsi="Arial" w:cs="Arial"/>
                <w:color w:val="000000"/>
                <w:sz w:val="16"/>
                <w:szCs w:val="16"/>
              </w:rPr>
            </w:pPr>
          </w:p>
        </w:tc>
        <w:tc>
          <w:tcPr>
            <w:tcW w:w="307" w:type="pct"/>
            <w:tcBorders>
              <w:top w:val="nil"/>
              <w:left w:val="nil"/>
              <w:bottom w:val="single" w:sz="4" w:space="0" w:color="auto"/>
              <w:right w:val="single" w:sz="4" w:space="0" w:color="auto"/>
            </w:tcBorders>
            <w:noWrap/>
            <w:vAlign w:val="center"/>
            <w:hideMark/>
          </w:tcPr>
          <w:p w14:paraId="20016C3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89" w:type="pct"/>
            <w:tcBorders>
              <w:top w:val="nil"/>
              <w:left w:val="nil"/>
              <w:bottom w:val="single" w:sz="4" w:space="0" w:color="auto"/>
              <w:right w:val="single" w:sz="4" w:space="0" w:color="auto"/>
            </w:tcBorders>
            <w:noWrap/>
            <w:vAlign w:val="center"/>
            <w:hideMark/>
          </w:tcPr>
          <w:p w14:paraId="71A02E8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2" w:type="pct"/>
            <w:tcBorders>
              <w:top w:val="nil"/>
              <w:left w:val="nil"/>
              <w:bottom w:val="single" w:sz="4" w:space="0" w:color="auto"/>
              <w:right w:val="single" w:sz="4" w:space="0" w:color="auto"/>
            </w:tcBorders>
            <w:noWrap/>
            <w:vAlign w:val="center"/>
            <w:hideMark/>
          </w:tcPr>
          <w:p w14:paraId="2926B6A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4D39AAE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10" w:type="pct"/>
            <w:tcBorders>
              <w:top w:val="nil"/>
              <w:left w:val="nil"/>
              <w:bottom w:val="single" w:sz="4" w:space="0" w:color="auto"/>
              <w:right w:val="single" w:sz="4" w:space="0" w:color="auto"/>
            </w:tcBorders>
            <w:noWrap/>
            <w:vAlign w:val="center"/>
            <w:hideMark/>
          </w:tcPr>
          <w:p w14:paraId="385DA33A"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778345A8" w14:textId="77777777" w:rsidTr="00033594">
        <w:trPr>
          <w:trHeight w:val="300"/>
        </w:trPr>
        <w:tc>
          <w:tcPr>
            <w:tcW w:w="1407" w:type="pct"/>
            <w:tcBorders>
              <w:top w:val="nil"/>
              <w:left w:val="single" w:sz="4" w:space="0" w:color="auto"/>
              <w:bottom w:val="single" w:sz="4" w:space="0" w:color="auto"/>
              <w:right w:val="single" w:sz="4" w:space="0" w:color="auto"/>
            </w:tcBorders>
            <w:noWrap/>
            <w:vAlign w:val="center"/>
            <w:hideMark/>
          </w:tcPr>
          <w:p w14:paraId="239D21DB" w14:textId="77777777" w:rsidR="00033594" w:rsidRDefault="00033594">
            <w:pPr>
              <w:rPr>
                <w:rFonts w:ascii="Arial" w:hAnsi="Arial" w:cs="Arial"/>
                <w:color w:val="000000"/>
                <w:sz w:val="16"/>
                <w:szCs w:val="16"/>
              </w:rPr>
            </w:pPr>
            <w:proofErr w:type="spellStart"/>
            <w:r>
              <w:rPr>
                <w:rFonts w:ascii="Arial" w:hAnsi="Arial" w:cs="Arial"/>
                <w:sz w:val="16"/>
                <w:szCs w:val="16"/>
              </w:rPr>
              <w:t>Litoteca</w:t>
            </w:r>
            <w:proofErr w:type="spellEnd"/>
          </w:p>
        </w:tc>
        <w:tc>
          <w:tcPr>
            <w:tcW w:w="475" w:type="pct"/>
            <w:tcBorders>
              <w:top w:val="nil"/>
              <w:left w:val="nil"/>
              <w:bottom w:val="single" w:sz="4" w:space="0" w:color="auto"/>
              <w:right w:val="single" w:sz="4" w:space="0" w:color="auto"/>
            </w:tcBorders>
            <w:noWrap/>
            <w:vAlign w:val="center"/>
            <w:hideMark/>
          </w:tcPr>
          <w:p w14:paraId="5E28850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76" w:type="pct"/>
            <w:tcBorders>
              <w:top w:val="nil"/>
              <w:left w:val="nil"/>
              <w:bottom w:val="single" w:sz="4" w:space="0" w:color="auto"/>
              <w:right w:val="single" w:sz="4" w:space="0" w:color="auto"/>
            </w:tcBorders>
            <w:noWrap/>
            <w:vAlign w:val="center"/>
            <w:hideMark/>
          </w:tcPr>
          <w:p w14:paraId="53845FC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185AD69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183" w:type="pct"/>
            <w:tcBorders>
              <w:top w:val="nil"/>
              <w:left w:val="nil"/>
              <w:bottom w:val="single" w:sz="4" w:space="0" w:color="auto"/>
              <w:right w:val="nil"/>
            </w:tcBorders>
          </w:tcPr>
          <w:p w14:paraId="6FE655E2" w14:textId="77777777" w:rsidR="00033594" w:rsidRDefault="00033594">
            <w:pPr>
              <w:jc w:val="right"/>
              <w:rPr>
                <w:rFonts w:ascii="Arial" w:hAnsi="Arial" w:cs="Arial"/>
                <w:color w:val="000000"/>
                <w:sz w:val="16"/>
                <w:szCs w:val="16"/>
              </w:rPr>
            </w:pPr>
          </w:p>
        </w:tc>
        <w:tc>
          <w:tcPr>
            <w:tcW w:w="307" w:type="pct"/>
            <w:tcBorders>
              <w:top w:val="nil"/>
              <w:left w:val="nil"/>
              <w:bottom w:val="single" w:sz="4" w:space="0" w:color="auto"/>
              <w:right w:val="single" w:sz="4" w:space="0" w:color="auto"/>
            </w:tcBorders>
            <w:noWrap/>
            <w:vAlign w:val="center"/>
            <w:hideMark/>
          </w:tcPr>
          <w:p w14:paraId="7279BDC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89" w:type="pct"/>
            <w:tcBorders>
              <w:top w:val="nil"/>
              <w:left w:val="nil"/>
              <w:bottom w:val="single" w:sz="4" w:space="0" w:color="auto"/>
              <w:right w:val="single" w:sz="4" w:space="0" w:color="auto"/>
            </w:tcBorders>
            <w:noWrap/>
            <w:vAlign w:val="center"/>
            <w:hideMark/>
          </w:tcPr>
          <w:p w14:paraId="437367A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2" w:type="pct"/>
            <w:tcBorders>
              <w:top w:val="nil"/>
              <w:left w:val="nil"/>
              <w:bottom w:val="single" w:sz="4" w:space="0" w:color="auto"/>
              <w:right w:val="single" w:sz="4" w:space="0" w:color="auto"/>
            </w:tcBorders>
            <w:noWrap/>
            <w:vAlign w:val="center"/>
            <w:hideMark/>
          </w:tcPr>
          <w:p w14:paraId="3D5CF140"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51" w:type="pct"/>
            <w:tcBorders>
              <w:top w:val="nil"/>
              <w:left w:val="nil"/>
              <w:bottom w:val="single" w:sz="4" w:space="0" w:color="auto"/>
              <w:right w:val="single" w:sz="4" w:space="0" w:color="auto"/>
            </w:tcBorders>
            <w:noWrap/>
            <w:vAlign w:val="center"/>
            <w:hideMark/>
          </w:tcPr>
          <w:p w14:paraId="319FEDD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10" w:type="pct"/>
            <w:tcBorders>
              <w:top w:val="nil"/>
              <w:left w:val="nil"/>
              <w:bottom w:val="single" w:sz="4" w:space="0" w:color="auto"/>
              <w:right w:val="single" w:sz="4" w:space="0" w:color="auto"/>
            </w:tcBorders>
            <w:noWrap/>
            <w:vAlign w:val="center"/>
            <w:hideMark/>
          </w:tcPr>
          <w:p w14:paraId="5F73C617"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033594" w14:paraId="28FFF244" w14:textId="77777777" w:rsidTr="00033594">
        <w:trPr>
          <w:trHeight w:val="300"/>
        </w:trPr>
        <w:tc>
          <w:tcPr>
            <w:tcW w:w="1407" w:type="pct"/>
            <w:tcBorders>
              <w:top w:val="nil"/>
              <w:left w:val="single" w:sz="4" w:space="0" w:color="auto"/>
              <w:bottom w:val="single" w:sz="4" w:space="0" w:color="auto"/>
              <w:right w:val="single" w:sz="4" w:space="0" w:color="auto"/>
            </w:tcBorders>
            <w:shd w:val="clear" w:color="auto" w:fill="4F81BD" w:themeFill="accent1"/>
            <w:noWrap/>
            <w:vAlign w:val="center"/>
            <w:hideMark/>
          </w:tcPr>
          <w:p w14:paraId="02142E0E" w14:textId="77777777" w:rsidR="00033594" w:rsidRDefault="00033594">
            <w:pPr>
              <w:rPr>
                <w:rFonts w:ascii="Arial" w:hAnsi="Arial" w:cs="Arial"/>
                <w:b/>
                <w:bCs/>
                <w:color w:val="000000"/>
                <w:sz w:val="16"/>
                <w:szCs w:val="16"/>
              </w:rPr>
            </w:pPr>
            <w:r>
              <w:rPr>
                <w:rFonts w:ascii="Arial" w:hAnsi="Arial" w:cs="Arial"/>
                <w:b/>
                <w:bCs/>
                <w:sz w:val="16"/>
                <w:szCs w:val="16"/>
              </w:rPr>
              <w:t>Total Venta de Servicios</w:t>
            </w:r>
          </w:p>
        </w:tc>
        <w:tc>
          <w:tcPr>
            <w:tcW w:w="475" w:type="pct"/>
            <w:tcBorders>
              <w:top w:val="nil"/>
              <w:left w:val="nil"/>
              <w:bottom w:val="single" w:sz="4" w:space="0" w:color="auto"/>
              <w:right w:val="single" w:sz="4" w:space="0" w:color="auto"/>
            </w:tcBorders>
            <w:shd w:val="clear" w:color="auto" w:fill="4F81BD" w:themeFill="accent1"/>
            <w:noWrap/>
            <w:vAlign w:val="center"/>
            <w:hideMark/>
          </w:tcPr>
          <w:p w14:paraId="5B37717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76" w:type="pct"/>
            <w:tcBorders>
              <w:top w:val="nil"/>
              <w:left w:val="nil"/>
              <w:bottom w:val="single" w:sz="4" w:space="0" w:color="auto"/>
              <w:right w:val="single" w:sz="4" w:space="0" w:color="auto"/>
            </w:tcBorders>
            <w:shd w:val="clear" w:color="auto" w:fill="4F81BD" w:themeFill="accent1"/>
            <w:noWrap/>
            <w:vAlign w:val="center"/>
            <w:hideMark/>
          </w:tcPr>
          <w:p w14:paraId="79093D78"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51" w:type="pct"/>
            <w:tcBorders>
              <w:top w:val="nil"/>
              <w:left w:val="nil"/>
              <w:bottom w:val="single" w:sz="4" w:space="0" w:color="auto"/>
              <w:right w:val="single" w:sz="4" w:space="0" w:color="auto"/>
            </w:tcBorders>
            <w:shd w:val="clear" w:color="auto" w:fill="4F81BD" w:themeFill="accent1"/>
            <w:noWrap/>
            <w:vAlign w:val="center"/>
            <w:hideMark/>
          </w:tcPr>
          <w:p w14:paraId="728827DE"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183" w:type="pct"/>
            <w:tcBorders>
              <w:top w:val="nil"/>
              <w:left w:val="nil"/>
              <w:bottom w:val="single" w:sz="4" w:space="0" w:color="auto"/>
              <w:right w:val="nil"/>
            </w:tcBorders>
            <w:shd w:val="clear" w:color="auto" w:fill="4F81BD" w:themeFill="accent1"/>
          </w:tcPr>
          <w:p w14:paraId="6C6E527A" w14:textId="77777777" w:rsidR="00033594" w:rsidRDefault="00033594">
            <w:pPr>
              <w:jc w:val="right"/>
              <w:rPr>
                <w:rFonts w:ascii="Arial" w:hAnsi="Arial" w:cs="Arial"/>
                <w:b/>
                <w:bCs/>
                <w:color w:val="000000"/>
                <w:sz w:val="16"/>
                <w:szCs w:val="16"/>
              </w:rPr>
            </w:pPr>
          </w:p>
        </w:tc>
        <w:tc>
          <w:tcPr>
            <w:tcW w:w="307" w:type="pct"/>
            <w:tcBorders>
              <w:top w:val="nil"/>
              <w:left w:val="nil"/>
              <w:bottom w:val="single" w:sz="4" w:space="0" w:color="auto"/>
              <w:right w:val="single" w:sz="4" w:space="0" w:color="auto"/>
            </w:tcBorders>
            <w:shd w:val="clear" w:color="auto" w:fill="4F81BD" w:themeFill="accent1"/>
            <w:noWrap/>
            <w:vAlign w:val="center"/>
            <w:hideMark/>
          </w:tcPr>
          <w:p w14:paraId="5F5F02A3" w14:textId="77777777" w:rsidR="00033594" w:rsidRDefault="00033594">
            <w:pPr>
              <w:jc w:val="right"/>
              <w:rPr>
                <w:rFonts w:ascii="Arial" w:hAnsi="Arial" w:cs="Arial"/>
                <w:b/>
                <w:bCs/>
                <w:color w:val="000000"/>
                <w:sz w:val="16"/>
                <w:szCs w:val="16"/>
              </w:rPr>
            </w:pPr>
            <w:r>
              <w:rPr>
                <w:rFonts w:ascii="Arial" w:hAnsi="Arial" w:cs="Arial"/>
                <w:b/>
                <w:bCs/>
                <w:sz w:val="16"/>
                <w:szCs w:val="16"/>
              </w:rPr>
              <w:t>3</w:t>
            </w:r>
          </w:p>
        </w:tc>
        <w:tc>
          <w:tcPr>
            <w:tcW w:w="489" w:type="pct"/>
            <w:tcBorders>
              <w:top w:val="nil"/>
              <w:left w:val="nil"/>
              <w:bottom w:val="single" w:sz="4" w:space="0" w:color="auto"/>
              <w:right w:val="single" w:sz="4" w:space="0" w:color="auto"/>
            </w:tcBorders>
            <w:shd w:val="clear" w:color="auto" w:fill="4F81BD" w:themeFill="accent1"/>
            <w:noWrap/>
            <w:vAlign w:val="center"/>
            <w:hideMark/>
          </w:tcPr>
          <w:p w14:paraId="5AF50BD8"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52" w:type="pct"/>
            <w:tcBorders>
              <w:top w:val="nil"/>
              <w:left w:val="nil"/>
              <w:bottom w:val="single" w:sz="4" w:space="0" w:color="auto"/>
              <w:right w:val="single" w:sz="4" w:space="0" w:color="auto"/>
            </w:tcBorders>
            <w:shd w:val="clear" w:color="auto" w:fill="4F81BD" w:themeFill="accent1"/>
            <w:noWrap/>
            <w:vAlign w:val="center"/>
            <w:hideMark/>
          </w:tcPr>
          <w:p w14:paraId="05D43524"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51" w:type="pct"/>
            <w:tcBorders>
              <w:top w:val="nil"/>
              <w:left w:val="nil"/>
              <w:bottom w:val="single" w:sz="4" w:space="0" w:color="auto"/>
              <w:right w:val="single" w:sz="4" w:space="0" w:color="auto"/>
            </w:tcBorders>
            <w:shd w:val="clear" w:color="auto" w:fill="4F81BD" w:themeFill="accent1"/>
            <w:noWrap/>
            <w:vAlign w:val="center"/>
            <w:hideMark/>
          </w:tcPr>
          <w:p w14:paraId="3907471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10" w:type="pct"/>
            <w:tcBorders>
              <w:top w:val="nil"/>
              <w:left w:val="nil"/>
              <w:bottom w:val="single" w:sz="4" w:space="0" w:color="auto"/>
              <w:right w:val="single" w:sz="4" w:space="0" w:color="auto"/>
            </w:tcBorders>
            <w:shd w:val="clear" w:color="auto" w:fill="4F81BD" w:themeFill="accent1"/>
            <w:noWrap/>
            <w:vAlign w:val="center"/>
            <w:hideMark/>
          </w:tcPr>
          <w:p w14:paraId="67404E1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bl>
    <w:p w14:paraId="4BB96A5B" w14:textId="77777777" w:rsidR="00C02282" w:rsidRPr="00033594" w:rsidRDefault="00C02282" w:rsidP="00C02282">
      <w:pPr>
        <w:jc w:val="both"/>
        <w:rPr>
          <w:rFonts w:ascii="Arial" w:hAnsi="Arial" w:cs="Arial"/>
          <w:bCs/>
          <w:highlight w:val="yellow"/>
          <w:lang w:val="es-ES" w:eastAsia="es-ES"/>
        </w:rPr>
      </w:pPr>
    </w:p>
    <w:p w14:paraId="23320F89" w14:textId="77777777" w:rsidR="00C02282" w:rsidRPr="00033594" w:rsidRDefault="00C02282" w:rsidP="00C02282">
      <w:pPr>
        <w:jc w:val="both"/>
        <w:rPr>
          <w:rFonts w:ascii="Arial" w:hAnsi="Arial" w:cs="Arial"/>
          <w:b/>
          <w:bCs/>
          <w:lang w:val="es-ES" w:eastAsia="es-ES"/>
        </w:rPr>
      </w:pPr>
      <w:r w:rsidRPr="00033594">
        <w:rPr>
          <w:rFonts w:ascii="Arial" w:hAnsi="Arial" w:cs="Arial"/>
          <w:b/>
          <w:bCs/>
          <w:lang w:val="es-ES" w:eastAsia="es-ES"/>
        </w:rPr>
        <w:t>Derechos Económicos</w:t>
      </w:r>
    </w:p>
    <w:p w14:paraId="08325CC4" w14:textId="77777777" w:rsidR="00033594" w:rsidRDefault="00033594" w:rsidP="00033594">
      <w:pPr>
        <w:jc w:val="both"/>
        <w:rPr>
          <w:rFonts w:ascii="Arial" w:hAnsi="Arial" w:cs="Arial"/>
          <w:bCs/>
          <w:lang w:val="es-ES" w:eastAsia="es-ES"/>
        </w:rPr>
      </w:pPr>
      <w:r>
        <w:rPr>
          <w:rFonts w:ascii="Arial" w:hAnsi="Arial" w:cs="Arial"/>
          <w:bCs/>
          <w:lang w:val="es-ES" w:eastAsia="es-ES"/>
        </w:rPr>
        <w:t>Con relación a los ingresos recaudados por Derechos Económicos al segundo trimestre de 2018, se observa una ejecución del 229% frente al presupuesto inicial.</w:t>
      </w:r>
    </w:p>
    <w:p w14:paraId="510A731B" w14:textId="0F1117F7" w:rsidR="00C02282" w:rsidRDefault="00033594" w:rsidP="00033594">
      <w:pPr>
        <w:jc w:val="both"/>
        <w:rPr>
          <w:rFonts w:ascii="Arial" w:hAnsi="Arial" w:cs="Arial"/>
          <w:bCs/>
          <w:lang w:val="es-ES" w:eastAsia="es-ES"/>
        </w:rPr>
      </w:pPr>
      <w:r>
        <w:rPr>
          <w:rFonts w:ascii="Arial" w:hAnsi="Arial" w:cs="Arial"/>
          <w:bCs/>
          <w:lang w:val="es-ES" w:eastAsia="es-ES"/>
        </w:rPr>
        <w:t xml:space="preserve">De los Derechos Económicos recaudados, la mayor participación está representada por los conceptos de Precios Altos con $276.991 millones de pesos, Porcentaje en la Producción con $91.519 millones de pesos y Campo Tello con $43.400 millones de pesos. </w:t>
      </w:r>
    </w:p>
    <w:p w14:paraId="33851505" w14:textId="77777777" w:rsidR="00FE1111" w:rsidRPr="006A67B4" w:rsidRDefault="00FE1111" w:rsidP="00033594">
      <w:pPr>
        <w:jc w:val="both"/>
        <w:rPr>
          <w:rFonts w:ascii="Arial" w:hAnsi="Arial" w:cs="Arial"/>
          <w:b/>
          <w:highlight w:val="yellow"/>
          <w:lang w:val="es-ES" w:eastAsia="es-ES"/>
        </w:rPr>
      </w:pPr>
    </w:p>
    <w:p w14:paraId="650C73DF" w14:textId="0E708E55" w:rsidR="00C02282" w:rsidRPr="00033594" w:rsidRDefault="00C02282" w:rsidP="00033594">
      <w:pPr>
        <w:pStyle w:val="Descripcin"/>
        <w:keepNext/>
        <w:jc w:val="center"/>
      </w:pPr>
      <w:bookmarkStart w:id="110" w:name="_Toc525652491"/>
      <w:r w:rsidRPr="00033594">
        <w:t xml:space="preserve">Tabla </w:t>
      </w:r>
      <w:r w:rsidRPr="00033594">
        <w:fldChar w:fldCharType="begin"/>
      </w:r>
      <w:r w:rsidRPr="00033594">
        <w:instrText xml:space="preserve"> SEQ Tabla \* ARABIC </w:instrText>
      </w:r>
      <w:r w:rsidRPr="00033594">
        <w:fldChar w:fldCharType="separate"/>
      </w:r>
      <w:r w:rsidR="008B4625">
        <w:rPr>
          <w:noProof/>
        </w:rPr>
        <w:t>46</w:t>
      </w:r>
      <w:r w:rsidRPr="00033594">
        <w:fldChar w:fldCharType="end"/>
      </w:r>
      <w:r w:rsidR="00033594" w:rsidRPr="00033594">
        <w:t xml:space="preserve"> </w:t>
      </w:r>
      <w:r w:rsidRPr="00033594">
        <w:t xml:space="preserve">Derechos Económicos </w:t>
      </w:r>
      <w:r w:rsidR="00033594" w:rsidRPr="00033594">
        <w:t xml:space="preserve">Segundo </w:t>
      </w:r>
      <w:r w:rsidRPr="00033594">
        <w:t xml:space="preserve"> Trimestre ANH</w:t>
      </w:r>
      <w:bookmarkEnd w:id="110"/>
    </w:p>
    <w:tbl>
      <w:tblPr>
        <w:tblW w:w="4925" w:type="pct"/>
        <w:tblCellMar>
          <w:left w:w="70" w:type="dxa"/>
          <w:right w:w="70" w:type="dxa"/>
        </w:tblCellMar>
        <w:tblLook w:val="04A0" w:firstRow="1" w:lastRow="0" w:firstColumn="1" w:lastColumn="0" w:noHBand="0" w:noVBand="1"/>
      </w:tblPr>
      <w:tblGrid>
        <w:gridCol w:w="3409"/>
        <w:gridCol w:w="333"/>
        <w:gridCol w:w="440"/>
        <w:gridCol w:w="289"/>
        <w:gridCol w:w="483"/>
        <w:gridCol w:w="246"/>
        <w:gridCol w:w="513"/>
        <w:gridCol w:w="207"/>
        <w:gridCol w:w="572"/>
        <w:gridCol w:w="168"/>
        <w:gridCol w:w="561"/>
        <w:gridCol w:w="111"/>
        <w:gridCol w:w="618"/>
        <w:gridCol w:w="720"/>
        <w:gridCol w:w="583"/>
      </w:tblGrid>
      <w:tr w:rsidR="00033594" w14:paraId="1ABAF900" w14:textId="77777777" w:rsidTr="00E95757">
        <w:trPr>
          <w:trHeight w:val="140"/>
          <w:tblHeader/>
        </w:trPr>
        <w:tc>
          <w:tcPr>
            <w:tcW w:w="1842"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A29EE6E" w14:textId="77777777" w:rsidR="00033594" w:rsidRDefault="00033594">
            <w:pPr>
              <w:jc w:val="center"/>
              <w:rPr>
                <w:rFonts w:ascii="Arial" w:hAnsi="Arial" w:cs="Arial"/>
                <w:b/>
                <w:bCs/>
                <w:color w:val="000000"/>
                <w:sz w:val="16"/>
                <w:szCs w:val="16"/>
              </w:rPr>
            </w:pPr>
            <w:r>
              <w:rPr>
                <w:rFonts w:ascii="Arial" w:hAnsi="Arial" w:cs="Arial"/>
                <w:b/>
                <w:bCs/>
                <w:sz w:val="16"/>
                <w:szCs w:val="16"/>
              </w:rPr>
              <w:t>RUBRO</w:t>
            </w:r>
          </w:p>
        </w:tc>
        <w:tc>
          <w:tcPr>
            <w:tcW w:w="1666" w:type="pct"/>
            <w:gridSpan w:val="8"/>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55ACC009" w14:textId="77777777" w:rsidR="00033594" w:rsidRDefault="00033594">
            <w:pPr>
              <w:jc w:val="center"/>
              <w:rPr>
                <w:rFonts w:ascii="Arial" w:hAnsi="Arial" w:cs="Arial"/>
                <w:b/>
                <w:bCs/>
                <w:color w:val="000000"/>
                <w:sz w:val="16"/>
                <w:szCs w:val="16"/>
              </w:rPr>
            </w:pPr>
            <w:r>
              <w:rPr>
                <w:rFonts w:ascii="Arial" w:hAnsi="Arial" w:cs="Arial"/>
                <w:b/>
                <w:bCs/>
                <w:sz w:val="16"/>
                <w:szCs w:val="16"/>
              </w:rPr>
              <w:t>PRESUPUESTO DEFINITIVO</w:t>
            </w:r>
          </w:p>
        </w:tc>
        <w:tc>
          <w:tcPr>
            <w:tcW w:w="1492" w:type="pct"/>
            <w:gridSpan w:val="6"/>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5F4FFD72" w14:textId="77777777" w:rsidR="00033594" w:rsidRDefault="00033594">
            <w:pPr>
              <w:jc w:val="center"/>
              <w:rPr>
                <w:rFonts w:ascii="Arial" w:hAnsi="Arial" w:cs="Arial"/>
                <w:b/>
                <w:bCs/>
                <w:color w:val="000000"/>
                <w:sz w:val="16"/>
                <w:szCs w:val="16"/>
              </w:rPr>
            </w:pPr>
            <w:r>
              <w:rPr>
                <w:rFonts w:ascii="Arial" w:hAnsi="Arial" w:cs="Arial"/>
                <w:b/>
                <w:bCs/>
                <w:sz w:val="16"/>
                <w:szCs w:val="16"/>
              </w:rPr>
              <w:t>CAUSADO</w:t>
            </w:r>
          </w:p>
        </w:tc>
      </w:tr>
      <w:tr w:rsidR="00E84C6B" w14:paraId="76CAA02D" w14:textId="77777777" w:rsidTr="00E95757">
        <w:trPr>
          <w:trHeight w:val="145"/>
          <w:tblHeader/>
        </w:trPr>
        <w:tc>
          <w:tcPr>
            <w:tcW w:w="0" w:type="auto"/>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1EF2EC6" w14:textId="77777777" w:rsidR="00033594" w:rsidRDefault="00033594">
            <w:pPr>
              <w:rPr>
                <w:rFonts w:ascii="Arial" w:hAnsi="Arial" w:cs="Arial"/>
                <w:b/>
                <w:bCs/>
                <w:color w:val="000000"/>
                <w:sz w:val="16"/>
                <w:szCs w:val="16"/>
              </w:rPr>
            </w:pPr>
          </w:p>
        </w:tc>
        <w:tc>
          <w:tcPr>
            <w:tcW w:w="418" w:type="pct"/>
            <w:gridSpan w:val="2"/>
            <w:tcBorders>
              <w:top w:val="nil"/>
              <w:left w:val="nil"/>
              <w:bottom w:val="single" w:sz="4" w:space="0" w:color="auto"/>
              <w:right w:val="single" w:sz="4" w:space="0" w:color="auto"/>
            </w:tcBorders>
            <w:shd w:val="clear" w:color="auto" w:fill="548DD4" w:themeFill="text2" w:themeFillTint="99"/>
            <w:vAlign w:val="center"/>
            <w:hideMark/>
          </w:tcPr>
          <w:p w14:paraId="1FE21722"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417" w:type="pct"/>
            <w:gridSpan w:val="2"/>
            <w:tcBorders>
              <w:top w:val="nil"/>
              <w:left w:val="nil"/>
              <w:bottom w:val="single" w:sz="4" w:space="0" w:color="auto"/>
              <w:right w:val="single" w:sz="4" w:space="0" w:color="auto"/>
            </w:tcBorders>
            <w:shd w:val="clear" w:color="auto" w:fill="548DD4" w:themeFill="text2" w:themeFillTint="99"/>
            <w:vAlign w:val="center"/>
            <w:hideMark/>
          </w:tcPr>
          <w:p w14:paraId="3F9E257B"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410" w:type="pct"/>
            <w:gridSpan w:val="2"/>
            <w:tcBorders>
              <w:top w:val="nil"/>
              <w:left w:val="nil"/>
              <w:bottom w:val="single" w:sz="4" w:space="0" w:color="auto"/>
              <w:right w:val="single" w:sz="4" w:space="0" w:color="auto"/>
            </w:tcBorders>
            <w:shd w:val="clear" w:color="auto" w:fill="548DD4" w:themeFill="text2" w:themeFillTint="99"/>
            <w:vAlign w:val="center"/>
            <w:hideMark/>
          </w:tcPr>
          <w:p w14:paraId="3110A704"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420" w:type="pct"/>
            <w:gridSpan w:val="2"/>
            <w:tcBorders>
              <w:top w:val="nil"/>
              <w:left w:val="nil"/>
              <w:bottom w:val="single" w:sz="4" w:space="0" w:color="auto"/>
              <w:right w:val="single" w:sz="4" w:space="0" w:color="auto"/>
            </w:tcBorders>
            <w:shd w:val="clear" w:color="auto" w:fill="548DD4" w:themeFill="text2" w:themeFillTint="99"/>
            <w:vAlign w:val="center"/>
            <w:hideMark/>
          </w:tcPr>
          <w:p w14:paraId="66E41B4B"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c>
          <w:tcPr>
            <w:tcW w:w="394" w:type="pct"/>
            <w:gridSpan w:val="2"/>
            <w:tcBorders>
              <w:top w:val="nil"/>
              <w:left w:val="nil"/>
              <w:bottom w:val="single" w:sz="4" w:space="0" w:color="auto"/>
              <w:right w:val="single" w:sz="4" w:space="0" w:color="auto"/>
            </w:tcBorders>
            <w:shd w:val="clear" w:color="auto" w:fill="548DD4" w:themeFill="text2" w:themeFillTint="99"/>
            <w:vAlign w:val="center"/>
            <w:hideMark/>
          </w:tcPr>
          <w:p w14:paraId="57F7FA17"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94" w:type="pct"/>
            <w:gridSpan w:val="2"/>
            <w:tcBorders>
              <w:top w:val="nil"/>
              <w:left w:val="nil"/>
              <w:bottom w:val="single" w:sz="4" w:space="0" w:color="auto"/>
              <w:right w:val="single" w:sz="4" w:space="0" w:color="auto"/>
            </w:tcBorders>
            <w:shd w:val="clear" w:color="auto" w:fill="548DD4" w:themeFill="text2" w:themeFillTint="99"/>
            <w:vAlign w:val="center"/>
            <w:hideMark/>
          </w:tcPr>
          <w:p w14:paraId="5F422922"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89" w:type="pct"/>
            <w:tcBorders>
              <w:top w:val="nil"/>
              <w:left w:val="nil"/>
              <w:bottom w:val="single" w:sz="4" w:space="0" w:color="auto"/>
              <w:right w:val="single" w:sz="4" w:space="0" w:color="auto"/>
            </w:tcBorders>
            <w:shd w:val="clear" w:color="auto" w:fill="548DD4" w:themeFill="text2" w:themeFillTint="99"/>
            <w:vAlign w:val="center"/>
            <w:hideMark/>
          </w:tcPr>
          <w:p w14:paraId="0830E2F5" w14:textId="77777777" w:rsidR="00033594" w:rsidRDefault="00033594">
            <w:pPr>
              <w:jc w:val="center"/>
              <w:rPr>
                <w:rFonts w:ascii="Arial" w:hAnsi="Arial" w:cs="Arial"/>
                <w:b/>
                <w:bCs/>
                <w:color w:val="000000"/>
                <w:sz w:val="16"/>
                <w:szCs w:val="16"/>
              </w:rPr>
            </w:pPr>
            <w:r>
              <w:rPr>
                <w:rFonts w:ascii="Arial" w:hAnsi="Arial" w:cs="Arial"/>
                <w:b/>
                <w:bCs/>
                <w:sz w:val="16"/>
                <w:szCs w:val="16"/>
              </w:rPr>
              <w:t>III TRIM.</w:t>
            </w:r>
          </w:p>
        </w:tc>
        <w:tc>
          <w:tcPr>
            <w:tcW w:w="316" w:type="pct"/>
            <w:tcBorders>
              <w:top w:val="nil"/>
              <w:left w:val="nil"/>
              <w:bottom w:val="single" w:sz="4" w:space="0" w:color="auto"/>
              <w:right w:val="single" w:sz="4" w:space="0" w:color="auto"/>
            </w:tcBorders>
            <w:shd w:val="clear" w:color="auto" w:fill="548DD4" w:themeFill="text2" w:themeFillTint="99"/>
            <w:vAlign w:val="center"/>
            <w:hideMark/>
          </w:tcPr>
          <w:p w14:paraId="567F902B"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r>
      <w:tr w:rsidR="00E84C6B" w14:paraId="177ECC6A"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566FE764" w14:textId="77777777" w:rsidR="00033594" w:rsidRDefault="00033594">
            <w:pPr>
              <w:rPr>
                <w:rFonts w:ascii="Arial" w:hAnsi="Arial" w:cs="Arial"/>
                <w:b/>
                <w:bCs/>
                <w:color w:val="000000"/>
                <w:sz w:val="16"/>
                <w:szCs w:val="16"/>
              </w:rPr>
            </w:pPr>
            <w:r>
              <w:rPr>
                <w:rFonts w:ascii="Arial" w:hAnsi="Arial" w:cs="Arial"/>
                <w:b/>
                <w:bCs/>
                <w:sz w:val="16"/>
                <w:szCs w:val="16"/>
              </w:rPr>
              <w:t>USO DEL SUBSUELO EN EXPLORACIÓN</w:t>
            </w:r>
          </w:p>
        </w:tc>
        <w:tc>
          <w:tcPr>
            <w:tcW w:w="418" w:type="pct"/>
            <w:gridSpan w:val="2"/>
            <w:tcBorders>
              <w:top w:val="nil"/>
              <w:left w:val="nil"/>
              <w:bottom w:val="single" w:sz="4" w:space="0" w:color="auto"/>
              <w:right w:val="single" w:sz="4" w:space="0" w:color="auto"/>
            </w:tcBorders>
            <w:vAlign w:val="center"/>
            <w:hideMark/>
          </w:tcPr>
          <w:p w14:paraId="1E0CC9B6" w14:textId="77777777" w:rsidR="00033594" w:rsidRDefault="00033594">
            <w:pPr>
              <w:jc w:val="right"/>
              <w:rPr>
                <w:rFonts w:ascii="Arial" w:hAnsi="Arial" w:cs="Arial"/>
                <w:b/>
                <w:bCs/>
                <w:color w:val="000000"/>
                <w:sz w:val="16"/>
                <w:szCs w:val="16"/>
              </w:rPr>
            </w:pPr>
            <w:r>
              <w:rPr>
                <w:rFonts w:ascii="Arial" w:hAnsi="Arial" w:cs="Arial"/>
                <w:b/>
                <w:bCs/>
                <w:sz w:val="16"/>
                <w:szCs w:val="16"/>
              </w:rPr>
              <w:t>9.617</w:t>
            </w:r>
          </w:p>
        </w:tc>
        <w:tc>
          <w:tcPr>
            <w:tcW w:w="417" w:type="pct"/>
            <w:gridSpan w:val="2"/>
            <w:tcBorders>
              <w:top w:val="nil"/>
              <w:left w:val="nil"/>
              <w:bottom w:val="single" w:sz="4" w:space="0" w:color="auto"/>
              <w:right w:val="single" w:sz="4" w:space="0" w:color="auto"/>
            </w:tcBorders>
            <w:vAlign w:val="center"/>
            <w:hideMark/>
          </w:tcPr>
          <w:p w14:paraId="6BA3118C" w14:textId="77777777" w:rsidR="00033594" w:rsidRDefault="00033594">
            <w:pPr>
              <w:jc w:val="right"/>
              <w:rPr>
                <w:rFonts w:ascii="Arial" w:hAnsi="Arial" w:cs="Arial"/>
                <w:b/>
                <w:bCs/>
                <w:color w:val="000000"/>
                <w:sz w:val="16"/>
                <w:szCs w:val="16"/>
              </w:rPr>
            </w:pPr>
            <w:r>
              <w:rPr>
                <w:rFonts w:ascii="Arial" w:hAnsi="Arial" w:cs="Arial"/>
                <w:b/>
                <w:bCs/>
                <w:sz w:val="16"/>
                <w:szCs w:val="16"/>
              </w:rPr>
              <w:t>9.617</w:t>
            </w:r>
          </w:p>
        </w:tc>
        <w:tc>
          <w:tcPr>
            <w:tcW w:w="410" w:type="pct"/>
            <w:gridSpan w:val="2"/>
            <w:tcBorders>
              <w:top w:val="nil"/>
              <w:left w:val="nil"/>
              <w:bottom w:val="single" w:sz="4" w:space="0" w:color="auto"/>
              <w:right w:val="single" w:sz="4" w:space="0" w:color="auto"/>
            </w:tcBorders>
            <w:vAlign w:val="center"/>
            <w:hideMark/>
          </w:tcPr>
          <w:p w14:paraId="69E51E2B"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20" w:type="pct"/>
            <w:gridSpan w:val="2"/>
            <w:tcBorders>
              <w:top w:val="nil"/>
              <w:left w:val="nil"/>
              <w:bottom w:val="single" w:sz="4" w:space="0" w:color="auto"/>
              <w:right w:val="single" w:sz="4" w:space="0" w:color="auto"/>
            </w:tcBorders>
            <w:vAlign w:val="center"/>
            <w:hideMark/>
          </w:tcPr>
          <w:p w14:paraId="15C350A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4" w:type="pct"/>
            <w:gridSpan w:val="2"/>
            <w:tcBorders>
              <w:top w:val="nil"/>
              <w:left w:val="nil"/>
              <w:bottom w:val="single" w:sz="4" w:space="0" w:color="auto"/>
              <w:right w:val="single" w:sz="4" w:space="0" w:color="auto"/>
            </w:tcBorders>
            <w:vAlign w:val="center"/>
            <w:hideMark/>
          </w:tcPr>
          <w:p w14:paraId="00F917BE" w14:textId="77777777" w:rsidR="00033594" w:rsidRDefault="00033594">
            <w:pPr>
              <w:jc w:val="right"/>
              <w:rPr>
                <w:rFonts w:ascii="Arial" w:hAnsi="Arial" w:cs="Arial"/>
                <w:b/>
                <w:bCs/>
                <w:color w:val="000000"/>
                <w:sz w:val="16"/>
                <w:szCs w:val="16"/>
              </w:rPr>
            </w:pPr>
            <w:r>
              <w:rPr>
                <w:rFonts w:ascii="Arial" w:hAnsi="Arial" w:cs="Arial"/>
                <w:b/>
                <w:bCs/>
                <w:sz w:val="16"/>
                <w:szCs w:val="16"/>
              </w:rPr>
              <w:t>1.175</w:t>
            </w:r>
          </w:p>
        </w:tc>
        <w:tc>
          <w:tcPr>
            <w:tcW w:w="394" w:type="pct"/>
            <w:gridSpan w:val="2"/>
            <w:tcBorders>
              <w:top w:val="nil"/>
              <w:left w:val="nil"/>
              <w:bottom w:val="single" w:sz="4" w:space="0" w:color="auto"/>
              <w:right w:val="single" w:sz="4" w:space="0" w:color="auto"/>
            </w:tcBorders>
            <w:vAlign w:val="center"/>
            <w:hideMark/>
          </w:tcPr>
          <w:p w14:paraId="6F109309" w14:textId="77777777" w:rsidR="00033594" w:rsidRDefault="00033594">
            <w:pPr>
              <w:jc w:val="right"/>
              <w:rPr>
                <w:rFonts w:ascii="Arial" w:hAnsi="Arial" w:cs="Arial"/>
                <w:b/>
                <w:bCs/>
                <w:color w:val="000000"/>
                <w:sz w:val="16"/>
                <w:szCs w:val="16"/>
              </w:rPr>
            </w:pPr>
            <w:r>
              <w:rPr>
                <w:rFonts w:ascii="Arial" w:hAnsi="Arial" w:cs="Arial"/>
                <w:b/>
                <w:bCs/>
                <w:sz w:val="16"/>
                <w:szCs w:val="16"/>
              </w:rPr>
              <w:t>3.366</w:t>
            </w:r>
          </w:p>
        </w:tc>
        <w:tc>
          <w:tcPr>
            <w:tcW w:w="389" w:type="pct"/>
            <w:tcBorders>
              <w:top w:val="nil"/>
              <w:left w:val="nil"/>
              <w:bottom w:val="single" w:sz="4" w:space="0" w:color="auto"/>
              <w:right w:val="single" w:sz="4" w:space="0" w:color="auto"/>
            </w:tcBorders>
            <w:vAlign w:val="center"/>
            <w:hideMark/>
          </w:tcPr>
          <w:p w14:paraId="69E5B74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vAlign w:val="center"/>
            <w:hideMark/>
          </w:tcPr>
          <w:p w14:paraId="2CB42F14"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E84C6B" w14:paraId="2C147178"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7674B02F" w14:textId="77777777" w:rsidR="00033594" w:rsidRDefault="00033594">
            <w:pPr>
              <w:rPr>
                <w:rFonts w:ascii="Arial" w:hAnsi="Arial" w:cs="Arial"/>
                <w:color w:val="000000"/>
                <w:sz w:val="16"/>
                <w:szCs w:val="16"/>
              </w:rPr>
            </w:pPr>
            <w:r>
              <w:rPr>
                <w:rFonts w:ascii="Arial" w:hAnsi="Arial" w:cs="Arial"/>
                <w:sz w:val="16"/>
                <w:szCs w:val="16"/>
              </w:rPr>
              <w:t>Derechos Económicos Contratos E&amp;P Canon</w:t>
            </w:r>
          </w:p>
        </w:tc>
        <w:tc>
          <w:tcPr>
            <w:tcW w:w="418" w:type="pct"/>
            <w:gridSpan w:val="2"/>
            <w:tcBorders>
              <w:top w:val="nil"/>
              <w:left w:val="nil"/>
              <w:bottom w:val="single" w:sz="4" w:space="0" w:color="auto"/>
              <w:right w:val="single" w:sz="4" w:space="0" w:color="auto"/>
            </w:tcBorders>
            <w:noWrap/>
            <w:vAlign w:val="center"/>
            <w:hideMark/>
          </w:tcPr>
          <w:p w14:paraId="7597E552" w14:textId="77777777" w:rsidR="00033594" w:rsidRDefault="00033594">
            <w:pPr>
              <w:jc w:val="right"/>
              <w:rPr>
                <w:rFonts w:ascii="Arial" w:hAnsi="Arial" w:cs="Arial"/>
                <w:color w:val="000000"/>
                <w:sz w:val="16"/>
                <w:szCs w:val="16"/>
              </w:rPr>
            </w:pPr>
            <w:r>
              <w:rPr>
                <w:rFonts w:ascii="Arial" w:hAnsi="Arial" w:cs="Arial"/>
                <w:sz w:val="16"/>
                <w:szCs w:val="16"/>
              </w:rPr>
              <w:t>9.617</w:t>
            </w:r>
          </w:p>
        </w:tc>
        <w:tc>
          <w:tcPr>
            <w:tcW w:w="417" w:type="pct"/>
            <w:gridSpan w:val="2"/>
            <w:tcBorders>
              <w:top w:val="nil"/>
              <w:left w:val="nil"/>
              <w:bottom w:val="single" w:sz="4" w:space="0" w:color="auto"/>
              <w:right w:val="single" w:sz="4" w:space="0" w:color="auto"/>
            </w:tcBorders>
            <w:noWrap/>
            <w:vAlign w:val="center"/>
            <w:hideMark/>
          </w:tcPr>
          <w:p w14:paraId="5F456A5B" w14:textId="77777777" w:rsidR="00033594" w:rsidRDefault="00033594">
            <w:pPr>
              <w:jc w:val="right"/>
              <w:rPr>
                <w:rFonts w:ascii="Arial" w:hAnsi="Arial" w:cs="Arial"/>
                <w:color w:val="000000"/>
                <w:sz w:val="16"/>
                <w:szCs w:val="16"/>
              </w:rPr>
            </w:pPr>
            <w:r>
              <w:rPr>
                <w:rFonts w:ascii="Arial" w:hAnsi="Arial" w:cs="Arial"/>
                <w:sz w:val="16"/>
                <w:szCs w:val="16"/>
              </w:rPr>
              <w:t>9.617</w:t>
            </w:r>
          </w:p>
        </w:tc>
        <w:tc>
          <w:tcPr>
            <w:tcW w:w="410" w:type="pct"/>
            <w:gridSpan w:val="2"/>
            <w:tcBorders>
              <w:top w:val="nil"/>
              <w:left w:val="nil"/>
              <w:bottom w:val="single" w:sz="4" w:space="0" w:color="auto"/>
              <w:right w:val="single" w:sz="4" w:space="0" w:color="auto"/>
            </w:tcBorders>
            <w:noWrap/>
            <w:vAlign w:val="center"/>
            <w:hideMark/>
          </w:tcPr>
          <w:p w14:paraId="050E10B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07A4B073"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5411EF70" w14:textId="77777777" w:rsidR="00033594" w:rsidRDefault="00033594">
            <w:pPr>
              <w:jc w:val="right"/>
              <w:rPr>
                <w:rFonts w:ascii="Arial" w:hAnsi="Arial" w:cs="Arial"/>
                <w:color w:val="000000"/>
                <w:sz w:val="16"/>
                <w:szCs w:val="16"/>
              </w:rPr>
            </w:pPr>
            <w:r>
              <w:rPr>
                <w:rFonts w:ascii="Arial" w:hAnsi="Arial" w:cs="Arial"/>
                <w:sz w:val="16"/>
                <w:szCs w:val="16"/>
              </w:rPr>
              <w:t>213</w:t>
            </w:r>
          </w:p>
        </w:tc>
        <w:tc>
          <w:tcPr>
            <w:tcW w:w="394" w:type="pct"/>
            <w:gridSpan w:val="2"/>
            <w:tcBorders>
              <w:top w:val="nil"/>
              <w:left w:val="nil"/>
              <w:bottom w:val="single" w:sz="4" w:space="0" w:color="auto"/>
              <w:right w:val="single" w:sz="4" w:space="0" w:color="auto"/>
            </w:tcBorders>
            <w:noWrap/>
            <w:vAlign w:val="center"/>
            <w:hideMark/>
          </w:tcPr>
          <w:p w14:paraId="4F1B765A" w14:textId="77777777" w:rsidR="00033594" w:rsidRDefault="00033594">
            <w:pPr>
              <w:jc w:val="right"/>
              <w:rPr>
                <w:rFonts w:ascii="Arial" w:hAnsi="Arial" w:cs="Arial"/>
                <w:color w:val="000000"/>
                <w:sz w:val="16"/>
                <w:szCs w:val="16"/>
              </w:rPr>
            </w:pPr>
            <w:r>
              <w:rPr>
                <w:rFonts w:ascii="Arial" w:hAnsi="Arial" w:cs="Arial"/>
                <w:sz w:val="16"/>
                <w:szCs w:val="16"/>
              </w:rPr>
              <w:t>1.007</w:t>
            </w:r>
          </w:p>
        </w:tc>
        <w:tc>
          <w:tcPr>
            <w:tcW w:w="389" w:type="pct"/>
            <w:tcBorders>
              <w:top w:val="nil"/>
              <w:left w:val="nil"/>
              <w:bottom w:val="single" w:sz="4" w:space="0" w:color="auto"/>
              <w:right w:val="single" w:sz="4" w:space="0" w:color="auto"/>
            </w:tcBorders>
            <w:noWrap/>
            <w:vAlign w:val="center"/>
            <w:hideMark/>
          </w:tcPr>
          <w:p w14:paraId="6B982C4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47E80BAB"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3BDBA51F"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2751D3F9" w14:textId="77777777" w:rsidR="00033594" w:rsidRDefault="00033594">
            <w:pPr>
              <w:rPr>
                <w:rFonts w:ascii="Arial" w:hAnsi="Arial" w:cs="Arial"/>
                <w:color w:val="000000"/>
                <w:sz w:val="16"/>
                <w:szCs w:val="16"/>
              </w:rPr>
            </w:pPr>
            <w:r>
              <w:rPr>
                <w:rFonts w:ascii="Arial" w:hAnsi="Arial" w:cs="Arial"/>
                <w:sz w:val="16"/>
                <w:szCs w:val="16"/>
              </w:rPr>
              <w:t>Derechos Económicos Contratos TEA</w:t>
            </w:r>
          </w:p>
        </w:tc>
        <w:tc>
          <w:tcPr>
            <w:tcW w:w="418" w:type="pct"/>
            <w:gridSpan w:val="2"/>
            <w:tcBorders>
              <w:top w:val="nil"/>
              <w:left w:val="nil"/>
              <w:bottom w:val="single" w:sz="4" w:space="0" w:color="auto"/>
              <w:right w:val="single" w:sz="4" w:space="0" w:color="auto"/>
            </w:tcBorders>
            <w:noWrap/>
            <w:vAlign w:val="center"/>
            <w:hideMark/>
          </w:tcPr>
          <w:p w14:paraId="093DC6F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17" w:type="pct"/>
            <w:gridSpan w:val="2"/>
            <w:tcBorders>
              <w:top w:val="nil"/>
              <w:left w:val="nil"/>
              <w:bottom w:val="single" w:sz="4" w:space="0" w:color="auto"/>
              <w:right w:val="single" w:sz="4" w:space="0" w:color="auto"/>
            </w:tcBorders>
            <w:noWrap/>
            <w:vAlign w:val="center"/>
            <w:hideMark/>
          </w:tcPr>
          <w:p w14:paraId="22067421"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10" w:type="pct"/>
            <w:gridSpan w:val="2"/>
            <w:tcBorders>
              <w:top w:val="nil"/>
              <w:left w:val="nil"/>
              <w:bottom w:val="single" w:sz="4" w:space="0" w:color="auto"/>
              <w:right w:val="single" w:sz="4" w:space="0" w:color="auto"/>
            </w:tcBorders>
            <w:noWrap/>
            <w:vAlign w:val="center"/>
            <w:hideMark/>
          </w:tcPr>
          <w:p w14:paraId="6CA1E8A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1A66761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67CDA8D2" w14:textId="77777777" w:rsidR="00033594" w:rsidRDefault="00033594">
            <w:pPr>
              <w:jc w:val="right"/>
              <w:rPr>
                <w:rFonts w:ascii="Arial" w:hAnsi="Arial" w:cs="Arial"/>
                <w:color w:val="000000"/>
                <w:sz w:val="16"/>
                <w:szCs w:val="16"/>
              </w:rPr>
            </w:pPr>
            <w:r>
              <w:rPr>
                <w:rFonts w:ascii="Arial" w:hAnsi="Arial" w:cs="Arial"/>
                <w:sz w:val="16"/>
                <w:szCs w:val="16"/>
              </w:rPr>
              <w:t>962</w:t>
            </w:r>
          </w:p>
        </w:tc>
        <w:tc>
          <w:tcPr>
            <w:tcW w:w="394" w:type="pct"/>
            <w:gridSpan w:val="2"/>
            <w:tcBorders>
              <w:top w:val="nil"/>
              <w:left w:val="nil"/>
              <w:bottom w:val="single" w:sz="4" w:space="0" w:color="auto"/>
              <w:right w:val="single" w:sz="4" w:space="0" w:color="auto"/>
            </w:tcBorders>
            <w:noWrap/>
            <w:vAlign w:val="center"/>
            <w:hideMark/>
          </w:tcPr>
          <w:p w14:paraId="57D27746" w14:textId="77777777" w:rsidR="00033594" w:rsidRDefault="00033594">
            <w:pPr>
              <w:jc w:val="right"/>
              <w:rPr>
                <w:rFonts w:ascii="Arial" w:hAnsi="Arial" w:cs="Arial"/>
                <w:color w:val="000000"/>
                <w:sz w:val="16"/>
                <w:szCs w:val="16"/>
              </w:rPr>
            </w:pPr>
            <w:r>
              <w:rPr>
                <w:rFonts w:ascii="Arial" w:hAnsi="Arial" w:cs="Arial"/>
                <w:sz w:val="16"/>
                <w:szCs w:val="16"/>
              </w:rPr>
              <w:t>2.359</w:t>
            </w:r>
          </w:p>
        </w:tc>
        <w:tc>
          <w:tcPr>
            <w:tcW w:w="389" w:type="pct"/>
            <w:tcBorders>
              <w:top w:val="nil"/>
              <w:left w:val="nil"/>
              <w:bottom w:val="single" w:sz="4" w:space="0" w:color="auto"/>
              <w:right w:val="single" w:sz="4" w:space="0" w:color="auto"/>
            </w:tcBorders>
            <w:noWrap/>
            <w:vAlign w:val="center"/>
            <w:hideMark/>
          </w:tcPr>
          <w:p w14:paraId="4036A35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0B259541"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340807C1"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745A6D2D" w14:textId="77777777" w:rsidR="00033594" w:rsidRDefault="00033594">
            <w:pPr>
              <w:rPr>
                <w:rFonts w:ascii="Arial" w:hAnsi="Arial" w:cs="Arial"/>
                <w:b/>
                <w:bCs/>
                <w:color w:val="000000"/>
                <w:sz w:val="16"/>
                <w:szCs w:val="16"/>
              </w:rPr>
            </w:pPr>
            <w:r>
              <w:rPr>
                <w:rFonts w:ascii="Arial" w:hAnsi="Arial" w:cs="Arial"/>
                <w:b/>
                <w:bCs/>
                <w:sz w:val="16"/>
                <w:szCs w:val="16"/>
              </w:rPr>
              <w:t>USO DEL SUBSUELO EN EXPLOTACIÓN</w:t>
            </w:r>
          </w:p>
        </w:tc>
        <w:tc>
          <w:tcPr>
            <w:tcW w:w="418" w:type="pct"/>
            <w:gridSpan w:val="2"/>
            <w:tcBorders>
              <w:top w:val="nil"/>
              <w:left w:val="nil"/>
              <w:bottom w:val="single" w:sz="4" w:space="0" w:color="auto"/>
              <w:right w:val="single" w:sz="4" w:space="0" w:color="auto"/>
            </w:tcBorders>
            <w:noWrap/>
            <w:vAlign w:val="center"/>
            <w:hideMark/>
          </w:tcPr>
          <w:p w14:paraId="4C1B4C29" w14:textId="77777777" w:rsidR="00033594" w:rsidRDefault="00033594">
            <w:pPr>
              <w:jc w:val="right"/>
              <w:rPr>
                <w:rFonts w:ascii="Arial" w:hAnsi="Arial" w:cs="Arial"/>
                <w:b/>
                <w:bCs/>
                <w:color w:val="000000"/>
                <w:sz w:val="16"/>
                <w:szCs w:val="16"/>
              </w:rPr>
            </w:pPr>
            <w:r>
              <w:rPr>
                <w:rFonts w:ascii="Arial" w:hAnsi="Arial" w:cs="Arial"/>
                <w:b/>
                <w:bCs/>
                <w:sz w:val="16"/>
                <w:szCs w:val="16"/>
              </w:rPr>
              <w:t>17.880</w:t>
            </w:r>
          </w:p>
        </w:tc>
        <w:tc>
          <w:tcPr>
            <w:tcW w:w="417" w:type="pct"/>
            <w:gridSpan w:val="2"/>
            <w:tcBorders>
              <w:top w:val="nil"/>
              <w:left w:val="nil"/>
              <w:bottom w:val="single" w:sz="4" w:space="0" w:color="auto"/>
              <w:right w:val="single" w:sz="4" w:space="0" w:color="auto"/>
            </w:tcBorders>
            <w:noWrap/>
            <w:vAlign w:val="center"/>
            <w:hideMark/>
          </w:tcPr>
          <w:p w14:paraId="4E45A1A0" w14:textId="77777777" w:rsidR="00033594" w:rsidRDefault="00033594">
            <w:pPr>
              <w:jc w:val="right"/>
              <w:rPr>
                <w:rFonts w:ascii="Arial" w:hAnsi="Arial" w:cs="Arial"/>
                <w:b/>
                <w:bCs/>
                <w:color w:val="000000"/>
                <w:sz w:val="16"/>
                <w:szCs w:val="16"/>
              </w:rPr>
            </w:pPr>
            <w:r>
              <w:rPr>
                <w:rFonts w:ascii="Arial" w:hAnsi="Arial" w:cs="Arial"/>
                <w:b/>
                <w:bCs/>
                <w:sz w:val="16"/>
                <w:szCs w:val="16"/>
              </w:rPr>
              <w:t>17.880</w:t>
            </w:r>
          </w:p>
        </w:tc>
        <w:tc>
          <w:tcPr>
            <w:tcW w:w="410" w:type="pct"/>
            <w:gridSpan w:val="2"/>
            <w:tcBorders>
              <w:top w:val="nil"/>
              <w:left w:val="nil"/>
              <w:bottom w:val="single" w:sz="4" w:space="0" w:color="auto"/>
              <w:right w:val="single" w:sz="4" w:space="0" w:color="auto"/>
            </w:tcBorders>
            <w:noWrap/>
            <w:vAlign w:val="center"/>
            <w:hideMark/>
          </w:tcPr>
          <w:p w14:paraId="6056641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6D49E46C"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46CCF3ED" w14:textId="77777777" w:rsidR="00033594" w:rsidRDefault="00033594">
            <w:pPr>
              <w:jc w:val="right"/>
              <w:rPr>
                <w:rFonts w:ascii="Arial" w:hAnsi="Arial" w:cs="Arial"/>
                <w:b/>
                <w:bCs/>
                <w:color w:val="000000"/>
                <w:sz w:val="16"/>
                <w:szCs w:val="16"/>
              </w:rPr>
            </w:pPr>
            <w:r>
              <w:rPr>
                <w:rFonts w:ascii="Arial" w:hAnsi="Arial" w:cs="Arial"/>
                <w:b/>
                <w:bCs/>
                <w:sz w:val="16"/>
                <w:szCs w:val="16"/>
              </w:rPr>
              <w:t>185</w:t>
            </w:r>
          </w:p>
        </w:tc>
        <w:tc>
          <w:tcPr>
            <w:tcW w:w="394" w:type="pct"/>
            <w:gridSpan w:val="2"/>
            <w:tcBorders>
              <w:top w:val="nil"/>
              <w:left w:val="nil"/>
              <w:bottom w:val="single" w:sz="4" w:space="0" w:color="auto"/>
              <w:right w:val="single" w:sz="4" w:space="0" w:color="auto"/>
            </w:tcBorders>
            <w:noWrap/>
            <w:vAlign w:val="center"/>
            <w:hideMark/>
          </w:tcPr>
          <w:p w14:paraId="3FB6AC21" w14:textId="77777777" w:rsidR="00033594" w:rsidRDefault="00033594">
            <w:pPr>
              <w:jc w:val="right"/>
              <w:rPr>
                <w:rFonts w:ascii="Arial" w:hAnsi="Arial" w:cs="Arial"/>
                <w:b/>
                <w:bCs/>
                <w:color w:val="000000"/>
                <w:sz w:val="16"/>
                <w:szCs w:val="16"/>
              </w:rPr>
            </w:pPr>
            <w:r>
              <w:rPr>
                <w:rFonts w:ascii="Arial" w:hAnsi="Arial" w:cs="Arial"/>
                <w:b/>
                <w:bCs/>
                <w:sz w:val="16"/>
                <w:szCs w:val="16"/>
              </w:rPr>
              <w:t>12.056</w:t>
            </w:r>
          </w:p>
        </w:tc>
        <w:tc>
          <w:tcPr>
            <w:tcW w:w="389" w:type="pct"/>
            <w:tcBorders>
              <w:top w:val="nil"/>
              <w:left w:val="nil"/>
              <w:bottom w:val="single" w:sz="4" w:space="0" w:color="auto"/>
              <w:right w:val="single" w:sz="4" w:space="0" w:color="auto"/>
            </w:tcBorders>
            <w:noWrap/>
            <w:vAlign w:val="center"/>
            <w:hideMark/>
          </w:tcPr>
          <w:p w14:paraId="5DF6507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noWrap/>
            <w:vAlign w:val="center"/>
            <w:hideMark/>
          </w:tcPr>
          <w:p w14:paraId="4D78F2D1"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E84C6B" w14:paraId="4D1C1772"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331E4A0F" w14:textId="77777777" w:rsidR="00033594" w:rsidRDefault="00033594">
            <w:pPr>
              <w:rPr>
                <w:rFonts w:ascii="Arial" w:hAnsi="Arial" w:cs="Arial"/>
                <w:color w:val="000000"/>
                <w:sz w:val="16"/>
                <w:szCs w:val="16"/>
              </w:rPr>
            </w:pPr>
            <w:r>
              <w:rPr>
                <w:rFonts w:ascii="Arial" w:hAnsi="Arial" w:cs="Arial"/>
                <w:sz w:val="16"/>
                <w:szCs w:val="16"/>
              </w:rPr>
              <w:t>Derechos Económicos E&amp;P Producción</w:t>
            </w:r>
          </w:p>
        </w:tc>
        <w:tc>
          <w:tcPr>
            <w:tcW w:w="418" w:type="pct"/>
            <w:gridSpan w:val="2"/>
            <w:tcBorders>
              <w:top w:val="nil"/>
              <w:left w:val="nil"/>
              <w:bottom w:val="single" w:sz="4" w:space="0" w:color="auto"/>
              <w:right w:val="single" w:sz="4" w:space="0" w:color="auto"/>
            </w:tcBorders>
            <w:noWrap/>
            <w:vAlign w:val="center"/>
            <w:hideMark/>
          </w:tcPr>
          <w:p w14:paraId="2C0BFE36" w14:textId="77777777" w:rsidR="00033594" w:rsidRDefault="00033594">
            <w:pPr>
              <w:jc w:val="right"/>
              <w:rPr>
                <w:rFonts w:ascii="Arial" w:hAnsi="Arial" w:cs="Arial"/>
                <w:color w:val="000000"/>
                <w:sz w:val="16"/>
                <w:szCs w:val="16"/>
              </w:rPr>
            </w:pPr>
            <w:r>
              <w:rPr>
                <w:rFonts w:ascii="Arial" w:hAnsi="Arial" w:cs="Arial"/>
                <w:sz w:val="16"/>
                <w:szCs w:val="16"/>
              </w:rPr>
              <w:t>17.880</w:t>
            </w:r>
          </w:p>
        </w:tc>
        <w:tc>
          <w:tcPr>
            <w:tcW w:w="417" w:type="pct"/>
            <w:gridSpan w:val="2"/>
            <w:tcBorders>
              <w:top w:val="nil"/>
              <w:left w:val="nil"/>
              <w:bottom w:val="single" w:sz="4" w:space="0" w:color="auto"/>
              <w:right w:val="single" w:sz="4" w:space="0" w:color="auto"/>
            </w:tcBorders>
            <w:noWrap/>
            <w:vAlign w:val="center"/>
            <w:hideMark/>
          </w:tcPr>
          <w:p w14:paraId="63243282" w14:textId="77777777" w:rsidR="00033594" w:rsidRDefault="00033594">
            <w:pPr>
              <w:jc w:val="right"/>
              <w:rPr>
                <w:rFonts w:ascii="Arial" w:hAnsi="Arial" w:cs="Arial"/>
                <w:color w:val="000000"/>
                <w:sz w:val="16"/>
                <w:szCs w:val="16"/>
              </w:rPr>
            </w:pPr>
            <w:r>
              <w:rPr>
                <w:rFonts w:ascii="Arial" w:hAnsi="Arial" w:cs="Arial"/>
                <w:sz w:val="16"/>
                <w:szCs w:val="16"/>
              </w:rPr>
              <w:t>17.880</w:t>
            </w:r>
          </w:p>
        </w:tc>
        <w:tc>
          <w:tcPr>
            <w:tcW w:w="410" w:type="pct"/>
            <w:gridSpan w:val="2"/>
            <w:tcBorders>
              <w:top w:val="nil"/>
              <w:left w:val="nil"/>
              <w:bottom w:val="single" w:sz="4" w:space="0" w:color="auto"/>
              <w:right w:val="single" w:sz="4" w:space="0" w:color="auto"/>
            </w:tcBorders>
            <w:noWrap/>
            <w:vAlign w:val="center"/>
            <w:hideMark/>
          </w:tcPr>
          <w:p w14:paraId="7EB29DB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25592BF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68F80B93" w14:textId="77777777" w:rsidR="00033594" w:rsidRDefault="00033594">
            <w:pPr>
              <w:jc w:val="right"/>
              <w:rPr>
                <w:rFonts w:ascii="Arial" w:hAnsi="Arial" w:cs="Arial"/>
                <w:color w:val="000000"/>
                <w:sz w:val="16"/>
                <w:szCs w:val="16"/>
              </w:rPr>
            </w:pPr>
            <w:r>
              <w:rPr>
                <w:rFonts w:ascii="Arial" w:hAnsi="Arial" w:cs="Arial"/>
                <w:sz w:val="16"/>
                <w:szCs w:val="16"/>
              </w:rPr>
              <w:t>185</w:t>
            </w:r>
          </w:p>
        </w:tc>
        <w:tc>
          <w:tcPr>
            <w:tcW w:w="394" w:type="pct"/>
            <w:gridSpan w:val="2"/>
            <w:tcBorders>
              <w:top w:val="nil"/>
              <w:left w:val="nil"/>
              <w:bottom w:val="single" w:sz="4" w:space="0" w:color="auto"/>
              <w:right w:val="single" w:sz="4" w:space="0" w:color="auto"/>
            </w:tcBorders>
            <w:noWrap/>
            <w:vAlign w:val="center"/>
            <w:hideMark/>
          </w:tcPr>
          <w:p w14:paraId="0EE101BD" w14:textId="77777777" w:rsidR="00033594" w:rsidRDefault="00033594">
            <w:pPr>
              <w:jc w:val="right"/>
              <w:rPr>
                <w:rFonts w:ascii="Arial" w:hAnsi="Arial" w:cs="Arial"/>
                <w:color w:val="000000"/>
                <w:sz w:val="16"/>
                <w:szCs w:val="16"/>
              </w:rPr>
            </w:pPr>
            <w:r>
              <w:rPr>
                <w:rFonts w:ascii="Arial" w:hAnsi="Arial" w:cs="Arial"/>
                <w:sz w:val="16"/>
                <w:szCs w:val="16"/>
              </w:rPr>
              <w:t>12.056</w:t>
            </w:r>
          </w:p>
        </w:tc>
        <w:tc>
          <w:tcPr>
            <w:tcW w:w="389" w:type="pct"/>
            <w:tcBorders>
              <w:top w:val="nil"/>
              <w:left w:val="nil"/>
              <w:bottom w:val="single" w:sz="4" w:space="0" w:color="auto"/>
              <w:right w:val="single" w:sz="4" w:space="0" w:color="auto"/>
            </w:tcBorders>
            <w:noWrap/>
            <w:vAlign w:val="center"/>
            <w:hideMark/>
          </w:tcPr>
          <w:p w14:paraId="690C626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1B2748AF"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5646645D"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49BC6141" w14:textId="77777777" w:rsidR="00033594" w:rsidRDefault="00033594">
            <w:pPr>
              <w:rPr>
                <w:rFonts w:ascii="Arial" w:hAnsi="Arial" w:cs="Arial"/>
                <w:b/>
                <w:bCs/>
                <w:color w:val="000000"/>
                <w:sz w:val="16"/>
                <w:szCs w:val="16"/>
              </w:rPr>
            </w:pPr>
            <w:r>
              <w:rPr>
                <w:rFonts w:ascii="Arial" w:hAnsi="Arial" w:cs="Arial"/>
                <w:b/>
                <w:bCs/>
                <w:sz w:val="16"/>
                <w:szCs w:val="16"/>
              </w:rPr>
              <w:t>OTROS DERECHOS ECONOMICOS</w:t>
            </w:r>
          </w:p>
        </w:tc>
        <w:tc>
          <w:tcPr>
            <w:tcW w:w="418" w:type="pct"/>
            <w:gridSpan w:val="2"/>
            <w:tcBorders>
              <w:top w:val="nil"/>
              <w:left w:val="nil"/>
              <w:bottom w:val="single" w:sz="4" w:space="0" w:color="auto"/>
              <w:right w:val="single" w:sz="4" w:space="0" w:color="auto"/>
            </w:tcBorders>
            <w:noWrap/>
            <w:vAlign w:val="center"/>
            <w:hideMark/>
          </w:tcPr>
          <w:p w14:paraId="5AEBE995" w14:textId="77777777" w:rsidR="00033594" w:rsidRDefault="00033594">
            <w:pPr>
              <w:jc w:val="right"/>
              <w:rPr>
                <w:rFonts w:ascii="Arial" w:hAnsi="Arial" w:cs="Arial"/>
                <w:b/>
                <w:bCs/>
                <w:color w:val="000000"/>
                <w:sz w:val="16"/>
                <w:szCs w:val="16"/>
              </w:rPr>
            </w:pPr>
            <w:r>
              <w:rPr>
                <w:rFonts w:ascii="Arial" w:hAnsi="Arial" w:cs="Arial"/>
                <w:b/>
                <w:bCs/>
                <w:sz w:val="16"/>
                <w:szCs w:val="16"/>
              </w:rPr>
              <w:t>159.565</w:t>
            </w:r>
          </w:p>
        </w:tc>
        <w:tc>
          <w:tcPr>
            <w:tcW w:w="417" w:type="pct"/>
            <w:gridSpan w:val="2"/>
            <w:tcBorders>
              <w:top w:val="nil"/>
              <w:left w:val="nil"/>
              <w:bottom w:val="single" w:sz="4" w:space="0" w:color="auto"/>
              <w:right w:val="single" w:sz="4" w:space="0" w:color="auto"/>
            </w:tcBorders>
            <w:noWrap/>
            <w:vAlign w:val="center"/>
            <w:hideMark/>
          </w:tcPr>
          <w:p w14:paraId="276CD358" w14:textId="77777777" w:rsidR="00033594" w:rsidRDefault="00033594">
            <w:pPr>
              <w:jc w:val="right"/>
              <w:rPr>
                <w:rFonts w:ascii="Arial" w:hAnsi="Arial" w:cs="Arial"/>
                <w:b/>
                <w:bCs/>
                <w:color w:val="000000"/>
                <w:sz w:val="16"/>
                <w:szCs w:val="16"/>
              </w:rPr>
            </w:pPr>
            <w:r>
              <w:rPr>
                <w:rFonts w:ascii="Arial" w:hAnsi="Arial" w:cs="Arial"/>
                <w:b/>
                <w:bCs/>
                <w:sz w:val="16"/>
                <w:szCs w:val="16"/>
              </w:rPr>
              <w:t>159.565</w:t>
            </w:r>
          </w:p>
        </w:tc>
        <w:tc>
          <w:tcPr>
            <w:tcW w:w="410" w:type="pct"/>
            <w:gridSpan w:val="2"/>
            <w:tcBorders>
              <w:top w:val="nil"/>
              <w:left w:val="nil"/>
              <w:bottom w:val="single" w:sz="4" w:space="0" w:color="auto"/>
              <w:right w:val="single" w:sz="4" w:space="0" w:color="auto"/>
            </w:tcBorders>
            <w:noWrap/>
            <w:vAlign w:val="center"/>
            <w:hideMark/>
          </w:tcPr>
          <w:p w14:paraId="14F4A51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086F5B0D"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3304AB75" w14:textId="77777777" w:rsidR="00033594" w:rsidRDefault="00033594">
            <w:pPr>
              <w:jc w:val="right"/>
              <w:rPr>
                <w:rFonts w:ascii="Arial" w:hAnsi="Arial" w:cs="Arial"/>
                <w:b/>
                <w:bCs/>
                <w:color w:val="000000"/>
                <w:sz w:val="16"/>
                <w:szCs w:val="16"/>
              </w:rPr>
            </w:pPr>
            <w:r>
              <w:rPr>
                <w:rFonts w:ascii="Arial" w:hAnsi="Arial" w:cs="Arial"/>
                <w:b/>
                <w:bCs/>
                <w:sz w:val="16"/>
                <w:szCs w:val="16"/>
              </w:rPr>
              <w:t>191.369</w:t>
            </w:r>
          </w:p>
        </w:tc>
        <w:tc>
          <w:tcPr>
            <w:tcW w:w="394" w:type="pct"/>
            <w:gridSpan w:val="2"/>
            <w:tcBorders>
              <w:top w:val="nil"/>
              <w:left w:val="nil"/>
              <w:bottom w:val="single" w:sz="4" w:space="0" w:color="auto"/>
              <w:right w:val="single" w:sz="4" w:space="0" w:color="auto"/>
            </w:tcBorders>
            <w:noWrap/>
            <w:vAlign w:val="center"/>
            <w:hideMark/>
          </w:tcPr>
          <w:p w14:paraId="55328803" w14:textId="77777777" w:rsidR="00033594" w:rsidRDefault="00033594">
            <w:pPr>
              <w:jc w:val="right"/>
              <w:rPr>
                <w:rFonts w:ascii="Arial" w:hAnsi="Arial" w:cs="Arial"/>
                <w:b/>
                <w:bCs/>
                <w:color w:val="000000"/>
                <w:sz w:val="16"/>
                <w:szCs w:val="16"/>
              </w:rPr>
            </w:pPr>
            <w:r>
              <w:rPr>
                <w:rFonts w:ascii="Arial" w:hAnsi="Arial" w:cs="Arial"/>
                <w:b/>
                <w:bCs/>
                <w:sz w:val="16"/>
                <w:szCs w:val="16"/>
              </w:rPr>
              <w:t>422.325</w:t>
            </w:r>
          </w:p>
        </w:tc>
        <w:tc>
          <w:tcPr>
            <w:tcW w:w="389" w:type="pct"/>
            <w:tcBorders>
              <w:top w:val="nil"/>
              <w:left w:val="nil"/>
              <w:bottom w:val="single" w:sz="4" w:space="0" w:color="auto"/>
              <w:right w:val="single" w:sz="4" w:space="0" w:color="auto"/>
            </w:tcBorders>
            <w:noWrap/>
            <w:vAlign w:val="center"/>
            <w:hideMark/>
          </w:tcPr>
          <w:p w14:paraId="0E98B32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noWrap/>
            <w:vAlign w:val="center"/>
            <w:hideMark/>
          </w:tcPr>
          <w:p w14:paraId="131CE33D"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E84C6B" w14:paraId="1A11187A"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65852F61" w14:textId="77777777" w:rsidR="00033594" w:rsidRDefault="00033594">
            <w:pPr>
              <w:rPr>
                <w:rFonts w:ascii="Arial" w:hAnsi="Arial" w:cs="Arial"/>
                <w:color w:val="000000"/>
                <w:sz w:val="16"/>
                <w:szCs w:val="16"/>
              </w:rPr>
            </w:pPr>
            <w:r>
              <w:rPr>
                <w:rFonts w:ascii="Arial" w:hAnsi="Arial" w:cs="Arial"/>
                <w:sz w:val="16"/>
                <w:szCs w:val="16"/>
              </w:rPr>
              <w:t>Derechos Económicos 3971Campo Tello</w:t>
            </w:r>
          </w:p>
        </w:tc>
        <w:tc>
          <w:tcPr>
            <w:tcW w:w="418" w:type="pct"/>
            <w:gridSpan w:val="2"/>
            <w:tcBorders>
              <w:top w:val="nil"/>
              <w:left w:val="nil"/>
              <w:bottom w:val="single" w:sz="4" w:space="0" w:color="auto"/>
              <w:right w:val="single" w:sz="4" w:space="0" w:color="auto"/>
            </w:tcBorders>
            <w:noWrap/>
            <w:vAlign w:val="center"/>
            <w:hideMark/>
          </w:tcPr>
          <w:p w14:paraId="41779626" w14:textId="77777777" w:rsidR="00033594" w:rsidRDefault="00033594">
            <w:pPr>
              <w:jc w:val="right"/>
              <w:rPr>
                <w:rFonts w:ascii="Arial" w:hAnsi="Arial" w:cs="Arial"/>
                <w:color w:val="000000"/>
                <w:sz w:val="16"/>
                <w:szCs w:val="16"/>
              </w:rPr>
            </w:pPr>
            <w:r>
              <w:rPr>
                <w:rFonts w:ascii="Arial" w:hAnsi="Arial" w:cs="Arial"/>
                <w:sz w:val="16"/>
                <w:szCs w:val="16"/>
              </w:rPr>
              <w:t>28.410</w:t>
            </w:r>
          </w:p>
        </w:tc>
        <w:tc>
          <w:tcPr>
            <w:tcW w:w="417" w:type="pct"/>
            <w:gridSpan w:val="2"/>
            <w:tcBorders>
              <w:top w:val="nil"/>
              <w:left w:val="nil"/>
              <w:bottom w:val="single" w:sz="4" w:space="0" w:color="auto"/>
              <w:right w:val="single" w:sz="4" w:space="0" w:color="auto"/>
            </w:tcBorders>
            <w:noWrap/>
            <w:vAlign w:val="center"/>
            <w:hideMark/>
          </w:tcPr>
          <w:p w14:paraId="23C7F797" w14:textId="77777777" w:rsidR="00033594" w:rsidRDefault="00033594">
            <w:pPr>
              <w:jc w:val="right"/>
              <w:rPr>
                <w:rFonts w:ascii="Arial" w:hAnsi="Arial" w:cs="Arial"/>
                <w:color w:val="000000"/>
                <w:sz w:val="16"/>
                <w:szCs w:val="16"/>
              </w:rPr>
            </w:pPr>
            <w:r>
              <w:rPr>
                <w:rFonts w:ascii="Arial" w:hAnsi="Arial" w:cs="Arial"/>
                <w:sz w:val="16"/>
                <w:szCs w:val="16"/>
              </w:rPr>
              <w:t>28.410</w:t>
            </w:r>
          </w:p>
        </w:tc>
        <w:tc>
          <w:tcPr>
            <w:tcW w:w="410" w:type="pct"/>
            <w:gridSpan w:val="2"/>
            <w:tcBorders>
              <w:top w:val="nil"/>
              <w:left w:val="nil"/>
              <w:bottom w:val="single" w:sz="4" w:space="0" w:color="auto"/>
              <w:right w:val="single" w:sz="4" w:space="0" w:color="auto"/>
            </w:tcBorders>
            <w:noWrap/>
            <w:vAlign w:val="center"/>
            <w:hideMark/>
          </w:tcPr>
          <w:p w14:paraId="49720FC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37D440C7"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64C5D2F4" w14:textId="77777777" w:rsidR="00033594" w:rsidRDefault="00033594">
            <w:pPr>
              <w:jc w:val="right"/>
              <w:rPr>
                <w:rFonts w:ascii="Arial" w:hAnsi="Arial" w:cs="Arial"/>
                <w:color w:val="000000"/>
                <w:sz w:val="16"/>
                <w:szCs w:val="16"/>
              </w:rPr>
            </w:pPr>
            <w:r>
              <w:rPr>
                <w:rFonts w:ascii="Arial" w:hAnsi="Arial" w:cs="Arial"/>
                <w:sz w:val="16"/>
                <w:szCs w:val="16"/>
              </w:rPr>
              <w:t>26.401</w:t>
            </w:r>
          </w:p>
        </w:tc>
        <w:tc>
          <w:tcPr>
            <w:tcW w:w="394" w:type="pct"/>
            <w:gridSpan w:val="2"/>
            <w:tcBorders>
              <w:top w:val="nil"/>
              <w:left w:val="nil"/>
              <w:bottom w:val="single" w:sz="4" w:space="0" w:color="auto"/>
              <w:right w:val="single" w:sz="4" w:space="0" w:color="auto"/>
            </w:tcBorders>
            <w:noWrap/>
            <w:vAlign w:val="center"/>
            <w:hideMark/>
          </w:tcPr>
          <w:p w14:paraId="143AD17B" w14:textId="77777777" w:rsidR="00033594" w:rsidRDefault="00033594">
            <w:pPr>
              <w:jc w:val="right"/>
              <w:rPr>
                <w:rFonts w:ascii="Arial" w:hAnsi="Arial" w:cs="Arial"/>
                <w:color w:val="000000"/>
                <w:sz w:val="16"/>
                <w:szCs w:val="16"/>
              </w:rPr>
            </w:pPr>
            <w:r>
              <w:rPr>
                <w:rFonts w:ascii="Arial" w:hAnsi="Arial" w:cs="Arial"/>
                <w:sz w:val="16"/>
                <w:szCs w:val="16"/>
              </w:rPr>
              <w:t>52.489</w:t>
            </w:r>
          </w:p>
        </w:tc>
        <w:tc>
          <w:tcPr>
            <w:tcW w:w="389" w:type="pct"/>
            <w:tcBorders>
              <w:top w:val="nil"/>
              <w:left w:val="nil"/>
              <w:bottom w:val="single" w:sz="4" w:space="0" w:color="auto"/>
              <w:right w:val="single" w:sz="4" w:space="0" w:color="auto"/>
            </w:tcBorders>
            <w:noWrap/>
            <w:vAlign w:val="center"/>
            <w:hideMark/>
          </w:tcPr>
          <w:p w14:paraId="2F83124F"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52622422"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47882D6F"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1CE4B7EB" w14:textId="77777777" w:rsidR="00033594" w:rsidRDefault="00033594">
            <w:pPr>
              <w:rPr>
                <w:rFonts w:ascii="Arial" w:hAnsi="Arial" w:cs="Arial"/>
                <w:color w:val="000000"/>
                <w:sz w:val="16"/>
                <w:szCs w:val="16"/>
              </w:rPr>
            </w:pPr>
            <w:r>
              <w:rPr>
                <w:rFonts w:ascii="Arial" w:hAnsi="Arial" w:cs="Arial"/>
                <w:sz w:val="16"/>
                <w:szCs w:val="16"/>
              </w:rPr>
              <w:t>Contratos E&amp;P Precios Altos</w:t>
            </w:r>
          </w:p>
        </w:tc>
        <w:tc>
          <w:tcPr>
            <w:tcW w:w="418" w:type="pct"/>
            <w:gridSpan w:val="2"/>
            <w:tcBorders>
              <w:top w:val="nil"/>
              <w:left w:val="nil"/>
              <w:bottom w:val="single" w:sz="4" w:space="0" w:color="auto"/>
              <w:right w:val="single" w:sz="4" w:space="0" w:color="auto"/>
            </w:tcBorders>
            <w:noWrap/>
            <w:vAlign w:val="center"/>
            <w:hideMark/>
          </w:tcPr>
          <w:p w14:paraId="0D7083AC" w14:textId="77777777" w:rsidR="00033594" w:rsidRDefault="00033594">
            <w:pPr>
              <w:jc w:val="right"/>
              <w:rPr>
                <w:rFonts w:ascii="Arial" w:hAnsi="Arial" w:cs="Arial"/>
                <w:color w:val="000000"/>
                <w:sz w:val="16"/>
                <w:szCs w:val="16"/>
              </w:rPr>
            </w:pPr>
            <w:r>
              <w:rPr>
                <w:rFonts w:ascii="Arial" w:hAnsi="Arial" w:cs="Arial"/>
                <w:sz w:val="16"/>
                <w:szCs w:val="16"/>
              </w:rPr>
              <w:t>112.083</w:t>
            </w:r>
          </w:p>
        </w:tc>
        <w:tc>
          <w:tcPr>
            <w:tcW w:w="417" w:type="pct"/>
            <w:gridSpan w:val="2"/>
            <w:tcBorders>
              <w:top w:val="nil"/>
              <w:left w:val="nil"/>
              <w:bottom w:val="single" w:sz="4" w:space="0" w:color="auto"/>
              <w:right w:val="single" w:sz="4" w:space="0" w:color="auto"/>
            </w:tcBorders>
            <w:noWrap/>
            <w:vAlign w:val="center"/>
            <w:hideMark/>
          </w:tcPr>
          <w:p w14:paraId="30781409" w14:textId="77777777" w:rsidR="00033594" w:rsidRDefault="00033594">
            <w:pPr>
              <w:jc w:val="right"/>
              <w:rPr>
                <w:rFonts w:ascii="Arial" w:hAnsi="Arial" w:cs="Arial"/>
                <w:color w:val="000000"/>
                <w:sz w:val="16"/>
                <w:szCs w:val="16"/>
              </w:rPr>
            </w:pPr>
            <w:r>
              <w:rPr>
                <w:rFonts w:ascii="Arial" w:hAnsi="Arial" w:cs="Arial"/>
                <w:sz w:val="16"/>
                <w:szCs w:val="16"/>
              </w:rPr>
              <w:t>112.083</w:t>
            </w:r>
          </w:p>
        </w:tc>
        <w:tc>
          <w:tcPr>
            <w:tcW w:w="410" w:type="pct"/>
            <w:gridSpan w:val="2"/>
            <w:tcBorders>
              <w:top w:val="nil"/>
              <w:left w:val="nil"/>
              <w:bottom w:val="single" w:sz="4" w:space="0" w:color="auto"/>
              <w:right w:val="single" w:sz="4" w:space="0" w:color="auto"/>
            </w:tcBorders>
            <w:noWrap/>
            <w:vAlign w:val="center"/>
            <w:hideMark/>
          </w:tcPr>
          <w:p w14:paraId="09A559BE"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2770718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1FC098B8" w14:textId="77777777" w:rsidR="00033594" w:rsidRDefault="00033594">
            <w:pPr>
              <w:jc w:val="right"/>
              <w:rPr>
                <w:rFonts w:ascii="Arial" w:hAnsi="Arial" w:cs="Arial"/>
                <w:color w:val="000000"/>
                <w:sz w:val="16"/>
                <w:szCs w:val="16"/>
              </w:rPr>
            </w:pPr>
            <w:r>
              <w:rPr>
                <w:rFonts w:ascii="Arial" w:hAnsi="Arial" w:cs="Arial"/>
                <w:sz w:val="16"/>
                <w:szCs w:val="16"/>
              </w:rPr>
              <w:t>124.850</w:t>
            </w:r>
          </w:p>
        </w:tc>
        <w:tc>
          <w:tcPr>
            <w:tcW w:w="394" w:type="pct"/>
            <w:gridSpan w:val="2"/>
            <w:tcBorders>
              <w:top w:val="nil"/>
              <w:left w:val="nil"/>
              <w:bottom w:val="single" w:sz="4" w:space="0" w:color="auto"/>
              <w:right w:val="single" w:sz="4" w:space="0" w:color="auto"/>
            </w:tcBorders>
            <w:noWrap/>
            <w:vAlign w:val="center"/>
            <w:hideMark/>
          </w:tcPr>
          <w:p w14:paraId="3AAF9FAA" w14:textId="77777777" w:rsidR="00033594" w:rsidRDefault="00033594">
            <w:pPr>
              <w:jc w:val="right"/>
              <w:rPr>
                <w:rFonts w:ascii="Arial" w:hAnsi="Arial" w:cs="Arial"/>
                <w:color w:val="000000"/>
                <w:sz w:val="16"/>
                <w:szCs w:val="16"/>
              </w:rPr>
            </w:pPr>
            <w:r>
              <w:rPr>
                <w:rFonts w:ascii="Arial" w:hAnsi="Arial" w:cs="Arial"/>
                <w:sz w:val="16"/>
                <w:szCs w:val="16"/>
              </w:rPr>
              <w:t>276.991</w:t>
            </w:r>
          </w:p>
        </w:tc>
        <w:tc>
          <w:tcPr>
            <w:tcW w:w="389" w:type="pct"/>
            <w:tcBorders>
              <w:top w:val="nil"/>
              <w:left w:val="nil"/>
              <w:bottom w:val="single" w:sz="4" w:space="0" w:color="auto"/>
              <w:right w:val="single" w:sz="4" w:space="0" w:color="auto"/>
            </w:tcBorders>
            <w:noWrap/>
            <w:vAlign w:val="center"/>
            <w:hideMark/>
          </w:tcPr>
          <w:p w14:paraId="7E8D07E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0375569B"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01CEB16B"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4E43CCD8" w14:textId="77777777" w:rsidR="00033594" w:rsidRDefault="00033594">
            <w:pPr>
              <w:rPr>
                <w:rFonts w:ascii="Arial" w:hAnsi="Arial" w:cs="Arial"/>
                <w:color w:val="000000"/>
                <w:sz w:val="16"/>
                <w:szCs w:val="16"/>
              </w:rPr>
            </w:pPr>
            <w:r>
              <w:rPr>
                <w:rFonts w:ascii="Arial" w:hAnsi="Arial" w:cs="Arial"/>
                <w:sz w:val="16"/>
                <w:szCs w:val="16"/>
              </w:rPr>
              <w:t>Transferencias de Tecnología</w:t>
            </w:r>
          </w:p>
        </w:tc>
        <w:tc>
          <w:tcPr>
            <w:tcW w:w="418" w:type="pct"/>
            <w:gridSpan w:val="2"/>
            <w:tcBorders>
              <w:top w:val="nil"/>
              <w:left w:val="nil"/>
              <w:bottom w:val="single" w:sz="4" w:space="0" w:color="auto"/>
              <w:right w:val="single" w:sz="4" w:space="0" w:color="auto"/>
            </w:tcBorders>
            <w:noWrap/>
            <w:vAlign w:val="center"/>
            <w:hideMark/>
          </w:tcPr>
          <w:p w14:paraId="1A166C4A" w14:textId="77777777" w:rsidR="00033594" w:rsidRDefault="00033594">
            <w:pPr>
              <w:jc w:val="right"/>
              <w:rPr>
                <w:rFonts w:ascii="Arial" w:hAnsi="Arial" w:cs="Arial"/>
                <w:color w:val="000000"/>
                <w:sz w:val="16"/>
                <w:szCs w:val="16"/>
              </w:rPr>
            </w:pPr>
            <w:r>
              <w:rPr>
                <w:rFonts w:ascii="Arial" w:hAnsi="Arial" w:cs="Arial"/>
                <w:sz w:val="16"/>
                <w:szCs w:val="16"/>
              </w:rPr>
              <w:t>4.192</w:t>
            </w:r>
          </w:p>
        </w:tc>
        <w:tc>
          <w:tcPr>
            <w:tcW w:w="417" w:type="pct"/>
            <w:gridSpan w:val="2"/>
            <w:tcBorders>
              <w:top w:val="nil"/>
              <w:left w:val="nil"/>
              <w:bottom w:val="single" w:sz="4" w:space="0" w:color="auto"/>
              <w:right w:val="single" w:sz="4" w:space="0" w:color="auto"/>
            </w:tcBorders>
            <w:noWrap/>
            <w:vAlign w:val="center"/>
            <w:hideMark/>
          </w:tcPr>
          <w:p w14:paraId="694502FC" w14:textId="77777777" w:rsidR="00033594" w:rsidRDefault="00033594">
            <w:pPr>
              <w:jc w:val="right"/>
              <w:rPr>
                <w:rFonts w:ascii="Arial" w:hAnsi="Arial" w:cs="Arial"/>
                <w:color w:val="000000"/>
                <w:sz w:val="16"/>
                <w:szCs w:val="16"/>
              </w:rPr>
            </w:pPr>
            <w:r>
              <w:rPr>
                <w:rFonts w:ascii="Arial" w:hAnsi="Arial" w:cs="Arial"/>
                <w:sz w:val="16"/>
                <w:szCs w:val="16"/>
              </w:rPr>
              <w:t>4.192</w:t>
            </w:r>
          </w:p>
        </w:tc>
        <w:tc>
          <w:tcPr>
            <w:tcW w:w="410" w:type="pct"/>
            <w:gridSpan w:val="2"/>
            <w:tcBorders>
              <w:top w:val="nil"/>
              <w:left w:val="nil"/>
              <w:bottom w:val="single" w:sz="4" w:space="0" w:color="auto"/>
              <w:right w:val="single" w:sz="4" w:space="0" w:color="auto"/>
            </w:tcBorders>
            <w:noWrap/>
            <w:vAlign w:val="center"/>
            <w:hideMark/>
          </w:tcPr>
          <w:p w14:paraId="17906EE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1AFBDA0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4AE82246" w14:textId="77777777" w:rsidR="00033594" w:rsidRDefault="00033594">
            <w:pPr>
              <w:jc w:val="right"/>
              <w:rPr>
                <w:rFonts w:ascii="Arial" w:hAnsi="Arial" w:cs="Arial"/>
                <w:color w:val="000000"/>
                <w:sz w:val="16"/>
                <w:szCs w:val="16"/>
              </w:rPr>
            </w:pPr>
            <w:r>
              <w:rPr>
                <w:rFonts w:ascii="Arial" w:hAnsi="Arial" w:cs="Arial"/>
                <w:sz w:val="16"/>
                <w:szCs w:val="16"/>
              </w:rPr>
              <w:t>131</w:t>
            </w:r>
          </w:p>
        </w:tc>
        <w:tc>
          <w:tcPr>
            <w:tcW w:w="394" w:type="pct"/>
            <w:gridSpan w:val="2"/>
            <w:tcBorders>
              <w:top w:val="nil"/>
              <w:left w:val="nil"/>
              <w:bottom w:val="single" w:sz="4" w:space="0" w:color="auto"/>
              <w:right w:val="single" w:sz="4" w:space="0" w:color="auto"/>
            </w:tcBorders>
            <w:noWrap/>
            <w:vAlign w:val="center"/>
            <w:hideMark/>
          </w:tcPr>
          <w:p w14:paraId="4677A834" w14:textId="77777777" w:rsidR="00033594" w:rsidRDefault="00033594">
            <w:pPr>
              <w:jc w:val="right"/>
              <w:rPr>
                <w:rFonts w:ascii="Arial" w:hAnsi="Arial" w:cs="Arial"/>
                <w:color w:val="000000"/>
                <w:sz w:val="16"/>
                <w:szCs w:val="16"/>
              </w:rPr>
            </w:pPr>
            <w:r>
              <w:rPr>
                <w:rFonts w:ascii="Arial" w:hAnsi="Arial" w:cs="Arial"/>
                <w:sz w:val="16"/>
                <w:szCs w:val="16"/>
              </w:rPr>
              <w:t>1.326</w:t>
            </w:r>
          </w:p>
        </w:tc>
        <w:tc>
          <w:tcPr>
            <w:tcW w:w="389" w:type="pct"/>
            <w:tcBorders>
              <w:top w:val="nil"/>
              <w:left w:val="nil"/>
              <w:bottom w:val="single" w:sz="4" w:space="0" w:color="auto"/>
              <w:right w:val="single" w:sz="4" w:space="0" w:color="auto"/>
            </w:tcBorders>
            <w:noWrap/>
            <w:vAlign w:val="center"/>
            <w:hideMark/>
          </w:tcPr>
          <w:p w14:paraId="777CA56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03E1A049"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10F2E14D" w14:textId="77777777" w:rsidTr="00E95757">
        <w:trPr>
          <w:trHeight w:val="241"/>
          <w:tblHeader/>
        </w:trPr>
        <w:tc>
          <w:tcPr>
            <w:tcW w:w="1842" w:type="pct"/>
            <w:tcBorders>
              <w:top w:val="nil"/>
              <w:left w:val="single" w:sz="4" w:space="0" w:color="auto"/>
              <w:bottom w:val="single" w:sz="4" w:space="0" w:color="auto"/>
              <w:right w:val="single" w:sz="4" w:space="0" w:color="auto"/>
            </w:tcBorders>
            <w:noWrap/>
            <w:vAlign w:val="center"/>
            <w:hideMark/>
          </w:tcPr>
          <w:p w14:paraId="7178FF61" w14:textId="77777777" w:rsidR="00033594" w:rsidRDefault="00033594">
            <w:pPr>
              <w:rPr>
                <w:rFonts w:ascii="Arial" w:hAnsi="Arial" w:cs="Arial"/>
                <w:color w:val="000000"/>
                <w:sz w:val="16"/>
                <w:szCs w:val="16"/>
              </w:rPr>
            </w:pPr>
            <w:r>
              <w:rPr>
                <w:rFonts w:ascii="Arial" w:hAnsi="Arial" w:cs="Arial"/>
                <w:sz w:val="16"/>
                <w:szCs w:val="16"/>
              </w:rPr>
              <w:t xml:space="preserve"> D.E. por % en la Producción</w:t>
            </w:r>
          </w:p>
        </w:tc>
        <w:tc>
          <w:tcPr>
            <w:tcW w:w="418" w:type="pct"/>
            <w:gridSpan w:val="2"/>
            <w:tcBorders>
              <w:top w:val="nil"/>
              <w:left w:val="nil"/>
              <w:bottom w:val="single" w:sz="4" w:space="0" w:color="auto"/>
              <w:right w:val="single" w:sz="4" w:space="0" w:color="auto"/>
            </w:tcBorders>
            <w:noWrap/>
            <w:vAlign w:val="center"/>
            <w:hideMark/>
          </w:tcPr>
          <w:p w14:paraId="49EA1E35" w14:textId="77777777" w:rsidR="00033594" w:rsidRDefault="00033594">
            <w:pPr>
              <w:jc w:val="right"/>
              <w:rPr>
                <w:rFonts w:ascii="Arial" w:hAnsi="Arial" w:cs="Arial"/>
                <w:color w:val="000000"/>
                <w:sz w:val="16"/>
                <w:szCs w:val="16"/>
              </w:rPr>
            </w:pPr>
            <w:r>
              <w:rPr>
                <w:rFonts w:ascii="Arial" w:hAnsi="Arial" w:cs="Arial"/>
                <w:sz w:val="16"/>
                <w:szCs w:val="16"/>
              </w:rPr>
              <w:t>14.880</w:t>
            </w:r>
          </w:p>
        </w:tc>
        <w:tc>
          <w:tcPr>
            <w:tcW w:w="417" w:type="pct"/>
            <w:gridSpan w:val="2"/>
            <w:tcBorders>
              <w:top w:val="nil"/>
              <w:left w:val="nil"/>
              <w:bottom w:val="single" w:sz="4" w:space="0" w:color="auto"/>
              <w:right w:val="single" w:sz="4" w:space="0" w:color="auto"/>
            </w:tcBorders>
            <w:noWrap/>
            <w:vAlign w:val="center"/>
            <w:hideMark/>
          </w:tcPr>
          <w:p w14:paraId="3595AC4C" w14:textId="77777777" w:rsidR="00033594" w:rsidRDefault="00033594">
            <w:pPr>
              <w:jc w:val="right"/>
              <w:rPr>
                <w:rFonts w:ascii="Arial" w:hAnsi="Arial" w:cs="Arial"/>
                <w:color w:val="000000"/>
                <w:sz w:val="16"/>
                <w:szCs w:val="16"/>
              </w:rPr>
            </w:pPr>
            <w:r>
              <w:rPr>
                <w:rFonts w:ascii="Arial" w:hAnsi="Arial" w:cs="Arial"/>
                <w:sz w:val="16"/>
                <w:szCs w:val="16"/>
              </w:rPr>
              <w:t>14.880</w:t>
            </w:r>
          </w:p>
        </w:tc>
        <w:tc>
          <w:tcPr>
            <w:tcW w:w="410" w:type="pct"/>
            <w:gridSpan w:val="2"/>
            <w:tcBorders>
              <w:top w:val="nil"/>
              <w:left w:val="nil"/>
              <w:bottom w:val="single" w:sz="4" w:space="0" w:color="auto"/>
              <w:right w:val="single" w:sz="4" w:space="0" w:color="auto"/>
            </w:tcBorders>
            <w:noWrap/>
            <w:vAlign w:val="center"/>
            <w:hideMark/>
          </w:tcPr>
          <w:p w14:paraId="49FFBFAB"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420" w:type="pct"/>
            <w:gridSpan w:val="2"/>
            <w:tcBorders>
              <w:top w:val="nil"/>
              <w:left w:val="nil"/>
              <w:bottom w:val="single" w:sz="4" w:space="0" w:color="auto"/>
              <w:right w:val="single" w:sz="4" w:space="0" w:color="auto"/>
            </w:tcBorders>
            <w:noWrap/>
            <w:vAlign w:val="center"/>
            <w:hideMark/>
          </w:tcPr>
          <w:p w14:paraId="7368D7B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4" w:type="pct"/>
            <w:gridSpan w:val="2"/>
            <w:tcBorders>
              <w:top w:val="nil"/>
              <w:left w:val="nil"/>
              <w:bottom w:val="single" w:sz="4" w:space="0" w:color="auto"/>
              <w:right w:val="single" w:sz="4" w:space="0" w:color="auto"/>
            </w:tcBorders>
            <w:noWrap/>
            <w:vAlign w:val="center"/>
            <w:hideMark/>
          </w:tcPr>
          <w:p w14:paraId="18286418" w14:textId="77777777" w:rsidR="00033594" w:rsidRDefault="00033594">
            <w:pPr>
              <w:jc w:val="right"/>
              <w:rPr>
                <w:rFonts w:ascii="Arial" w:hAnsi="Arial" w:cs="Arial"/>
                <w:color w:val="000000"/>
                <w:sz w:val="16"/>
                <w:szCs w:val="16"/>
              </w:rPr>
            </w:pPr>
            <w:r>
              <w:rPr>
                <w:rFonts w:ascii="Arial" w:hAnsi="Arial" w:cs="Arial"/>
                <w:sz w:val="16"/>
                <w:szCs w:val="16"/>
              </w:rPr>
              <w:t>39.987</w:t>
            </w:r>
          </w:p>
        </w:tc>
        <w:tc>
          <w:tcPr>
            <w:tcW w:w="394" w:type="pct"/>
            <w:gridSpan w:val="2"/>
            <w:tcBorders>
              <w:top w:val="nil"/>
              <w:left w:val="nil"/>
              <w:bottom w:val="single" w:sz="4" w:space="0" w:color="auto"/>
              <w:right w:val="single" w:sz="4" w:space="0" w:color="auto"/>
            </w:tcBorders>
            <w:noWrap/>
            <w:vAlign w:val="center"/>
            <w:hideMark/>
          </w:tcPr>
          <w:p w14:paraId="6094B3AD" w14:textId="77777777" w:rsidR="00033594" w:rsidRDefault="00033594">
            <w:pPr>
              <w:jc w:val="right"/>
              <w:rPr>
                <w:rFonts w:ascii="Arial" w:hAnsi="Arial" w:cs="Arial"/>
                <w:color w:val="000000"/>
                <w:sz w:val="16"/>
                <w:szCs w:val="16"/>
              </w:rPr>
            </w:pPr>
            <w:r>
              <w:rPr>
                <w:rFonts w:ascii="Arial" w:hAnsi="Arial" w:cs="Arial"/>
                <w:sz w:val="16"/>
                <w:szCs w:val="16"/>
              </w:rPr>
              <w:t>91.519</w:t>
            </w:r>
          </w:p>
        </w:tc>
        <w:tc>
          <w:tcPr>
            <w:tcW w:w="389" w:type="pct"/>
            <w:tcBorders>
              <w:top w:val="nil"/>
              <w:left w:val="nil"/>
              <w:bottom w:val="single" w:sz="4" w:space="0" w:color="auto"/>
              <w:right w:val="single" w:sz="4" w:space="0" w:color="auto"/>
            </w:tcBorders>
            <w:noWrap/>
            <w:vAlign w:val="center"/>
            <w:hideMark/>
          </w:tcPr>
          <w:p w14:paraId="43BDCE36"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639CC9B4" w14:textId="77777777" w:rsidR="00033594" w:rsidRDefault="00033594">
            <w:pPr>
              <w:jc w:val="right"/>
              <w:rPr>
                <w:rFonts w:ascii="Arial" w:hAnsi="Arial" w:cs="Arial"/>
                <w:color w:val="000000"/>
                <w:sz w:val="16"/>
                <w:szCs w:val="16"/>
              </w:rPr>
            </w:pPr>
            <w:r>
              <w:rPr>
                <w:rFonts w:ascii="Arial" w:hAnsi="Arial" w:cs="Arial"/>
                <w:sz w:val="16"/>
                <w:szCs w:val="16"/>
              </w:rPr>
              <w:t>0</w:t>
            </w:r>
          </w:p>
        </w:tc>
      </w:tr>
      <w:tr w:rsidR="00E84C6B" w14:paraId="716BE525" w14:textId="77777777" w:rsidTr="00E95757">
        <w:trPr>
          <w:trHeight w:val="241"/>
          <w:tblHeader/>
        </w:trPr>
        <w:tc>
          <w:tcPr>
            <w:tcW w:w="1842" w:type="pct"/>
            <w:tcBorders>
              <w:top w:val="nil"/>
              <w:left w:val="single" w:sz="4" w:space="0" w:color="auto"/>
              <w:bottom w:val="single" w:sz="4" w:space="0" w:color="auto"/>
              <w:right w:val="single" w:sz="4" w:space="0" w:color="auto"/>
            </w:tcBorders>
            <w:shd w:val="clear" w:color="auto" w:fill="4F81BD" w:themeFill="accent1"/>
            <w:noWrap/>
            <w:vAlign w:val="center"/>
            <w:hideMark/>
          </w:tcPr>
          <w:p w14:paraId="50B9F175" w14:textId="77777777" w:rsidR="00033594" w:rsidRDefault="00033594">
            <w:pPr>
              <w:rPr>
                <w:rFonts w:ascii="Arial" w:hAnsi="Arial" w:cs="Arial"/>
                <w:b/>
                <w:bCs/>
                <w:color w:val="000000"/>
                <w:sz w:val="16"/>
                <w:szCs w:val="16"/>
              </w:rPr>
            </w:pPr>
            <w:r>
              <w:rPr>
                <w:rFonts w:ascii="Arial" w:hAnsi="Arial" w:cs="Arial"/>
                <w:b/>
                <w:bCs/>
                <w:sz w:val="16"/>
                <w:szCs w:val="16"/>
              </w:rPr>
              <w:t>Tasas, Multas y Contribuciones (D.E)</w:t>
            </w:r>
          </w:p>
        </w:tc>
        <w:tc>
          <w:tcPr>
            <w:tcW w:w="418" w:type="pct"/>
            <w:gridSpan w:val="2"/>
            <w:tcBorders>
              <w:top w:val="nil"/>
              <w:left w:val="nil"/>
              <w:bottom w:val="single" w:sz="4" w:space="0" w:color="auto"/>
              <w:right w:val="single" w:sz="4" w:space="0" w:color="auto"/>
            </w:tcBorders>
            <w:shd w:val="clear" w:color="auto" w:fill="4F81BD" w:themeFill="accent1"/>
            <w:noWrap/>
            <w:vAlign w:val="center"/>
            <w:hideMark/>
          </w:tcPr>
          <w:p w14:paraId="0870EEF9" w14:textId="77777777" w:rsidR="00033594" w:rsidRDefault="00033594">
            <w:pPr>
              <w:jc w:val="right"/>
              <w:rPr>
                <w:rFonts w:ascii="Arial" w:hAnsi="Arial" w:cs="Arial"/>
                <w:b/>
                <w:bCs/>
                <w:color w:val="000000"/>
                <w:sz w:val="16"/>
                <w:szCs w:val="16"/>
              </w:rPr>
            </w:pPr>
            <w:r>
              <w:rPr>
                <w:rFonts w:ascii="Arial" w:hAnsi="Arial" w:cs="Arial"/>
                <w:b/>
                <w:bCs/>
                <w:sz w:val="16"/>
                <w:szCs w:val="16"/>
              </w:rPr>
              <w:t>187.062</w:t>
            </w:r>
          </w:p>
        </w:tc>
        <w:tc>
          <w:tcPr>
            <w:tcW w:w="417" w:type="pct"/>
            <w:gridSpan w:val="2"/>
            <w:tcBorders>
              <w:top w:val="nil"/>
              <w:left w:val="nil"/>
              <w:bottom w:val="single" w:sz="4" w:space="0" w:color="auto"/>
              <w:right w:val="single" w:sz="4" w:space="0" w:color="auto"/>
            </w:tcBorders>
            <w:shd w:val="clear" w:color="auto" w:fill="4F81BD" w:themeFill="accent1"/>
            <w:noWrap/>
            <w:vAlign w:val="center"/>
            <w:hideMark/>
          </w:tcPr>
          <w:p w14:paraId="6F8C7549" w14:textId="77777777" w:rsidR="00033594" w:rsidRDefault="00033594">
            <w:pPr>
              <w:jc w:val="right"/>
              <w:rPr>
                <w:rFonts w:ascii="Arial" w:hAnsi="Arial" w:cs="Arial"/>
                <w:b/>
                <w:bCs/>
                <w:color w:val="000000"/>
                <w:sz w:val="16"/>
                <w:szCs w:val="16"/>
              </w:rPr>
            </w:pPr>
            <w:r>
              <w:rPr>
                <w:rFonts w:ascii="Arial" w:hAnsi="Arial" w:cs="Arial"/>
                <w:b/>
                <w:bCs/>
                <w:sz w:val="16"/>
                <w:szCs w:val="16"/>
              </w:rPr>
              <w:t>187.062</w:t>
            </w:r>
          </w:p>
        </w:tc>
        <w:tc>
          <w:tcPr>
            <w:tcW w:w="410" w:type="pct"/>
            <w:gridSpan w:val="2"/>
            <w:tcBorders>
              <w:top w:val="nil"/>
              <w:left w:val="nil"/>
              <w:bottom w:val="single" w:sz="4" w:space="0" w:color="auto"/>
              <w:right w:val="single" w:sz="4" w:space="0" w:color="auto"/>
            </w:tcBorders>
            <w:shd w:val="clear" w:color="auto" w:fill="4F81BD" w:themeFill="accent1"/>
            <w:noWrap/>
            <w:vAlign w:val="center"/>
            <w:hideMark/>
          </w:tcPr>
          <w:p w14:paraId="7A7C5F83"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420" w:type="pct"/>
            <w:gridSpan w:val="2"/>
            <w:tcBorders>
              <w:top w:val="nil"/>
              <w:left w:val="nil"/>
              <w:bottom w:val="single" w:sz="4" w:space="0" w:color="auto"/>
              <w:right w:val="single" w:sz="4" w:space="0" w:color="auto"/>
            </w:tcBorders>
            <w:shd w:val="clear" w:color="auto" w:fill="4F81BD" w:themeFill="accent1"/>
            <w:noWrap/>
            <w:vAlign w:val="center"/>
            <w:hideMark/>
          </w:tcPr>
          <w:p w14:paraId="1069174F"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4" w:type="pct"/>
            <w:gridSpan w:val="2"/>
            <w:tcBorders>
              <w:top w:val="nil"/>
              <w:left w:val="nil"/>
              <w:bottom w:val="single" w:sz="4" w:space="0" w:color="auto"/>
              <w:right w:val="single" w:sz="4" w:space="0" w:color="auto"/>
            </w:tcBorders>
            <w:shd w:val="clear" w:color="auto" w:fill="4F81BD" w:themeFill="accent1"/>
            <w:noWrap/>
            <w:vAlign w:val="center"/>
            <w:hideMark/>
          </w:tcPr>
          <w:p w14:paraId="2AAFE8C6" w14:textId="77777777" w:rsidR="00033594" w:rsidRDefault="00033594">
            <w:pPr>
              <w:jc w:val="right"/>
              <w:rPr>
                <w:rFonts w:ascii="Arial" w:hAnsi="Arial" w:cs="Arial"/>
                <w:b/>
                <w:bCs/>
                <w:color w:val="000000"/>
                <w:sz w:val="16"/>
                <w:szCs w:val="16"/>
              </w:rPr>
            </w:pPr>
            <w:r>
              <w:rPr>
                <w:rFonts w:ascii="Arial" w:hAnsi="Arial" w:cs="Arial"/>
                <w:b/>
                <w:bCs/>
                <w:sz w:val="16"/>
                <w:szCs w:val="16"/>
              </w:rPr>
              <w:t>192.729</w:t>
            </w:r>
          </w:p>
        </w:tc>
        <w:tc>
          <w:tcPr>
            <w:tcW w:w="394" w:type="pct"/>
            <w:gridSpan w:val="2"/>
            <w:tcBorders>
              <w:top w:val="nil"/>
              <w:left w:val="nil"/>
              <w:bottom w:val="single" w:sz="4" w:space="0" w:color="auto"/>
              <w:right w:val="single" w:sz="4" w:space="0" w:color="auto"/>
            </w:tcBorders>
            <w:shd w:val="clear" w:color="auto" w:fill="4F81BD" w:themeFill="accent1"/>
            <w:noWrap/>
            <w:vAlign w:val="center"/>
            <w:hideMark/>
          </w:tcPr>
          <w:p w14:paraId="3981BAD0" w14:textId="77777777" w:rsidR="00033594" w:rsidRDefault="00033594">
            <w:pPr>
              <w:jc w:val="right"/>
              <w:rPr>
                <w:rFonts w:ascii="Arial" w:hAnsi="Arial" w:cs="Arial"/>
                <w:b/>
                <w:bCs/>
                <w:color w:val="000000"/>
                <w:sz w:val="16"/>
                <w:szCs w:val="16"/>
              </w:rPr>
            </w:pPr>
            <w:r>
              <w:rPr>
                <w:rFonts w:ascii="Arial" w:hAnsi="Arial" w:cs="Arial"/>
                <w:b/>
                <w:bCs/>
                <w:sz w:val="16"/>
                <w:szCs w:val="16"/>
              </w:rPr>
              <w:t>437.747</w:t>
            </w:r>
          </w:p>
        </w:tc>
        <w:tc>
          <w:tcPr>
            <w:tcW w:w="389" w:type="pct"/>
            <w:tcBorders>
              <w:top w:val="nil"/>
              <w:left w:val="nil"/>
              <w:bottom w:val="single" w:sz="4" w:space="0" w:color="auto"/>
              <w:right w:val="single" w:sz="4" w:space="0" w:color="auto"/>
            </w:tcBorders>
            <w:shd w:val="clear" w:color="auto" w:fill="4F81BD" w:themeFill="accent1"/>
            <w:noWrap/>
            <w:vAlign w:val="center"/>
            <w:hideMark/>
          </w:tcPr>
          <w:p w14:paraId="40E890F5"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shd w:val="clear" w:color="auto" w:fill="4F81BD" w:themeFill="accent1"/>
            <w:noWrap/>
            <w:vAlign w:val="center"/>
            <w:hideMark/>
          </w:tcPr>
          <w:p w14:paraId="350DE736"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r>
      <w:tr w:rsidR="00E84C6B" w14:paraId="5A179ED7" w14:textId="77777777" w:rsidTr="00E95757">
        <w:trPr>
          <w:trHeight w:val="241"/>
          <w:tblHeader/>
        </w:trPr>
        <w:tc>
          <w:tcPr>
            <w:tcW w:w="2022" w:type="pct"/>
            <w:gridSpan w:val="2"/>
            <w:noWrap/>
            <w:vAlign w:val="center"/>
            <w:hideMark/>
          </w:tcPr>
          <w:p w14:paraId="417A010E" w14:textId="13841CE9" w:rsidR="00033594" w:rsidRDefault="00033594">
            <w:pPr>
              <w:rPr>
                <w:rFonts w:ascii="Arial" w:hAnsi="Arial" w:cs="Arial"/>
                <w:b/>
                <w:bCs/>
                <w:color w:val="000000"/>
                <w:sz w:val="16"/>
                <w:szCs w:val="16"/>
              </w:rPr>
            </w:pPr>
          </w:p>
        </w:tc>
        <w:tc>
          <w:tcPr>
            <w:tcW w:w="394" w:type="pct"/>
            <w:gridSpan w:val="2"/>
            <w:noWrap/>
            <w:vAlign w:val="bottom"/>
            <w:hideMark/>
          </w:tcPr>
          <w:p w14:paraId="00874969" w14:textId="77777777" w:rsidR="00033594" w:rsidRDefault="00033594">
            <w:pPr>
              <w:rPr>
                <w:rFonts w:ascii="Calibri" w:hAnsi="Calibri" w:cs="Times New Roman"/>
                <w:color w:val="000000"/>
                <w:sz w:val="19"/>
                <w:szCs w:val="19"/>
              </w:rPr>
            </w:pPr>
          </w:p>
        </w:tc>
        <w:tc>
          <w:tcPr>
            <w:tcW w:w="394" w:type="pct"/>
            <w:gridSpan w:val="2"/>
            <w:noWrap/>
            <w:vAlign w:val="bottom"/>
            <w:hideMark/>
          </w:tcPr>
          <w:p w14:paraId="6117F405" w14:textId="77777777" w:rsidR="00033594" w:rsidRDefault="00033594">
            <w:pPr>
              <w:rPr>
                <w:rFonts w:ascii="Calibri" w:hAnsi="Calibri" w:cs="Times New Roman"/>
                <w:color w:val="000000"/>
                <w:sz w:val="19"/>
                <w:szCs w:val="19"/>
              </w:rPr>
            </w:pPr>
          </w:p>
        </w:tc>
        <w:tc>
          <w:tcPr>
            <w:tcW w:w="389" w:type="pct"/>
            <w:gridSpan w:val="2"/>
            <w:noWrap/>
            <w:vAlign w:val="center"/>
            <w:hideMark/>
          </w:tcPr>
          <w:p w14:paraId="6EF94A77" w14:textId="77777777" w:rsidR="00033594" w:rsidRDefault="00033594">
            <w:pPr>
              <w:rPr>
                <w:rFonts w:ascii="Calibri" w:hAnsi="Calibri" w:cs="Times New Roman"/>
                <w:color w:val="000000"/>
                <w:sz w:val="19"/>
                <w:szCs w:val="19"/>
              </w:rPr>
            </w:pPr>
          </w:p>
        </w:tc>
        <w:tc>
          <w:tcPr>
            <w:tcW w:w="399" w:type="pct"/>
            <w:gridSpan w:val="2"/>
            <w:noWrap/>
            <w:vAlign w:val="center"/>
            <w:hideMark/>
          </w:tcPr>
          <w:p w14:paraId="6CAABD0D" w14:textId="77777777" w:rsidR="00033594" w:rsidRDefault="00033594">
            <w:pPr>
              <w:rPr>
                <w:rFonts w:ascii="Calibri" w:hAnsi="Calibri" w:cs="Times New Roman"/>
                <w:color w:val="000000"/>
                <w:sz w:val="19"/>
                <w:szCs w:val="19"/>
              </w:rPr>
            </w:pPr>
          </w:p>
        </w:tc>
        <w:tc>
          <w:tcPr>
            <w:tcW w:w="363" w:type="pct"/>
            <w:gridSpan w:val="2"/>
            <w:noWrap/>
            <w:vAlign w:val="bottom"/>
            <w:hideMark/>
          </w:tcPr>
          <w:p w14:paraId="6D23854B" w14:textId="77777777" w:rsidR="00033594" w:rsidRDefault="00033594">
            <w:pPr>
              <w:rPr>
                <w:rFonts w:ascii="Calibri" w:hAnsi="Calibri" w:cs="Times New Roman"/>
                <w:color w:val="000000"/>
                <w:sz w:val="19"/>
                <w:szCs w:val="19"/>
              </w:rPr>
            </w:pPr>
          </w:p>
        </w:tc>
        <w:tc>
          <w:tcPr>
            <w:tcW w:w="334" w:type="pct"/>
            <w:noWrap/>
            <w:vAlign w:val="bottom"/>
            <w:hideMark/>
          </w:tcPr>
          <w:p w14:paraId="06BD8BE8" w14:textId="77777777" w:rsidR="00033594" w:rsidRDefault="00033594">
            <w:pPr>
              <w:rPr>
                <w:rFonts w:ascii="Calibri" w:hAnsi="Calibri" w:cs="Times New Roman"/>
                <w:color w:val="000000"/>
                <w:sz w:val="19"/>
                <w:szCs w:val="19"/>
              </w:rPr>
            </w:pPr>
          </w:p>
        </w:tc>
        <w:tc>
          <w:tcPr>
            <w:tcW w:w="389" w:type="pct"/>
            <w:noWrap/>
            <w:vAlign w:val="bottom"/>
            <w:hideMark/>
          </w:tcPr>
          <w:p w14:paraId="30ACE7EC" w14:textId="77777777" w:rsidR="00033594" w:rsidRDefault="00033594">
            <w:pPr>
              <w:rPr>
                <w:rFonts w:ascii="Calibri" w:hAnsi="Calibri" w:cs="Times New Roman"/>
                <w:color w:val="000000"/>
                <w:sz w:val="19"/>
                <w:szCs w:val="19"/>
              </w:rPr>
            </w:pPr>
          </w:p>
        </w:tc>
        <w:tc>
          <w:tcPr>
            <w:tcW w:w="316" w:type="pct"/>
            <w:noWrap/>
            <w:vAlign w:val="bottom"/>
            <w:hideMark/>
          </w:tcPr>
          <w:p w14:paraId="744A1BC1" w14:textId="77777777" w:rsidR="00033594" w:rsidRDefault="00033594">
            <w:pPr>
              <w:rPr>
                <w:rFonts w:ascii="Calibri" w:hAnsi="Calibri" w:cs="Times New Roman"/>
                <w:color w:val="000000"/>
                <w:sz w:val="19"/>
                <w:szCs w:val="19"/>
              </w:rPr>
            </w:pPr>
          </w:p>
        </w:tc>
      </w:tr>
      <w:tr w:rsidR="00033594" w14:paraId="113E72D0" w14:textId="77777777" w:rsidTr="00E95757">
        <w:trPr>
          <w:trHeight w:val="160"/>
          <w:tblHeader/>
        </w:trPr>
        <w:tc>
          <w:tcPr>
            <w:tcW w:w="2022" w:type="pct"/>
            <w:gridSpan w:val="2"/>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7359551" w14:textId="77777777" w:rsidR="00033594" w:rsidRDefault="00033594">
            <w:pPr>
              <w:jc w:val="center"/>
              <w:rPr>
                <w:rFonts w:ascii="Arial" w:hAnsi="Arial" w:cs="Arial"/>
                <w:b/>
                <w:bCs/>
                <w:color w:val="000000"/>
                <w:sz w:val="16"/>
                <w:szCs w:val="16"/>
              </w:rPr>
            </w:pPr>
            <w:r>
              <w:rPr>
                <w:rFonts w:ascii="Arial" w:hAnsi="Arial" w:cs="Arial"/>
                <w:b/>
                <w:bCs/>
                <w:sz w:val="16"/>
                <w:szCs w:val="16"/>
              </w:rPr>
              <w:t>RUBRO</w:t>
            </w:r>
          </w:p>
        </w:tc>
        <w:tc>
          <w:tcPr>
            <w:tcW w:w="1577" w:type="pct"/>
            <w:gridSpan w:val="8"/>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3DAE1DE4" w14:textId="77777777" w:rsidR="00033594" w:rsidRDefault="00033594">
            <w:pPr>
              <w:jc w:val="center"/>
              <w:rPr>
                <w:rFonts w:ascii="Arial" w:hAnsi="Arial" w:cs="Arial"/>
                <w:b/>
                <w:bCs/>
                <w:color w:val="000000"/>
                <w:sz w:val="16"/>
                <w:szCs w:val="16"/>
              </w:rPr>
            </w:pPr>
            <w:r>
              <w:rPr>
                <w:rFonts w:ascii="Arial" w:hAnsi="Arial" w:cs="Arial"/>
                <w:b/>
                <w:bCs/>
                <w:sz w:val="16"/>
                <w:szCs w:val="16"/>
              </w:rPr>
              <w:t>RECAUDADO</w:t>
            </w:r>
          </w:p>
        </w:tc>
        <w:tc>
          <w:tcPr>
            <w:tcW w:w="1402" w:type="pct"/>
            <w:gridSpan w:val="5"/>
            <w:tcBorders>
              <w:top w:val="single" w:sz="4" w:space="0" w:color="auto"/>
              <w:left w:val="nil"/>
              <w:bottom w:val="single" w:sz="4" w:space="0" w:color="auto"/>
              <w:right w:val="single" w:sz="4" w:space="0" w:color="000000"/>
            </w:tcBorders>
            <w:shd w:val="clear" w:color="auto" w:fill="548DD4" w:themeFill="text2" w:themeFillTint="99"/>
            <w:vAlign w:val="center"/>
            <w:hideMark/>
          </w:tcPr>
          <w:p w14:paraId="5BBD8905" w14:textId="77777777" w:rsidR="00033594" w:rsidRDefault="00033594">
            <w:pPr>
              <w:jc w:val="center"/>
              <w:rPr>
                <w:rFonts w:ascii="Arial" w:hAnsi="Arial" w:cs="Arial"/>
                <w:b/>
                <w:bCs/>
                <w:color w:val="000000"/>
                <w:sz w:val="16"/>
                <w:szCs w:val="16"/>
              </w:rPr>
            </w:pPr>
            <w:r>
              <w:rPr>
                <w:rFonts w:ascii="Arial" w:hAnsi="Arial" w:cs="Arial"/>
                <w:b/>
                <w:bCs/>
                <w:sz w:val="16"/>
                <w:szCs w:val="16"/>
              </w:rPr>
              <w:t>%EJEC. REC/APR</w:t>
            </w:r>
          </w:p>
        </w:tc>
      </w:tr>
      <w:tr w:rsidR="00E84C6B" w14:paraId="1FC61C66" w14:textId="77777777" w:rsidTr="00E95757">
        <w:trPr>
          <w:trHeight w:val="167"/>
          <w:tblHead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23C761EB" w14:textId="77777777" w:rsidR="00033594" w:rsidRDefault="00033594">
            <w:pPr>
              <w:rPr>
                <w:rFonts w:ascii="Arial" w:hAnsi="Arial" w:cs="Arial"/>
                <w:b/>
                <w:bCs/>
                <w:color w:val="000000"/>
                <w:sz w:val="16"/>
                <w:szCs w:val="16"/>
              </w:rPr>
            </w:pPr>
          </w:p>
        </w:tc>
        <w:tc>
          <w:tcPr>
            <w:tcW w:w="394" w:type="pct"/>
            <w:gridSpan w:val="2"/>
            <w:tcBorders>
              <w:top w:val="nil"/>
              <w:left w:val="nil"/>
              <w:bottom w:val="single" w:sz="4" w:space="0" w:color="auto"/>
              <w:right w:val="single" w:sz="4" w:space="0" w:color="auto"/>
            </w:tcBorders>
            <w:shd w:val="clear" w:color="auto" w:fill="548DD4" w:themeFill="text2" w:themeFillTint="99"/>
            <w:vAlign w:val="center"/>
            <w:hideMark/>
          </w:tcPr>
          <w:p w14:paraId="33042B5F"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94" w:type="pct"/>
            <w:gridSpan w:val="2"/>
            <w:tcBorders>
              <w:top w:val="nil"/>
              <w:left w:val="nil"/>
              <w:bottom w:val="single" w:sz="4" w:space="0" w:color="auto"/>
              <w:right w:val="single" w:sz="4" w:space="0" w:color="auto"/>
            </w:tcBorders>
            <w:shd w:val="clear" w:color="auto" w:fill="548DD4" w:themeFill="text2" w:themeFillTint="99"/>
            <w:vAlign w:val="center"/>
            <w:hideMark/>
          </w:tcPr>
          <w:p w14:paraId="42009B6D"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89" w:type="pct"/>
            <w:gridSpan w:val="2"/>
            <w:tcBorders>
              <w:top w:val="nil"/>
              <w:left w:val="nil"/>
              <w:bottom w:val="single" w:sz="4" w:space="0" w:color="auto"/>
              <w:right w:val="single" w:sz="4" w:space="0" w:color="auto"/>
            </w:tcBorders>
            <w:shd w:val="clear" w:color="auto" w:fill="548DD4" w:themeFill="text2" w:themeFillTint="99"/>
            <w:vAlign w:val="center"/>
            <w:hideMark/>
          </w:tcPr>
          <w:p w14:paraId="2C577C1E" w14:textId="50C1CC5D" w:rsidR="00033594" w:rsidRDefault="00FE1111">
            <w:pPr>
              <w:jc w:val="center"/>
              <w:rPr>
                <w:rFonts w:ascii="Arial" w:hAnsi="Arial" w:cs="Arial"/>
                <w:b/>
                <w:bCs/>
                <w:color w:val="000000"/>
                <w:sz w:val="16"/>
                <w:szCs w:val="16"/>
              </w:rPr>
            </w:pPr>
            <w:r>
              <w:rPr>
                <w:rFonts w:ascii="Arial" w:hAnsi="Arial" w:cs="Arial"/>
                <w:b/>
                <w:bCs/>
                <w:sz w:val="16"/>
                <w:szCs w:val="16"/>
              </w:rPr>
              <w:t>III</w:t>
            </w:r>
            <w:r w:rsidR="00033594">
              <w:rPr>
                <w:rFonts w:ascii="Arial" w:hAnsi="Arial" w:cs="Arial"/>
                <w:b/>
                <w:bCs/>
                <w:sz w:val="16"/>
                <w:szCs w:val="16"/>
              </w:rPr>
              <w:t>TRIM.</w:t>
            </w:r>
          </w:p>
        </w:tc>
        <w:tc>
          <w:tcPr>
            <w:tcW w:w="399" w:type="pct"/>
            <w:gridSpan w:val="2"/>
            <w:tcBorders>
              <w:top w:val="nil"/>
              <w:left w:val="nil"/>
              <w:bottom w:val="single" w:sz="4" w:space="0" w:color="auto"/>
              <w:right w:val="single" w:sz="4" w:space="0" w:color="auto"/>
            </w:tcBorders>
            <w:shd w:val="clear" w:color="auto" w:fill="548DD4" w:themeFill="text2" w:themeFillTint="99"/>
            <w:vAlign w:val="center"/>
            <w:hideMark/>
          </w:tcPr>
          <w:p w14:paraId="3341445F" w14:textId="1BF6EE42" w:rsidR="00033594" w:rsidRDefault="00FE1111">
            <w:pPr>
              <w:jc w:val="center"/>
              <w:rPr>
                <w:rFonts w:ascii="Arial" w:hAnsi="Arial" w:cs="Arial"/>
                <w:b/>
                <w:bCs/>
                <w:color w:val="000000"/>
                <w:sz w:val="16"/>
                <w:szCs w:val="16"/>
              </w:rPr>
            </w:pPr>
            <w:r>
              <w:rPr>
                <w:rFonts w:ascii="Arial" w:hAnsi="Arial" w:cs="Arial"/>
                <w:b/>
                <w:bCs/>
                <w:sz w:val="16"/>
                <w:szCs w:val="16"/>
              </w:rPr>
              <w:t>IV</w:t>
            </w:r>
            <w:r w:rsidR="00033594">
              <w:rPr>
                <w:rFonts w:ascii="Arial" w:hAnsi="Arial" w:cs="Arial"/>
                <w:b/>
                <w:bCs/>
                <w:sz w:val="16"/>
                <w:szCs w:val="16"/>
              </w:rPr>
              <w:t>TRIM.</w:t>
            </w:r>
          </w:p>
        </w:tc>
        <w:tc>
          <w:tcPr>
            <w:tcW w:w="363" w:type="pct"/>
            <w:gridSpan w:val="2"/>
            <w:tcBorders>
              <w:top w:val="nil"/>
              <w:left w:val="nil"/>
              <w:bottom w:val="single" w:sz="4" w:space="0" w:color="auto"/>
              <w:right w:val="single" w:sz="4" w:space="0" w:color="auto"/>
            </w:tcBorders>
            <w:shd w:val="clear" w:color="auto" w:fill="548DD4" w:themeFill="text2" w:themeFillTint="99"/>
            <w:vAlign w:val="center"/>
            <w:hideMark/>
          </w:tcPr>
          <w:p w14:paraId="69E8B033" w14:textId="77777777" w:rsidR="00033594" w:rsidRDefault="00033594">
            <w:pPr>
              <w:jc w:val="center"/>
              <w:rPr>
                <w:rFonts w:ascii="Arial" w:hAnsi="Arial" w:cs="Arial"/>
                <w:b/>
                <w:bCs/>
                <w:color w:val="000000"/>
                <w:sz w:val="16"/>
                <w:szCs w:val="16"/>
              </w:rPr>
            </w:pPr>
            <w:r>
              <w:rPr>
                <w:rFonts w:ascii="Arial" w:hAnsi="Arial" w:cs="Arial"/>
                <w:b/>
                <w:bCs/>
                <w:sz w:val="16"/>
                <w:szCs w:val="16"/>
              </w:rPr>
              <w:t>I TRIM.</w:t>
            </w:r>
          </w:p>
        </w:tc>
        <w:tc>
          <w:tcPr>
            <w:tcW w:w="334" w:type="pct"/>
            <w:tcBorders>
              <w:top w:val="nil"/>
              <w:left w:val="nil"/>
              <w:bottom w:val="single" w:sz="4" w:space="0" w:color="auto"/>
              <w:right w:val="single" w:sz="4" w:space="0" w:color="auto"/>
            </w:tcBorders>
            <w:shd w:val="clear" w:color="auto" w:fill="548DD4" w:themeFill="text2" w:themeFillTint="99"/>
            <w:vAlign w:val="center"/>
            <w:hideMark/>
          </w:tcPr>
          <w:p w14:paraId="1EBC7D81" w14:textId="77777777" w:rsidR="00033594" w:rsidRDefault="00033594">
            <w:pPr>
              <w:jc w:val="center"/>
              <w:rPr>
                <w:rFonts w:ascii="Arial" w:hAnsi="Arial" w:cs="Arial"/>
                <w:b/>
                <w:bCs/>
                <w:color w:val="000000"/>
                <w:sz w:val="16"/>
                <w:szCs w:val="16"/>
              </w:rPr>
            </w:pPr>
            <w:r>
              <w:rPr>
                <w:rFonts w:ascii="Arial" w:hAnsi="Arial" w:cs="Arial"/>
                <w:b/>
                <w:bCs/>
                <w:sz w:val="16"/>
                <w:szCs w:val="16"/>
              </w:rPr>
              <w:t>II TRIM.</w:t>
            </w:r>
          </w:p>
        </w:tc>
        <w:tc>
          <w:tcPr>
            <w:tcW w:w="389" w:type="pct"/>
            <w:tcBorders>
              <w:top w:val="nil"/>
              <w:left w:val="nil"/>
              <w:bottom w:val="single" w:sz="4" w:space="0" w:color="auto"/>
              <w:right w:val="single" w:sz="4" w:space="0" w:color="auto"/>
            </w:tcBorders>
            <w:shd w:val="clear" w:color="auto" w:fill="548DD4" w:themeFill="text2" w:themeFillTint="99"/>
            <w:vAlign w:val="center"/>
            <w:hideMark/>
          </w:tcPr>
          <w:p w14:paraId="402783B2" w14:textId="56234B51" w:rsidR="00033594" w:rsidRDefault="00FE1111">
            <w:pPr>
              <w:jc w:val="center"/>
              <w:rPr>
                <w:rFonts w:ascii="Arial" w:hAnsi="Arial" w:cs="Arial"/>
                <w:b/>
                <w:bCs/>
                <w:color w:val="000000"/>
                <w:sz w:val="16"/>
                <w:szCs w:val="16"/>
              </w:rPr>
            </w:pPr>
            <w:r>
              <w:rPr>
                <w:rFonts w:ascii="Arial" w:hAnsi="Arial" w:cs="Arial"/>
                <w:b/>
                <w:bCs/>
                <w:sz w:val="16"/>
                <w:szCs w:val="16"/>
              </w:rPr>
              <w:t>III</w:t>
            </w:r>
            <w:r w:rsidR="00033594">
              <w:rPr>
                <w:rFonts w:ascii="Arial" w:hAnsi="Arial" w:cs="Arial"/>
                <w:b/>
                <w:bCs/>
                <w:sz w:val="16"/>
                <w:szCs w:val="16"/>
              </w:rPr>
              <w:t>TRIM.</w:t>
            </w:r>
          </w:p>
        </w:tc>
        <w:tc>
          <w:tcPr>
            <w:tcW w:w="316" w:type="pct"/>
            <w:tcBorders>
              <w:top w:val="nil"/>
              <w:left w:val="nil"/>
              <w:bottom w:val="single" w:sz="4" w:space="0" w:color="auto"/>
              <w:right w:val="single" w:sz="4" w:space="0" w:color="auto"/>
            </w:tcBorders>
            <w:shd w:val="clear" w:color="auto" w:fill="548DD4" w:themeFill="text2" w:themeFillTint="99"/>
            <w:vAlign w:val="center"/>
            <w:hideMark/>
          </w:tcPr>
          <w:p w14:paraId="46F42898" w14:textId="77777777" w:rsidR="00033594" w:rsidRDefault="00033594">
            <w:pPr>
              <w:jc w:val="center"/>
              <w:rPr>
                <w:rFonts w:ascii="Arial" w:hAnsi="Arial" w:cs="Arial"/>
                <w:b/>
                <w:bCs/>
                <w:color w:val="000000"/>
                <w:sz w:val="16"/>
                <w:szCs w:val="16"/>
              </w:rPr>
            </w:pPr>
            <w:r>
              <w:rPr>
                <w:rFonts w:ascii="Arial" w:hAnsi="Arial" w:cs="Arial"/>
                <w:b/>
                <w:bCs/>
                <w:sz w:val="16"/>
                <w:szCs w:val="16"/>
              </w:rPr>
              <w:t>IV TRIM.</w:t>
            </w:r>
          </w:p>
        </w:tc>
      </w:tr>
      <w:tr w:rsidR="00E84C6B" w14:paraId="3D895431"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0E3C2BFB" w14:textId="77777777" w:rsidR="00033594" w:rsidRDefault="00033594">
            <w:pPr>
              <w:rPr>
                <w:rFonts w:ascii="Arial" w:hAnsi="Arial" w:cs="Arial"/>
                <w:b/>
                <w:bCs/>
                <w:color w:val="000000"/>
                <w:sz w:val="16"/>
                <w:szCs w:val="16"/>
              </w:rPr>
            </w:pPr>
            <w:r>
              <w:rPr>
                <w:rFonts w:ascii="Arial" w:hAnsi="Arial" w:cs="Arial"/>
                <w:b/>
                <w:bCs/>
                <w:sz w:val="16"/>
                <w:szCs w:val="16"/>
              </w:rPr>
              <w:t>USO DEL SUBSUELO EN EXPLORACIÓN</w:t>
            </w:r>
          </w:p>
        </w:tc>
        <w:tc>
          <w:tcPr>
            <w:tcW w:w="394" w:type="pct"/>
            <w:gridSpan w:val="2"/>
            <w:tcBorders>
              <w:top w:val="nil"/>
              <w:left w:val="nil"/>
              <w:bottom w:val="single" w:sz="4" w:space="0" w:color="auto"/>
              <w:right w:val="single" w:sz="4" w:space="0" w:color="auto"/>
            </w:tcBorders>
            <w:vAlign w:val="center"/>
            <w:hideMark/>
          </w:tcPr>
          <w:p w14:paraId="356FF521" w14:textId="77777777" w:rsidR="00033594" w:rsidRDefault="00033594">
            <w:pPr>
              <w:jc w:val="right"/>
              <w:rPr>
                <w:rFonts w:ascii="Arial" w:hAnsi="Arial" w:cs="Arial"/>
                <w:b/>
                <w:bCs/>
                <w:color w:val="000000"/>
                <w:sz w:val="16"/>
                <w:szCs w:val="16"/>
              </w:rPr>
            </w:pPr>
            <w:r>
              <w:rPr>
                <w:rFonts w:ascii="Arial" w:hAnsi="Arial" w:cs="Arial"/>
                <w:b/>
                <w:bCs/>
                <w:sz w:val="16"/>
                <w:szCs w:val="16"/>
              </w:rPr>
              <w:t>1.544</w:t>
            </w:r>
          </w:p>
        </w:tc>
        <w:tc>
          <w:tcPr>
            <w:tcW w:w="394" w:type="pct"/>
            <w:gridSpan w:val="2"/>
            <w:tcBorders>
              <w:top w:val="nil"/>
              <w:left w:val="nil"/>
              <w:bottom w:val="single" w:sz="4" w:space="0" w:color="auto"/>
              <w:right w:val="single" w:sz="4" w:space="0" w:color="auto"/>
            </w:tcBorders>
            <w:vAlign w:val="center"/>
            <w:hideMark/>
          </w:tcPr>
          <w:p w14:paraId="231BCEA1" w14:textId="77777777" w:rsidR="00033594" w:rsidRDefault="00033594">
            <w:pPr>
              <w:jc w:val="right"/>
              <w:rPr>
                <w:rFonts w:ascii="Arial" w:hAnsi="Arial" w:cs="Arial"/>
                <w:b/>
                <w:bCs/>
                <w:color w:val="000000"/>
                <w:sz w:val="16"/>
                <w:szCs w:val="16"/>
              </w:rPr>
            </w:pPr>
            <w:r>
              <w:rPr>
                <w:rFonts w:ascii="Arial" w:hAnsi="Arial" w:cs="Arial"/>
                <w:b/>
                <w:bCs/>
                <w:sz w:val="16"/>
                <w:szCs w:val="16"/>
              </w:rPr>
              <w:t>3.971</w:t>
            </w:r>
          </w:p>
        </w:tc>
        <w:tc>
          <w:tcPr>
            <w:tcW w:w="389" w:type="pct"/>
            <w:gridSpan w:val="2"/>
            <w:tcBorders>
              <w:top w:val="nil"/>
              <w:left w:val="nil"/>
              <w:bottom w:val="single" w:sz="4" w:space="0" w:color="auto"/>
              <w:right w:val="single" w:sz="4" w:space="0" w:color="auto"/>
            </w:tcBorders>
            <w:vAlign w:val="center"/>
            <w:hideMark/>
          </w:tcPr>
          <w:p w14:paraId="7CD2AF95"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9" w:type="pct"/>
            <w:gridSpan w:val="2"/>
            <w:tcBorders>
              <w:top w:val="nil"/>
              <w:left w:val="nil"/>
              <w:bottom w:val="single" w:sz="4" w:space="0" w:color="auto"/>
              <w:right w:val="single" w:sz="4" w:space="0" w:color="auto"/>
            </w:tcBorders>
            <w:vAlign w:val="center"/>
            <w:hideMark/>
          </w:tcPr>
          <w:p w14:paraId="39A6D0B4"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63" w:type="pct"/>
            <w:gridSpan w:val="2"/>
            <w:tcBorders>
              <w:top w:val="nil"/>
              <w:left w:val="nil"/>
              <w:bottom w:val="single" w:sz="4" w:space="0" w:color="auto"/>
              <w:right w:val="single" w:sz="4" w:space="0" w:color="auto"/>
            </w:tcBorders>
            <w:vAlign w:val="center"/>
            <w:hideMark/>
          </w:tcPr>
          <w:p w14:paraId="4FA160AE" w14:textId="77777777" w:rsidR="00033594" w:rsidRDefault="00033594">
            <w:pPr>
              <w:jc w:val="center"/>
              <w:rPr>
                <w:rFonts w:ascii="Arial" w:hAnsi="Arial" w:cs="Arial"/>
                <w:b/>
                <w:bCs/>
                <w:color w:val="000000"/>
                <w:sz w:val="16"/>
                <w:szCs w:val="16"/>
              </w:rPr>
            </w:pPr>
            <w:r>
              <w:rPr>
                <w:rFonts w:ascii="Arial" w:hAnsi="Arial" w:cs="Arial"/>
                <w:b/>
                <w:bCs/>
                <w:sz w:val="16"/>
                <w:szCs w:val="16"/>
              </w:rPr>
              <w:t>16%</w:t>
            </w:r>
          </w:p>
        </w:tc>
        <w:tc>
          <w:tcPr>
            <w:tcW w:w="334" w:type="pct"/>
            <w:tcBorders>
              <w:top w:val="nil"/>
              <w:left w:val="nil"/>
              <w:bottom w:val="single" w:sz="4" w:space="0" w:color="auto"/>
              <w:right w:val="single" w:sz="4" w:space="0" w:color="auto"/>
            </w:tcBorders>
            <w:vAlign w:val="center"/>
            <w:hideMark/>
          </w:tcPr>
          <w:p w14:paraId="7D06E480" w14:textId="77777777" w:rsidR="00033594" w:rsidRDefault="00033594">
            <w:pPr>
              <w:jc w:val="center"/>
              <w:rPr>
                <w:rFonts w:ascii="Arial" w:hAnsi="Arial" w:cs="Arial"/>
                <w:b/>
                <w:bCs/>
                <w:color w:val="000000"/>
                <w:sz w:val="16"/>
                <w:szCs w:val="16"/>
              </w:rPr>
            </w:pPr>
            <w:r>
              <w:rPr>
                <w:rFonts w:ascii="Arial" w:hAnsi="Arial" w:cs="Arial"/>
                <w:b/>
                <w:bCs/>
                <w:sz w:val="16"/>
                <w:szCs w:val="16"/>
              </w:rPr>
              <w:t>41%</w:t>
            </w:r>
          </w:p>
        </w:tc>
        <w:tc>
          <w:tcPr>
            <w:tcW w:w="389" w:type="pct"/>
            <w:tcBorders>
              <w:top w:val="nil"/>
              <w:left w:val="nil"/>
              <w:bottom w:val="single" w:sz="4" w:space="0" w:color="auto"/>
              <w:right w:val="single" w:sz="4" w:space="0" w:color="auto"/>
            </w:tcBorders>
            <w:vAlign w:val="center"/>
            <w:hideMark/>
          </w:tcPr>
          <w:p w14:paraId="0C78F4EB"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vAlign w:val="center"/>
            <w:hideMark/>
          </w:tcPr>
          <w:p w14:paraId="17589CF0"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r>
      <w:tr w:rsidR="00E84C6B" w14:paraId="648CBB5C"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586FADB2" w14:textId="77777777" w:rsidR="00033594" w:rsidRDefault="00033594">
            <w:pPr>
              <w:rPr>
                <w:rFonts w:ascii="Arial" w:hAnsi="Arial" w:cs="Arial"/>
                <w:color w:val="000000"/>
                <w:sz w:val="16"/>
                <w:szCs w:val="16"/>
              </w:rPr>
            </w:pPr>
            <w:r>
              <w:rPr>
                <w:rFonts w:ascii="Arial" w:hAnsi="Arial" w:cs="Arial"/>
                <w:sz w:val="16"/>
                <w:szCs w:val="16"/>
              </w:rPr>
              <w:t>Derechos Económicos Contratos E&amp;P Canon</w:t>
            </w:r>
          </w:p>
        </w:tc>
        <w:tc>
          <w:tcPr>
            <w:tcW w:w="394" w:type="pct"/>
            <w:gridSpan w:val="2"/>
            <w:tcBorders>
              <w:top w:val="nil"/>
              <w:left w:val="nil"/>
              <w:bottom w:val="single" w:sz="4" w:space="0" w:color="auto"/>
              <w:right w:val="single" w:sz="4" w:space="0" w:color="auto"/>
            </w:tcBorders>
            <w:noWrap/>
            <w:vAlign w:val="center"/>
            <w:hideMark/>
          </w:tcPr>
          <w:p w14:paraId="4F6773F5" w14:textId="77777777" w:rsidR="00033594" w:rsidRDefault="00033594">
            <w:pPr>
              <w:jc w:val="right"/>
              <w:rPr>
                <w:rFonts w:ascii="Arial" w:hAnsi="Arial" w:cs="Arial"/>
                <w:color w:val="000000"/>
                <w:sz w:val="16"/>
                <w:szCs w:val="16"/>
              </w:rPr>
            </w:pPr>
            <w:r>
              <w:rPr>
                <w:rFonts w:ascii="Arial" w:hAnsi="Arial" w:cs="Arial"/>
                <w:sz w:val="16"/>
                <w:szCs w:val="16"/>
              </w:rPr>
              <w:t>582</w:t>
            </w:r>
          </w:p>
        </w:tc>
        <w:tc>
          <w:tcPr>
            <w:tcW w:w="394" w:type="pct"/>
            <w:gridSpan w:val="2"/>
            <w:tcBorders>
              <w:top w:val="nil"/>
              <w:left w:val="nil"/>
              <w:bottom w:val="single" w:sz="4" w:space="0" w:color="auto"/>
              <w:right w:val="single" w:sz="4" w:space="0" w:color="auto"/>
            </w:tcBorders>
            <w:noWrap/>
            <w:vAlign w:val="center"/>
            <w:hideMark/>
          </w:tcPr>
          <w:p w14:paraId="4ED8663B" w14:textId="77777777" w:rsidR="00033594" w:rsidRDefault="00033594">
            <w:pPr>
              <w:jc w:val="right"/>
              <w:rPr>
                <w:rFonts w:ascii="Arial" w:hAnsi="Arial" w:cs="Arial"/>
                <w:color w:val="000000"/>
                <w:sz w:val="16"/>
                <w:szCs w:val="16"/>
              </w:rPr>
            </w:pPr>
            <w:r>
              <w:rPr>
                <w:rFonts w:ascii="Arial" w:hAnsi="Arial" w:cs="Arial"/>
                <w:sz w:val="16"/>
                <w:szCs w:val="16"/>
              </w:rPr>
              <w:t>1.175</w:t>
            </w:r>
          </w:p>
        </w:tc>
        <w:tc>
          <w:tcPr>
            <w:tcW w:w="389" w:type="pct"/>
            <w:gridSpan w:val="2"/>
            <w:tcBorders>
              <w:top w:val="nil"/>
              <w:left w:val="nil"/>
              <w:bottom w:val="single" w:sz="4" w:space="0" w:color="auto"/>
              <w:right w:val="single" w:sz="4" w:space="0" w:color="auto"/>
            </w:tcBorders>
            <w:noWrap/>
            <w:vAlign w:val="center"/>
            <w:hideMark/>
          </w:tcPr>
          <w:p w14:paraId="5ED6B24F"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6D836879"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654BD9C0" w14:textId="77777777" w:rsidR="00033594" w:rsidRDefault="00033594">
            <w:pPr>
              <w:jc w:val="center"/>
              <w:rPr>
                <w:rFonts w:ascii="Arial" w:hAnsi="Arial" w:cs="Arial"/>
                <w:color w:val="000000"/>
                <w:sz w:val="16"/>
                <w:szCs w:val="16"/>
              </w:rPr>
            </w:pPr>
            <w:r>
              <w:rPr>
                <w:rFonts w:ascii="Arial" w:hAnsi="Arial" w:cs="Arial"/>
                <w:sz w:val="16"/>
                <w:szCs w:val="16"/>
              </w:rPr>
              <w:t>6%</w:t>
            </w:r>
          </w:p>
        </w:tc>
        <w:tc>
          <w:tcPr>
            <w:tcW w:w="334" w:type="pct"/>
            <w:tcBorders>
              <w:top w:val="nil"/>
              <w:left w:val="nil"/>
              <w:bottom w:val="single" w:sz="4" w:space="0" w:color="auto"/>
              <w:right w:val="single" w:sz="4" w:space="0" w:color="auto"/>
            </w:tcBorders>
            <w:noWrap/>
            <w:vAlign w:val="center"/>
            <w:hideMark/>
          </w:tcPr>
          <w:p w14:paraId="29ED74E4" w14:textId="77777777" w:rsidR="00033594" w:rsidRDefault="00033594">
            <w:pPr>
              <w:jc w:val="center"/>
              <w:rPr>
                <w:rFonts w:ascii="Arial" w:hAnsi="Arial" w:cs="Arial"/>
                <w:color w:val="000000"/>
                <w:sz w:val="16"/>
                <w:szCs w:val="16"/>
              </w:rPr>
            </w:pPr>
            <w:r>
              <w:rPr>
                <w:rFonts w:ascii="Arial" w:hAnsi="Arial" w:cs="Arial"/>
                <w:sz w:val="16"/>
                <w:szCs w:val="16"/>
              </w:rPr>
              <w:t>12%</w:t>
            </w:r>
          </w:p>
        </w:tc>
        <w:tc>
          <w:tcPr>
            <w:tcW w:w="389" w:type="pct"/>
            <w:tcBorders>
              <w:top w:val="nil"/>
              <w:left w:val="nil"/>
              <w:bottom w:val="single" w:sz="4" w:space="0" w:color="auto"/>
              <w:right w:val="single" w:sz="4" w:space="0" w:color="auto"/>
            </w:tcBorders>
            <w:noWrap/>
            <w:vAlign w:val="center"/>
            <w:hideMark/>
          </w:tcPr>
          <w:p w14:paraId="15AA1603"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391B39FF"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042F280D"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05FC9C74" w14:textId="77777777" w:rsidR="00033594" w:rsidRDefault="00033594">
            <w:pPr>
              <w:rPr>
                <w:rFonts w:ascii="Arial" w:hAnsi="Arial" w:cs="Arial"/>
                <w:color w:val="000000"/>
                <w:sz w:val="16"/>
                <w:szCs w:val="16"/>
              </w:rPr>
            </w:pPr>
            <w:r>
              <w:rPr>
                <w:rFonts w:ascii="Arial" w:hAnsi="Arial" w:cs="Arial"/>
                <w:sz w:val="16"/>
                <w:szCs w:val="16"/>
              </w:rPr>
              <w:t>Derechos Económicos Contratos TEA</w:t>
            </w:r>
          </w:p>
        </w:tc>
        <w:tc>
          <w:tcPr>
            <w:tcW w:w="394" w:type="pct"/>
            <w:gridSpan w:val="2"/>
            <w:tcBorders>
              <w:top w:val="nil"/>
              <w:left w:val="nil"/>
              <w:bottom w:val="single" w:sz="4" w:space="0" w:color="auto"/>
              <w:right w:val="single" w:sz="4" w:space="0" w:color="auto"/>
            </w:tcBorders>
            <w:noWrap/>
            <w:vAlign w:val="center"/>
            <w:hideMark/>
          </w:tcPr>
          <w:p w14:paraId="470AD46C" w14:textId="77777777" w:rsidR="00033594" w:rsidRDefault="00033594">
            <w:pPr>
              <w:jc w:val="right"/>
              <w:rPr>
                <w:rFonts w:ascii="Arial" w:hAnsi="Arial" w:cs="Arial"/>
                <w:color w:val="000000"/>
                <w:sz w:val="16"/>
                <w:szCs w:val="16"/>
              </w:rPr>
            </w:pPr>
            <w:r>
              <w:rPr>
                <w:rFonts w:ascii="Arial" w:hAnsi="Arial" w:cs="Arial"/>
                <w:sz w:val="16"/>
                <w:szCs w:val="16"/>
              </w:rPr>
              <w:t>962</w:t>
            </w:r>
          </w:p>
        </w:tc>
        <w:tc>
          <w:tcPr>
            <w:tcW w:w="394" w:type="pct"/>
            <w:gridSpan w:val="2"/>
            <w:tcBorders>
              <w:top w:val="nil"/>
              <w:left w:val="nil"/>
              <w:bottom w:val="single" w:sz="4" w:space="0" w:color="auto"/>
              <w:right w:val="single" w:sz="4" w:space="0" w:color="auto"/>
            </w:tcBorders>
            <w:noWrap/>
            <w:vAlign w:val="center"/>
            <w:hideMark/>
          </w:tcPr>
          <w:p w14:paraId="05841B9D" w14:textId="77777777" w:rsidR="00033594" w:rsidRDefault="00033594">
            <w:pPr>
              <w:jc w:val="right"/>
              <w:rPr>
                <w:rFonts w:ascii="Arial" w:hAnsi="Arial" w:cs="Arial"/>
                <w:color w:val="000000"/>
                <w:sz w:val="16"/>
                <w:szCs w:val="16"/>
              </w:rPr>
            </w:pPr>
            <w:r>
              <w:rPr>
                <w:rFonts w:ascii="Arial" w:hAnsi="Arial" w:cs="Arial"/>
                <w:sz w:val="16"/>
                <w:szCs w:val="16"/>
              </w:rPr>
              <w:t>2.796</w:t>
            </w:r>
          </w:p>
        </w:tc>
        <w:tc>
          <w:tcPr>
            <w:tcW w:w="389" w:type="pct"/>
            <w:gridSpan w:val="2"/>
            <w:tcBorders>
              <w:top w:val="nil"/>
              <w:left w:val="nil"/>
              <w:bottom w:val="single" w:sz="4" w:space="0" w:color="auto"/>
              <w:right w:val="single" w:sz="4" w:space="0" w:color="auto"/>
            </w:tcBorders>
            <w:noWrap/>
            <w:vAlign w:val="center"/>
            <w:hideMark/>
          </w:tcPr>
          <w:p w14:paraId="38240A7C"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59B3169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46761C4F"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34" w:type="pct"/>
            <w:tcBorders>
              <w:top w:val="nil"/>
              <w:left w:val="nil"/>
              <w:bottom w:val="single" w:sz="4" w:space="0" w:color="auto"/>
              <w:right w:val="single" w:sz="4" w:space="0" w:color="auto"/>
            </w:tcBorders>
            <w:noWrap/>
            <w:vAlign w:val="center"/>
            <w:hideMark/>
          </w:tcPr>
          <w:p w14:paraId="3C28D5CC"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89" w:type="pct"/>
            <w:tcBorders>
              <w:top w:val="nil"/>
              <w:left w:val="nil"/>
              <w:bottom w:val="single" w:sz="4" w:space="0" w:color="auto"/>
              <w:right w:val="single" w:sz="4" w:space="0" w:color="auto"/>
            </w:tcBorders>
            <w:noWrap/>
            <w:vAlign w:val="center"/>
            <w:hideMark/>
          </w:tcPr>
          <w:p w14:paraId="059EB773"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34F05D11"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665709E7"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20202A28" w14:textId="77777777" w:rsidR="00033594" w:rsidRDefault="00033594">
            <w:pPr>
              <w:rPr>
                <w:rFonts w:ascii="Arial" w:hAnsi="Arial" w:cs="Arial"/>
                <w:b/>
                <w:bCs/>
                <w:color w:val="000000"/>
                <w:sz w:val="16"/>
                <w:szCs w:val="16"/>
              </w:rPr>
            </w:pPr>
            <w:r>
              <w:rPr>
                <w:rFonts w:ascii="Arial" w:hAnsi="Arial" w:cs="Arial"/>
                <w:b/>
                <w:bCs/>
                <w:sz w:val="16"/>
                <w:szCs w:val="16"/>
              </w:rPr>
              <w:t>USO DEL SUBSUELO EN EXPLOTACIÓN</w:t>
            </w:r>
          </w:p>
        </w:tc>
        <w:tc>
          <w:tcPr>
            <w:tcW w:w="394" w:type="pct"/>
            <w:gridSpan w:val="2"/>
            <w:tcBorders>
              <w:top w:val="nil"/>
              <w:left w:val="nil"/>
              <w:bottom w:val="single" w:sz="4" w:space="0" w:color="auto"/>
              <w:right w:val="single" w:sz="4" w:space="0" w:color="auto"/>
            </w:tcBorders>
            <w:noWrap/>
            <w:vAlign w:val="center"/>
            <w:hideMark/>
          </w:tcPr>
          <w:p w14:paraId="0CFDF330" w14:textId="77777777" w:rsidR="00033594" w:rsidRDefault="00033594">
            <w:pPr>
              <w:jc w:val="right"/>
              <w:rPr>
                <w:rFonts w:ascii="Arial" w:hAnsi="Arial" w:cs="Arial"/>
                <w:b/>
                <w:bCs/>
                <w:color w:val="000000"/>
                <w:sz w:val="16"/>
                <w:szCs w:val="16"/>
              </w:rPr>
            </w:pPr>
            <w:r>
              <w:rPr>
                <w:rFonts w:ascii="Arial" w:hAnsi="Arial" w:cs="Arial"/>
                <w:b/>
                <w:bCs/>
                <w:sz w:val="16"/>
                <w:szCs w:val="16"/>
              </w:rPr>
              <w:t>357</w:t>
            </w:r>
          </w:p>
        </w:tc>
        <w:tc>
          <w:tcPr>
            <w:tcW w:w="394" w:type="pct"/>
            <w:gridSpan w:val="2"/>
            <w:tcBorders>
              <w:top w:val="nil"/>
              <w:left w:val="nil"/>
              <w:bottom w:val="single" w:sz="4" w:space="0" w:color="auto"/>
              <w:right w:val="single" w:sz="4" w:space="0" w:color="auto"/>
            </w:tcBorders>
            <w:noWrap/>
            <w:vAlign w:val="center"/>
            <w:hideMark/>
          </w:tcPr>
          <w:p w14:paraId="056723D3" w14:textId="77777777" w:rsidR="00033594" w:rsidRDefault="00033594">
            <w:pPr>
              <w:jc w:val="right"/>
              <w:rPr>
                <w:rFonts w:ascii="Arial" w:hAnsi="Arial" w:cs="Arial"/>
                <w:b/>
                <w:bCs/>
                <w:color w:val="000000"/>
                <w:sz w:val="16"/>
                <w:szCs w:val="16"/>
              </w:rPr>
            </w:pPr>
            <w:r>
              <w:rPr>
                <w:rFonts w:ascii="Arial" w:hAnsi="Arial" w:cs="Arial"/>
                <w:b/>
                <w:bCs/>
                <w:sz w:val="16"/>
                <w:szCs w:val="16"/>
              </w:rPr>
              <w:t>12.157</w:t>
            </w:r>
          </w:p>
        </w:tc>
        <w:tc>
          <w:tcPr>
            <w:tcW w:w="389" w:type="pct"/>
            <w:gridSpan w:val="2"/>
            <w:tcBorders>
              <w:top w:val="nil"/>
              <w:left w:val="nil"/>
              <w:bottom w:val="single" w:sz="4" w:space="0" w:color="auto"/>
              <w:right w:val="single" w:sz="4" w:space="0" w:color="auto"/>
            </w:tcBorders>
            <w:noWrap/>
            <w:vAlign w:val="center"/>
            <w:hideMark/>
          </w:tcPr>
          <w:p w14:paraId="60D60FA5"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0F231D69"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63" w:type="pct"/>
            <w:gridSpan w:val="2"/>
            <w:tcBorders>
              <w:top w:val="nil"/>
              <w:left w:val="nil"/>
              <w:bottom w:val="single" w:sz="4" w:space="0" w:color="auto"/>
              <w:right w:val="single" w:sz="4" w:space="0" w:color="auto"/>
            </w:tcBorders>
            <w:vAlign w:val="center"/>
            <w:hideMark/>
          </w:tcPr>
          <w:p w14:paraId="512C1145" w14:textId="77777777" w:rsidR="00033594" w:rsidRDefault="00033594">
            <w:pPr>
              <w:jc w:val="center"/>
              <w:rPr>
                <w:rFonts w:ascii="Arial" w:hAnsi="Arial" w:cs="Arial"/>
                <w:b/>
                <w:bCs/>
                <w:color w:val="000000"/>
                <w:sz w:val="16"/>
                <w:szCs w:val="16"/>
              </w:rPr>
            </w:pPr>
            <w:r>
              <w:rPr>
                <w:rFonts w:ascii="Arial" w:hAnsi="Arial" w:cs="Arial"/>
                <w:b/>
                <w:bCs/>
                <w:sz w:val="16"/>
                <w:szCs w:val="16"/>
              </w:rPr>
              <w:t>2%</w:t>
            </w:r>
          </w:p>
        </w:tc>
        <w:tc>
          <w:tcPr>
            <w:tcW w:w="334" w:type="pct"/>
            <w:tcBorders>
              <w:top w:val="nil"/>
              <w:left w:val="nil"/>
              <w:bottom w:val="single" w:sz="4" w:space="0" w:color="auto"/>
              <w:right w:val="single" w:sz="4" w:space="0" w:color="auto"/>
            </w:tcBorders>
            <w:vAlign w:val="center"/>
            <w:hideMark/>
          </w:tcPr>
          <w:p w14:paraId="229F72E3" w14:textId="77777777" w:rsidR="00033594" w:rsidRDefault="00033594">
            <w:pPr>
              <w:jc w:val="center"/>
              <w:rPr>
                <w:rFonts w:ascii="Arial" w:hAnsi="Arial" w:cs="Arial"/>
                <w:b/>
                <w:bCs/>
                <w:color w:val="000000"/>
                <w:sz w:val="16"/>
                <w:szCs w:val="16"/>
              </w:rPr>
            </w:pPr>
            <w:r>
              <w:rPr>
                <w:rFonts w:ascii="Arial" w:hAnsi="Arial" w:cs="Arial"/>
                <w:b/>
                <w:bCs/>
                <w:sz w:val="16"/>
                <w:szCs w:val="16"/>
              </w:rPr>
              <w:t>68%</w:t>
            </w:r>
          </w:p>
        </w:tc>
        <w:tc>
          <w:tcPr>
            <w:tcW w:w="389" w:type="pct"/>
            <w:tcBorders>
              <w:top w:val="nil"/>
              <w:left w:val="nil"/>
              <w:bottom w:val="single" w:sz="4" w:space="0" w:color="auto"/>
              <w:right w:val="single" w:sz="4" w:space="0" w:color="auto"/>
            </w:tcBorders>
            <w:vAlign w:val="center"/>
            <w:hideMark/>
          </w:tcPr>
          <w:p w14:paraId="5A073ABE"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vAlign w:val="center"/>
            <w:hideMark/>
          </w:tcPr>
          <w:p w14:paraId="6265616A"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r>
      <w:tr w:rsidR="00E84C6B" w14:paraId="682AE1B2"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3423E06D" w14:textId="77777777" w:rsidR="00033594" w:rsidRDefault="00033594">
            <w:pPr>
              <w:rPr>
                <w:rFonts w:ascii="Arial" w:hAnsi="Arial" w:cs="Arial"/>
                <w:color w:val="000000"/>
                <w:sz w:val="16"/>
                <w:szCs w:val="16"/>
              </w:rPr>
            </w:pPr>
            <w:r>
              <w:rPr>
                <w:rFonts w:ascii="Arial" w:hAnsi="Arial" w:cs="Arial"/>
                <w:sz w:val="16"/>
                <w:szCs w:val="16"/>
              </w:rPr>
              <w:t>Derechos Económicos Contratos E&amp;P Producción</w:t>
            </w:r>
          </w:p>
        </w:tc>
        <w:tc>
          <w:tcPr>
            <w:tcW w:w="394" w:type="pct"/>
            <w:gridSpan w:val="2"/>
            <w:tcBorders>
              <w:top w:val="nil"/>
              <w:left w:val="nil"/>
              <w:bottom w:val="single" w:sz="4" w:space="0" w:color="auto"/>
              <w:right w:val="single" w:sz="4" w:space="0" w:color="auto"/>
            </w:tcBorders>
            <w:noWrap/>
            <w:vAlign w:val="center"/>
            <w:hideMark/>
          </w:tcPr>
          <w:p w14:paraId="5F657296" w14:textId="77777777" w:rsidR="00033594" w:rsidRDefault="00033594">
            <w:pPr>
              <w:jc w:val="right"/>
              <w:rPr>
                <w:rFonts w:ascii="Arial" w:hAnsi="Arial" w:cs="Arial"/>
                <w:color w:val="000000"/>
                <w:sz w:val="16"/>
                <w:szCs w:val="16"/>
              </w:rPr>
            </w:pPr>
            <w:r>
              <w:rPr>
                <w:rFonts w:ascii="Arial" w:hAnsi="Arial" w:cs="Arial"/>
                <w:sz w:val="16"/>
                <w:szCs w:val="16"/>
              </w:rPr>
              <w:t>357</w:t>
            </w:r>
          </w:p>
        </w:tc>
        <w:tc>
          <w:tcPr>
            <w:tcW w:w="394" w:type="pct"/>
            <w:gridSpan w:val="2"/>
            <w:tcBorders>
              <w:top w:val="nil"/>
              <w:left w:val="nil"/>
              <w:bottom w:val="single" w:sz="4" w:space="0" w:color="auto"/>
              <w:right w:val="single" w:sz="4" w:space="0" w:color="auto"/>
            </w:tcBorders>
            <w:noWrap/>
            <w:vAlign w:val="center"/>
            <w:hideMark/>
          </w:tcPr>
          <w:p w14:paraId="51E9DF26" w14:textId="77777777" w:rsidR="00033594" w:rsidRDefault="00033594">
            <w:pPr>
              <w:jc w:val="right"/>
              <w:rPr>
                <w:rFonts w:ascii="Arial" w:hAnsi="Arial" w:cs="Arial"/>
                <w:color w:val="000000"/>
                <w:sz w:val="16"/>
                <w:szCs w:val="16"/>
              </w:rPr>
            </w:pPr>
            <w:r>
              <w:rPr>
                <w:rFonts w:ascii="Arial" w:hAnsi="Arial" w:cs="Arial"/>
                <w:sz w:val="16"/>
                <w:szCs w:val="16"/>
              </w:rPr>
              <w:t>12.157</w:t>
            </w:r>
          </w:p>
        </w:tc>
        <w:tc>
          <w:tcPr>
            <w:tcW w:w="389" w:type="pct"/>
            <w:gridSpan w:val="2"/>
            <w:tcBorders>
              <w:top w:val="nil"/>
              <w:left w:val="nil"/>
              <w:bottom w:val="single" w:sz="4" w:space="0" w:color="auto"/>
              <w:right w:val="single" w:sz="4" w:space="0" w:color="auto"/>
            </w:tcBorders>
            <w:noWrap/>
            <w:vAlign w:val="center"/>
            <w:hideMark/>
          </w:tcPr>
          <w:p w14:paraId="14229BE9"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0EC3EAB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0D109413" w14:textId="77777777" w:rsidR="00033594" w:rsidRDefault="00033594">
            <w:pPr>
              <w:jc w:val="center"/>
              <w:rPr>
                <w:rFonts w:ascii="Arial" w:hAnsi="Arial" w:cs="Arial"/>
                <w:color w:val="000000"/>
                <w:sz w:val="16"/>
                <w:szCs w:val="16"/>
              </w:rPr>
            </w:pPr>
            <w:r>
              <w:rPr>
                <w:rFonts w:ascii="Arial" w:hAnsi="Arial" w:cs="Arial"/>
                <w:sz w:val="16"/>
                <w:szCs w:val="16"/>
              </w:rPr>
              <w:t>2%</w:t>
            </w:r>
          </w:p>
        </w:tc>
        <w:tc>
          <w:tcPr>
            <w:tcW w:w="334" w:type="pct"/>
            <w:tcBorders>
              <w:top w:val="nil"/>
              <w:left w:val="nil"/>
              <w:bottom w:val="single" w:sz="4" w:space="0" w:color="auto"/>
              <w:right w:val="single" w:sz="4" w:space="0" w:color="auto"/>
            </w:tcBorders>
            <w:noWrap/>
            <w:vAlign w:val="center"/>
            <w:hideMark/>
          </w:tcPr>
          <w:p w14:paraId="500D60B6" w14:textId="77777777" w:rsidR="00033594" w:rsidRDefault="00033594">
            <w:pPr>
              <w:jc w:val="center"/>
              <w:rPr>
                <w:rFonts w:ascii="Arial" w:hAnsi="Arial" w:cs="Arial"/>
                <w:color w:val="000000"/>
                <w:sz w:val="16"/>
                <w:szCs w:val="16"/>
              </w:rPr>
            </w:pPr>
            <w:r>
              <w:rPr>
                <w:rFonts w:ascii="Arial" w:hAnsi="Arial" w:cs="Arial"/>
                <w:sz w:val="16"/>
                <w:szCs w:val="16"/>
              </w:rPr>
              <w:t>68%</w:t>
            </w:r>
          </w:p>
        </w:tc>
        <w:tc>
          <w:tcPr>
            <w:tcW w:w="389" w:type="pct"/>
            <w:tcBorders>
              <w:top w:val="nil"/>
              <w:left w:val="nil"/>
              <w:bottom w:val="single" w:sz="4" w:space="0" w:color="auto"/>
              <w:right w:val="single" w:sz="4" w:space="0" w:color="auto"/>
            </w:tcBorders>
            <w:noWrap/>
            <w:vAlign w:val="center"/>
            <w:hideMark/>
          </w:tcPr>
          <w:p w14:paraId="2C440EB8"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49F57233"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59C3E1D8"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50215B54" w14:textId="77777777" w:rsidR="00033594" w:rsidRDefault="00033594">
            <w:pPr>
              <w:rPr>
                <w:rFonts w:ascii="Arial" w:hAnsi="Arial" w:cs="Arial"/>
                <w:b/>
                <w:bCs/>
                <w:color w:val="000000"/>
                <w:sz w:val="16"/>
                <w:szCs w:val="16"/>
              </w:rPr>
            </w:pPr>
            <w:r>
              <w:rPr>
                <w:rFonts w:ascii="Arial" w:hAnsi="Arial" w:cs="Arial"/>
                <w:b/>
                <w:bCs/>
                <w:sz w:val="16"/>
                <w:szCs w:val="16"/>
              </w:rPr>
              <w:t>OTROS DERECHOS ECONOMICOS</w:t>
            </w:r>
          </w:p>
        </w:tc>
        <w:tc>
          <w:tcPr>
            <w:tcW w:w="394" w:type="pct"/>
            <w:gridSpan w:val="2"/>
            <w:tcBorders>
              <w:top w:val="nil"/>
              <w:left w:val="nil"/>
              <w:bottom w:val="single" w:sz="4" w:space="0" w:color="auto"/>
              <w:right w:val="single" w:sz="4" w:space="0" w:color="auto"/>
            </w:tcBorders>
            <w:noWrap/>
            <w:vAlign w:val="center"/>
            <w:hideMark/>
          </w:tcPr>
          <w:p w14:paraId="2AB99469" w14:textId="77777777" w:rsidR="00033594" w:rsidRDefault="00033594">
            <w:pPr>
              <w:jc w:val="right"/>
              <w:rPr>
                <w:rFonts w:ascii="Arial" w:hAnsi="Arial" w:cs="Arial"/>
                <w:b/>
                <w:bCs/>
                <w:color w:val="000000"/>
                <w:sz w:val="16"/>
                <w:szCs w:val="16"/>
              </w:rPr>
            </w:pPr>
            <w:r>
              <w:rPr>
                <w:rFonts w:ascii="Arial" w:hAnsi="Arial" w:cs="Arial"/>
                <w:b/>
                <w:bCs/>
                <w:sz w:val="16"/>
                <w:szCs w:val="16"/>
              </w:rPr>
              <w:t>183.258</w:t>
            </w:r>
          </w:p>
        </w:tc>
        <w:tc>
          <w:tcPr>
            <w:tcW w:w="394" w:type="pct"/>
            <w:gridSpan w:val="2"/>
            <w:tcBorders>
              <w:top w:val="nil"/>
              <w:left w:val="nil"/>
              <w:bottom w:val="single" w:sz="4" w:space="0" w:color="auto"/>
              <w:right w:val="single" w:sz="4" w:space="0" w:color="auto"/>
            </w:tcBorders>
            <w:noWrap/>
            <w:vAlign w:val="center"/>
            <w:hideMark/>
          </w:tcPr>
          <w:p w14:paraId="2C7F5364" w14:textId="77777777" w:rsidR="00033594" w:rsidRDefault="00033594">
            <w:pPr>
              <w:jc w:val="right"/>
              <w:rPr>
                <w:rFonts w:ascii="Arial" w:hAnsi="Arial" w:cs="Arial"/>
                <w:b/>
                <w:bCs/>
                <w:color w:val="000000"/>
                <w:sz w:val="16"/>
                <w:szCs w:val="16"/>
              </w:rPr>
            </w:pPr>
            <w:r>
              <w:rPr>
                <w:rFonts w:ascii="Arial" w:hAnsi="Arial" w:cs="Arial"/>
                <w:b/>
                <w:bCs/>
                <w:sz w:val="16"/>
                <w:szCs w:val="16"/>
              </w:rPr>
              <w:t>413.127</w:t>
            </w:r>
          </w:p>
        </w:tc>
        <w:tc>
          <w:tcPr>
            <w:tcW w:w="389" w:type="pct"/>
            <w:gridSpan w:val="2"/>
            <w:tcBorders>
              <w:top w:val="nil"/>
              <w:left w:val="nil"/>
              <w:bottom w:val="single" w:sz="4" w:space="0" w:color="auto"/>
              <w:right w:val="single" w:sz="4" w:space="0" w:color="auto"/>
            </w:tcBorders>
            <w:noWrap/>
            <w:vAlign w:val="center"/>
            <w:hideMark/>
          </w:tcPr>
          <w:p w14:paraId="2BAEF59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7210D95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0B6F4BAF" w14:textId="77777777" w:rsidR="00033594" w:rsidRDefault="00033594">
            <w:pPr>
              <w:jc w:val="center"/>
              <w:rPr>
                <w:rFonts w:ascii="Arial" w:hAnsi="Arial" w:cs="Arial"/>
                <w:b/>
                <w:bCs/>
                <w:color w:val="000000"/>
                <w:sz w:val="16"/>
                <w:szCs w:val="16"/>
              </w:rPr>
            </w:pPr>
            <w:r>
              <w:rPr>
                <w:rFonts w:ascii="Arial" w:hAnsi="Arial" w:cs="Arial"/>
                <w:b/>
                <w:bCs/>
                <w:sz w:val="16"/>
                <w:szCs w:val="16"/>
              </w:rPr>
              <w:t>115%</w:t>
            </w:r>
          </w:p>
        </w:tc>
        <w:tc>
          <w:tcPr>
            <w:tcW w:w="334" w:type="pct"/>
            <w:tcBorders>
              <w:top w:val="nil"/>
              <w:left w:val="nil"/>
              <w:bottom w:val="single" w:sz="4" w:space="0" w:color="auto"/>
              <w:right w:val="single" w:sz="4" w:space="0" w:color="auto"/>
            </w:tcBorders>
            <w:noWrap/>
            <w:vAlign w:val="center"/>
            <w:hideMark/>
          </w:tcPr>
          <w:p w14:paraId="47B720F6" w14:textId="77777777" w:rsidR="00033594" w:rsidRDefault="00033594">
            <w:pPr>
              <w:jc w:val="center"/>
              <w:rPr>
                <w:rFonts w:ascii="Arial" w:hAnsi="Arial" w:cs="Arial"/>
                <w:b/>
                <w:bCs/>
                <w:color w:val="000000"/>
                <w:sz w:val="16"/>
                <w:szCs w:val="16"/>
              </w:rPr>
            </w:pPr>
            <w:r>
              <w:rPr>
                <w:rFonts w:ascii="Arial" w:hAnsi="Arial" w:cs="Arial"/>
                <w:b/>
                <w:bCs/>
                <w:sz w:val="16"/>
                <w:szCs w:val="16"/>
              </w:rPr>
              <w:t>259%</w:t>
            </w:r>
          </w:p>
        </w:tc>
        <w:tc>
          <w:tcPr>
            <w:tcW w:w="389" w:type="pct"/>
            <w:tcBorders>
              <w:top w:val="nil"/>
              <w:left w:val="nil"/>
              <w:bottom w:val="single" w:sz="4" w:space="0" w:color="auto"/>
              <w:right w:val="single" w:sz="4" w:space="0" w:color="auto"/>
            </w:tcBorders>
            <w:noWrap/>
            <w:vAlign w:val="center"/>
            <w:hideMark/>
          </w:tcPr>
          <w:p w14:paraId="57785389"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noWrap/>
            <w:vAlign w:val="center"/>
            <w:hideMark/>
          </w:tcPr>
          <w:p w14:paraId="3E298443"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r>
      <w:tr w:rsidR="00E84C6B" w14:paraId="18FE30BD"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4ABBFDB3" w14:textId="77777777" w:rsidR="00033594" w:rsidRDefault="00033594">
            <w:pPr>
              <w:rPr>
                <w:rFonts w:ascii="Arial" w:hAnsi="Arial" w:cs="Arial"/>
                <w:color w:val="000000"/>
                <w:sz w:val="16"/>
                <w:szCs w:val="16"/>
              </w:rPr>
            </w:pPr>
            <w:r>
              <w:rPr>
                <w:rFonts w:ascii="Arial" w:hAnsi="Arial" w:cs="Arial"/>
                <w:sz w:val="16"/>
                <w:szCs w:val="16"/>
              </w:rPr>
              <w:t>Derechos Económicos Campo Tello</w:t>
            </w:r>
          </w:p>
        </w:tc>
        <w:tc>
          <w:tcPr>
            <w:tcW w:w="394" w:type="pct"/>
            <w:gridSpan w:val="2"/>
            <w:tcBorders>
              <w:top w:val="nil"/>
              <w:left w:val="nil"/>
              <w:bottom w:val="single" w:sz="4" w:space="0" w:color="auto"/>
              <w:right w:val="single" w:sz="4" w:space="0" w:color="auto"/>
            </w:tcBorders>
            <w:noWrap/>
            <w:vAlign w:val="center"/>
            <w:hideMark/>
          </w:tcPr>
          <w:p w14:paraId="29009AE3" w14:textId="77777777" w:rsidR="00033594" w:rsidRDefault="00033594">
            <w:pPr>
              <w:jc w:val="right"/>
              <w:rPr>
                <w:rFonts w:ascii="Arial" w:hAnsi="Arial" w:cs="Arial"/>
                <w:color w:val="000000"/>
                <w:sz w:val="16"/>
                <w:szCs w:val="16"/>
              </w:rPr>
            </w:pPr>
            <w:r>
              <w:rPr>
                <w:rFonts w:ascii="Arial" w:hAnsi="Arial" w:cs="Arial"/>
                <w:sz w:val="16"/>
                <w:szCs w:val="16"/>
              </w:rPr>
              <w:t>18.188</w:t>
            </w:r>
          </w:p>
        </w:tc>
        <w:tc>
          <w:tcPr>
            <w:tcW w:w="394" w:type="pct"/>
            <w:gridSpan w:val="2"/>
            <w:tcBorders>
              <w:top w:val="nil"/>
              <w:left w:val="nil"/>
              <w:bottom w:val="single" w:sz="4" w:space="0" w:color="auto"/>
              <w:right w:val="single" w:sz="4" w:space="0" w:color="auto"/>
            </w:tcBorders>
            <w:noWrap/>
            <w:vAlign w:val="center"/>
            <w:hideMark/>
          </w:tcPr>
          <w:p w14:paraId="1742CEA9" w14:textId="77777777" w:rsidR="00033594" w:rsidRDefault="00033594">
            <w:pPr>
              <w:jc w:val="right"/>
              <w:rPr>
                <w:rFonts w:ascii="Arial" w:hAnsi="Arial" w:cs="Arial"/>
                <w:color w:val="000000"/>
                <w:sz w:val="16"/>
                <w:szCs w:val="16"/>
              </w:rPr>
            </w:pPr>
            <w:r>
              <w:rPr>
                <w:rFonts w:ascii="Arial" w:hAnsi="Arial" w:cs="Arial"/>
                <w:sz w:val="16"/>
                <w:szCs w:val="16"/>
              </w:rPr>
              <w:t>43.400</w:t>
            </w:r>
          </w:p>
        </w:tc>
        <w:tc>
          <w:tcPr>
            <w:tcW w:w="389" w:type="pct"/>
            <w:gridSpan w:val="2"/>
            <w:tcBorders>
              <w:top w:val="nil"/>
              <w:left w:val="nil"/>
              <w:bottom w:val="single" w:sz="4" w:space="0" w:color="auto"/>
              <w:right w:val="single" w:sz="4" w:space="0" w:color="auto"/>
            </w:tcBorders>
            <w:noWrap/>
            <w:vAlign w:val="center"/>
            <w:hideMark/>
          </w:tcPr>
          <w:p w14:paraId="78FED4DA"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6338968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0CF358BE" w14:textId="77777777" w:rsidR="00033594" w:rsidRDefault="00033594">
            <w:pPr>
              <w:jc w:val="center"/>
              <w:rPr>
                <w:rFonts w:ascii="Arial" w:hAnsi="Arial" w:cs="Arial"/>
                <w:color w:val="000000"/>
                <w:sz w:val="16"/>
                <w:szCs w:val="16"/>
              </w:rPr>
            </w:pPr>
            <w:r>
              <w:rPr>
                <w:rFonts w:ascii="Arial" w:hAnsi="Arial" w:cs="Arial"/>
                <w:sz w:val="16"/>
                <w:szCs w:val="16"/>
              </w:rPr>
              <w:t>64%</w:t>
            </w:r>
          </w:p>
        </w:tc>
        <w:tc>
          <w:tcPr>
            <w:tcW w:w="334" w:type="pct"/>
            <w:tcBorders>
              <w:top w:val="nil"/>
              <w:left w:val="nil"/>
              <w:bottom w:val="single" w:sz="4" w:space="0" w:color="auto"/>
              <w:right w:val="single" w:sz="4" w:space="0" w:color="auto"/>
            </w:tcBorders>
            <w:noWrap/>
            <w:vAlign w:val="center"/>
            <w:hideMark/>
          </w:tcPr>
          <w:p w14:paraId="6EA01E21" w14:textId="77777777" w:rsidR="00033594" w:rsidRDefault="00033594">
            <w:pPr>
              <w:jc w:val="center"/>
              <w:rPr>
                <w:rFonts w:ascii="Arial" w:hAnsi="Arial" w:cs="Arial"/>
                <w:color w:val="000000"/>
                <w:sz w:val="16"/>
                <w:szCs w:val="16"/>
              </w:rPr>
            </w:pPr>
            <w:r>
              <w:rPr>
                <w:rFonts w:ascii="Arial" w:hAnsi="Arial" w:cs="Arial"/>
                <w:sz w:val="16"/>
                <w:szCs w:val="16"/>
              </w:rPr>
              <w:t>153%</w:t>
            </w:r>
          </w:p>
        </w:tc>
        <w:tc>
          <w:tcPr>
            <w:tcW w:w="389" w:type="pct"/>
            <w:tcBorders>
              <w:top w:val="nil"/>
              <w:left w:val="nil"/>
              <w:bottom w:val="single" w:sz="4" w:space="0" w:color="auto"/>
              <w:right w:val="single" w:sz="4" w:space="0" w:color="auto"/>
            </w:tcBorders>
            <w:noWrap/>
            <w:vAlign w:val="center"/>
            <w:hideMark/>
          </w:tcPr>
          <w:p w14:paraId="0FB0BF2B"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0AA28CBF"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0C3FB2F4"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6AA082B9" w14:textId="77777777" w:rsidR="00033594" w:rsidRDefault="00033594">
            <w:pPr>
              <w:rPr>
                <w:rFonts w:ascii="Arial" w:hAnsi="Arial" w:cs="Arial"/>
                <w:color w:val="000000"/>
                <w:sz w:val="16"/>
                <w:szCs w:val="16"/>
              </w:rPr>
            </w:pPr>
            <w:r>
              <w:rPr>
                <w:rFonts w:ascii="Arial" w:hAnsi="Arial" w:cs="Arial"/>
                <w:sz w:val="16"/>
                <w:szCs w:val="16"/>
              </w:rPr>
              <w:t>Contratos E&amp;P Precios Altos</w:t>
            </w:r>
          </w:p>
        </w:tc>
        <w:tc>
          <w:tcPr>
            <w:tcW w:w="394" w:type="pct"/>
            <w:gridSpan w:val="2"/>
            <w:tcBorders>
              <w:top w:val="nil"/>
              <w:left w:val="nil"/>
              <w:bottom w:val="single" w:sz="4" w:space="0" w:color="auto"/>
              <w:right w:val="single" w:sz="4" w:space="0" w:color="auto"/>
            </w:tcBorders>
            <w:noWrap/>
            <w:vAlign w:val="center"/>
            <w:hideMark/>
          </w:tcPr>
          <w:p w14:paraId="2AC3D8A9" w14:textId="77777777" w:rsidR="00033594" w:rsidRDefault="00033594">
            <w:pPr>
              <w:jc w:val="right"/>
              <w:rPr>
                <w:rFonts w:ascii="Arial" w:hAnsi="Arial" w:cs="Arial"/>
                <w:color w:val="000000"/>
                <w:sz w:val="16"/>
                <w:szCs w:val="16"/>
              </w:rPr>
            </w:pPr>
            <w:r>
              <w:rPr>
                <w:rFonts w:ascii="Arial" w:hAnsi="Arial" w:cs="Arial"/>
                <w:sz w:val="16"/>
                <w:szCs w:val="16"/>
              </w:rPr>
              <w:t>124.850</w:t>
            </w:r>
          </w:p>
        </w:tc>
        <w:tc>
          <w:tcPr>
            <w:tcW w:w="394" w:type="pct"/>
            <w:gridSpan w:val="2"/>
            <w:tcBorders>
              <w:top w:val="nil"/>
              <w:left w:val="nil"/>
              <w:bottom w:val="single" w:sz="4" w:space="0" w:color="auto"/>
              <w:right w:val="single" w:sz="4" w:space="0" w:color="auto"/>
            </w:tcBorders>
            <w:noWrap/>
            <w:vAlign w:val="center"/>
            <w:hideMark/>
          </w:tcPr>
          <w:p w14:paraId="365BA2FD" w14:textId="77777777" w:rsidR="00033594" w:rsidRDefault="00033594">
            <w:pPr>
              <w:jc w:val="right"/>
              <w:rPr>
                <w:rFonts w:ascii="Arial" w:hAnsi="Arial" w:cs="Arial"/>
                <w:color w:val="000000"/>
                <w:sz w:val="16"/>
                <w:szCs w:val="16"/>
              </w:rPr>
            </w:pPr>
            <w:r>
              <w:rPr>
                <w:rFonts w:ascii="Arial" w:hAnsi="Arial" w:cs="Arial"/>
                <w:sz w:val="16"/>
                <w:szCs w:val="16"/>
              </w:rPr>
              <w:t>276.991</w:t>
            </w:r>
          </w:p>
        </w:tc>
        <w:tc>
          <w:tcPr>
            <w:tcW w:w="389" w:type="pct"/>
            <w:gridSpan w:val="2"/>
            <w:tcBorders>
              <w:top w:val="nil"/>
              <w:left w:val="nil"/>
              <w:bottom w:val="single" w:sz="4" w:space="0" w:color="auto"/>
              <w:right w:val="single" w:sz="4" w:space="0" w:color="auto"/>
            </w:tcBorders>
            <w:noWrap/>
            <w:vAlign w:val="center"/>
            <w:hideMark/>
          </w:tcPr>
          <w:p w14:paraId="74888458"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344A2C44"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1C90EFC4" w14:textId="77777777" w:rsidR="00033594" w:rsidRDefault="00033594">
            <w:pPr>
              <w:jc w:val="center"/>
              <w:rPr>
                <w:rFonts w:ascii="Arial" w:hAnsi="Arial" w:cs="Arial"/>
                <w:color w:val="000000"/>
                <w:sz w:val="16"/>
                <w:szCs w:val="16"/>
              </w:rPr>
            </w:pPr>
            <w:r>
              <w:rPr>
                <w:rFonts w:ascii="Arial" w:hAnsi="Arial" w:cs="Arial"/>
                <w:sz w:val="16"/>
                <w:szCs w:val="16"/>
              </w:rPr>
              <w:t>111%</w:t>
            </w:r>
          </w:p>
        </w:tc>
        <w:tc>
          <w:tcPr>
            <w:tcW w:w="334" w:type="pct"/>
            <w:tcBorders>
              <w:top w:val="nil"/>
              <w:left w:val="nil"/>
              <w:bottom w:val="single" w:sz="4" w:space="0" w:color="auto"/>
              <w:right w:val="single" w:sz="4" w:space="0" w:color="auto"/>
            </w:tcBorders>
            <w:noWrap/>
            <w:vAlign w:val="center"/>
            <w:hideMark/>
          </w:tcPr>
          <w:p w14:paraId="7F4AFB7B" w14:textId="77777777" w:rsidR="00033594" w:rsidRDefault="00033594">
            <w:pPr>
              <w:jc w:val="center"/>
              <w:rPr>
                <w:rFonts w:ascii="Arial" w:hAnsi="Arial" w:cs="Arial"/>
                <w:color w:val="000000"/>
                <w:sz w:val="16"/>
                <w:szCs w:val="16"/>
              </w:rPr>
            </w:pPr>
            <w:r>
              <w:rPr>
                <w:rFonts w:ascii="Arial" w:hAnsi="Arial" w:cs="Arial"/>
                <w:sz w:val="16"/>
                <w:szCs w:val="16"/>
              </w:rPr>
              <w:t>247%</w:t>
            </w:r>
          </w:p>
        </w:tc>
        <w:tc>
          <w:tcPr>
            <w:tcW w:w="389" w:type="pct"/>
            <w:tcBorders>
              <w:top w:val="nil"/>
              <w:left w:val="nil"/>
              <w:bottom w:val="single" w:sz="4" w:space="0" w:color="auto"/>
              <w:right w:val="single" w:sz="4" w:space="0" w:color="auto"/>
            </w:tcBorders>
            <w:noWrap/>
            <w:vAlign w:val="center"/>
            <w:hideMark/>
          </w:tcPr>
          <w:p w14:paraId="7A9E903F"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3010B6C0"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3013DD35"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02C0EDE5" w14:textId="77777777" w:rsidR="00033594" w:rsidRDefault="00033594">
            <w:pPr>
              <w:rPr>
                <w:rFonts w:ascii="Arial" w:hAnsi="Arial" w:cs="Arial"/>
                <w:color w:val="000000"/>
                <w:sz w:val="16"/>
                <w:szCs w:val="16"/>
              </w:rPr>
            </w:pPr>
            <w:r>
              <w:rPr>
                <w:rFonts w:ascii="Arial" w:hAnsi="Arial" w:cs="Arial"/>
                <w:sz w:val="16"/>
                <w:szCs w:val="16"/>
              </w:rPr>
              <w:t>Transferencias de Tecnología</w:t>
            </w:r>
          </w:p>
        </w:tc>
        <w:tc>
          <w:tcPr>
            <w:tcW w:w="394" w:type="pct"/>
            <w:gridSpan w:val="2"/>
            <w:tcBorders>
              <w:top w:val="nil"/>
              <w:left w:val="nil"/>
              <w:bottom w:val="single" w:sz="4" w:space="0" w:color="auto"/>
              <w:right w:val="single" w:sz="4" w:space="0" w:color="auto"/>
            </w:tcBorders>
            <w:noWrap/>
            <w:vAlign w:val="center"/>
            <w:hideMark/>
          </w:tcPr>
          <w:p w14:paraId="3E7326F5" w14:textId="77777777" w:rsidR="00033594" w:rsidRDefault="00033594">
            <w:pPr>
              <w:jc w:val="right"/>
              <w:rPr>
                <w:rFonts w:ascii="Arial" w:hAnsi="Arial" w:cs="Arial"/>
                <w:color w:val="000000"/>
                <w:sz w:val="16"/>
                <w:szCs w:val="16"/>
              </w:rPr>
            </w:pPr>
            <w:r>
              <w:rPr>
                <w:rFonts w:ascii="Arial" w:hAnsi="Arial" w:cs="Arial"/>
                <w:sz w:val="16"/>
                <w:szCs w:val="16"/>
              </w:rPr>
              <w:t>233</w:t>
            </w:r>
          </w:p>
        </w:tc>
        <w:tc>
          <w:tcPr>
            <w:tcW w:w="394" w:type="pct"/>
            <w:gridSpan w:val="2"/>
            <w:tcBorders>
              <w:top w:val="nil"/>
              <w:left w:val="nil"/>
              <w:bottom w:val="single" w:sz="4" w:space="0" w:color="auto"/>
              <w:right w:val="single" w:sz="4" w:space="0" w:color="auto"/>
            </w:tcBorders>
            <w:noWrap/>
            <w:vAlign w:val="center"/>
            <w:hideMark/>
          </w:tcPr>
          <w:p w14:paraId="62AA6AC2" w14:textId="77777777" w:rsidR="00033594" w:rsidRDefault="00033594">
            <w:pPr>
              <w:jc w:val="right"/>
              <w:rPr>
                <w:rFonts w:ascii="Arial" w:hAnsi="Arial" w:cs="Arial"/>
                <w:color w:val="000000"/>
                <w:sz w:val="16"/>
                <w:szCs w:val="16"/>
              </w:rPr>
            </w:pPr>
            <w:r>
              <w:rPr>
                <w:rFonts w:ascii="Arial" w:hAnsi="Arial" w:cs="Arial"/>
                <w:sz w:val="16"/>
                <w:szCs w:val="16"/>
              </w:rPr>
              <w:t>1.216</w:t>
            </w:r>
          </w:p>
        </w:tc>
        <w:tc>
          <w:tcPr>
            <w:tcW w:w="389" w:type="pct"/>
            <w:gridSpan w:val="2"/>
            <w:tcBorders>
              <w:top w:val="nil"/>
              <w:left w:val="nil"/>
              <w:bottom w:val="single" w:sz="4" w:space="0" w:color="auto"/>
              <w:right w:val="single" w:sz="4" w:space="0" w:color="auto"/>
            </w:tcBorders>
            <w:noWrap/>
            <w:vAlign w:val="center"/>
            <w:hideMark/>
          </w:tcPr>
          <w:p w14:paraId="3ECE7895"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11F4B96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7478A27D" w14:textId="77777777" w:rsidR="00033594" w:rsidRDefault="00033594">
            <w:pPr>
              <w:jc w:val="center"/>
              <w:rPr>
                <w:rFonts w:ascii="Arial" w:hAnsi="Arial" w:cs="Arial"/>
                <w:color w:val="000000"/>
                <w:sz w:val="16"/>
                <w:szCs w:val="16"/>
              </w:rPr>
            </w:pPr>
            <w:r>
              <w:rPr>
                <w:rFonts w:ascii="Arial" w:hAnsi="Arial" w:cs="Arial"/>
                <w:sz w:val="16"/>
                <w:szCs w:val="16"/>
              </w:rPr>
              <w:t>6%</w:t>
            </w:r>
          </w:p>
        </w:tc>
        <w:tc>
          <w:tcPr>
            <w:tcW w:w="334" w:type="pct"/>
            <w:tcBorders>
              <w:top w:val="nil"/>
              <w:left w:val="nil"/>
              <w:bottom w:val="single" w:sz="4" w:space="0" w:color="auto"/>
              <w:right w:val="single" w:sz="4" w:space="0" w:color="auto"/>
            </w:tcBorders>
            <w:noWrap/>
            <w:vAlign w:val="center"/>
            <w:hideMark/>
          </w:tcPr>
          <w:p w14:paraId="52FE96F6" w14:textId="77777777" w:rsidR="00033594" w:rsidRDefault="00033594">
            <w:pPr>
              <w:jc w:val="center"/>
              <w:rPr>
                <w:rFonts w:ascii="Arial" w:hAnsi="Arial" w:cs="Arial"/>
                <w:color w:val="000000"/>
                <w:sz w:val="16"/>
                <w:szCs w:val="16"/>
              </w:rPr>
            </w:pPr>
            <w:r>
              <w:rPr>
                <w:rFonts w:ascii="Arial" w:hAnsi="Arial" w:cs="Arial"/>
                <w:sz w:val="16"/>
                <w:szCs w:val="16"/>
              </w:rPr>
              <w:t>29%</w:t>
            </w:r>
          </w:p>
        </w:tc>
        <w:tc>
          <w:tcPr>
            <w:tcW w:w="389" w:type="pct"/>
            <w:tcBorders>
              <w:top w:val="nil"/>
              <w:left w:val="nil"/>
              <w:bottom w:val="single" w:sz="4" w:space="0" w:color="auto"/>
              <w:right w:val="single" w:sz="4" w:space="0" w:color="auto"/>
            </w:tcBorders>
            <w:noWrap/>
            <w:vAlign w:val="center"/>
            <w:hideMark/>
          </w:tcPr>
          <w:p w14:paraId="0BF23775"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6646400B"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3ED1B638" w14:textId="77777777" w:rsidTr="00E95757">
        <w:trPr>
          <w:trHeight w:val="241"/>
        </w:trPr>
        <w:tc>
          <w:tcPr>
            <w:tcW w:w="2022" w:type="pct"/>
            <w:gridSpan w:val="2"/>
            <w:tcBorders>
              <w:top w:val="nil"/>
              <w:left w:val="single" w:sz="4" w:space="0" w:color="auto"/>
              <w:bottom w:val="single" w:sz="4" w:space="0" w:color="auto"/>
              <w:right w:val="single" w:sz="4" w:space="0" w:color="auto"/>
            </w:tcBorders>
            <w:noWrap/>
            <w:vAlign w:val="center"/>
            <w:hideMark/>
          </w:tcPr>
          <w:p w14:paraId="051A13B9" w14:textId="77777777" w:rsidR="00033594" w:rsidRDefault="00033594">
            <w:pPr>
              <w:rPr>
                <w:rFonts w:ascii="Arial" w:hAnsi="Arial" w:cs="Arial"/>
                <w:color w:val="000000"/>
                <w:sz w:val="16"/>
                <w:szCs w:val="16"/>
              </w:rPr>
            </w:pPr>
            <w:r>
              <w:rPr>
                <w:rFonts w:ascii="Arial" w:hAnsi="Arial" w:cs="Arial"/>
                <w:sz w:val="16"/>
                <w:szCs w:val="16"/>
              </w:rPr>
              <w:lastRenderedPageBreak/>
              <w:t xml:space="preserve"> D.E. por % en la Producción</w:t>
            </w:r>
          </w:p>
        </w:tc>
        <w:tc>
          <w:tcPr>
            <w:tcW w:w="394" w:type="pct"/>
            <w:gridSpan w:val="2"/>
            <w:tcBorders>
              <w:top w:val="nil"/>
              <w:left w:val="nil"/>
              <w:bottom w:val="single" w:sz="4" w:space="0" w:color="auto"/>
              <w:right w:val="single" w:sz="4" w:space="0" w:color="auto"/>
            </w:tcBorders>
            <w:noWrap/>
            <w:vAlign w:val="center"/>
            <w:hideMark/>
          </w:tcPr>
          <w:p w14:paraId="54734F09" w14:textId="77777777" w:rsidR="00033594" w:rsidRDefault="00033594">
            <w:pPr>
              <w:jc w:val="right"/>
              <w:rPr>
                <w:rFonts w:ascii="Arial" w:hAnsi="Arial" w:cs="Arial"/>
                <w:color w:val="000000"/>
                <w:sz w:val="16"/>
                <w:szCs w:val="16"/>
              </w:rPr>
            </w:pPr>
            <w:r>
              <w:rPr>
                <w:rFonts w:ascii="Arial" w:hAnsi="Arial" w:cs="Arial"/>
                <w:sz w:val="16"/>
                <w:szCs w:val="16"/>
              </w:rPr>
              <w:t>39.987</w:t>
            </w:r>
          </w:p>
        </w:tc>
        <w:tc>
          <w:tcPr>
            <w:tcW w:w="394" w:type="pct"/>
            <w:gridSpan w:val="2"/>
            <w:tcBorders>
              <w:top w:val="nil"/>
              <w:left w:val="nil"/>
              <w:bottom w:val="single" w:sz="4" w:space="0" w:color="auto"/>
              <w:right w:val="single" w:sz="4" w:space="0" w:color="auto"/>
            </w:tcBorders>
            <w:noWrap/>
            <w:vAlign w:val="center"/>
            <w:hideMark/>
          </w:tcPr>
          <w:p w14:paraId="66ABFA43" w14:textId="77777777" w:rsidR="00033594" w:rsidRDefault="00033594">
            <w:pPr>
              <w:jc w:val="right"/>
              <w:rPr>
                <w:rFonts w:ascii="Arial" w:hAnsi="Arial" w:cs="Arial"/>
                <w:color w:val="000000"/>
                <w:sz w:val="16"/>
                <w:szCs w:val="16"/>
              </w:rPr>
            </w:pPr>
            <w:r>
              <w:rPr>
                <w:rFonts w:ascii="Arial" w:hAnsi="Arial" w:cs="Arial"/>
                <w:sz w:val="16"/>
                <w:szCs w:val="16"/>
              </w:rPr>
              <w:t>91.519</w:t>
            </w:r>
          </w:p>
        </w:tc>
        <w:tc>
          <w:tcPr>
            <w:tcW w:w="389" w:type="pct"/>
            <w:gridSpan w:val="2"/>
            <w:tcBorders>
              <w:top w:val="nil"/>
              <w:left w:val="nil"/>
              <w:bottom w:val="single" w:sz="4" w:space="0" w:color="auto"/>
              <w:right w:val="single" w:sz="4" w:space="0" w:color="auto"/>
            </w:tcBorders>
            <w:noWrap/>
            <w:vAlign w:val="center"/>
            <w:hideMark/>
          </w:tcPr>
          <w:p w14:paraId="6EACCF0D"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99" w:type="pct"/>
            <w:gridSpan w:val="2"/>
            <w:tcBorders>
              <w:top w:val="nil"/>
              <w:left w:val="nil"/>
              <w:bottom w:val="single" w:sz="4" w:space="0" w:color="auto"/>
              <w:right w:val="single" w:sz="4" w:space="0" w:color="auto"/>
            </w:tcBorders>
            <w:noWrap/>
            <w:vAlign w:val="center"/>
            <w:hideMark/>
          </w:tcPr>
          <w:p w14:paraId="76902972" w14:textId="77777777" w:rsidR="00033594" w:rsidRDefault="00033594">
            <w:pPr>
              <w:jc w:val="right"/>
              <w:rPr>
                <w:rFonts w:ascii="Arial" w:hAnsi="Arial" w:cs="Arial"/>
                <w:color w:val="000000"/>
                <w:sz w:val="16"/>
                <w:szCs w:val="16"/>
              </w:rPr>
            </w:pPr>
            <w:r>
              <w:rPr>
                <w:rFonts w:ascii="Arial" w:hAnsi="Arial" w:cs="Arial"/>
                <w:sz w:val="16"/>
                <w:szCs w:val="16"/>
              </w:rPr>
              <w:t>0</w:t>
            </w:r>
          </w:p>
        </w:tc>
        <w:tc>
          <w:tcPr>
            <w:tcW w:w="363" w:type="pct"/>
            <w:gridSpan w:val="2"/>
            <w:tcBorders>
              <w:top w:val="nil"/>
              <w:left w:val="nil"/>
              <w:bottom w:val="single" w:sz="4" w:space="0" w:color="auto"/>
              <w:right w:val="single" w:sz="4" w:space="0" w:color="auto"/>
            </w:tcBorders>
            <w:noWrap/>
            <w:vAlign w:val="center"/>
            <w:hideMark/>
          </w:tcPr>
          <w:p w14:paraId="1392E0B2" w14:textId="77777777" w:rsidR="00033594" w:rsidRDefault="00033594">
            <w:pPr>
              <w:jc w:val="center"/>
              <w:rPr>
                <w:rFonts w:ascii="Arial" w:hAnsi="Arial" w:cs="Arial"/>
                <w:color w:val="000000"/>
                <w:sz w:val="16"/>
                <w:szCs w:val="16"/>
              </w:rPr>
            </w:pPr>
            <w:r>
              <w:rPr>
                <w:rFonts w:ascii="Arial" w:hAnsi="Arial" w:cs="Arial"/>
                <w:sz w:val="16"/>
                <w:szCs w:val="16"/>
              </w:rPr>
              <w:t>269%</w:t>
            </w:r>
          </w:p>
        </w:tc>
        <w:tc>
          <w:tcPr>
            <w:tcW w:w="334" w:type="pct"/>
            <w:tcBorders>
              <w:top w:val="nil"/>
              <w:left w:val="nil"/>
              <w:bottom w:val="single" w:sz="4" w:space="0" w:color="auto"/>
              <w:right w:val="single" w:sz="4" w:space="0" w:color="auto"/>
            </w:tcBorders>
            <w:noWrap/>
            <w:vAlign w:val="center"/>
            <w:hideMark/>
          </w:tcPr>
          <w:p w14:paraId="04C2BDE5" w14:textId="77777777" w:rsidR="00033594" w:rsidRDefault="00033594">
            <w:pPr>
              <w:jc w:val="center"/>
              <w:rPr>
                <w:rFonts w:ascii="Arial" w:hAnsi="Arial" w:cs="Arial"/>
                <w:color w:val="000000"/>
                <w:sz w:val="16"/>
                <w:szCs w:val="16"/>
              </w:rPr>
            </w:pPr>
            <w:r>
              <w:rPr>
                <w:rFonts w:ascii="Arial" w:hAnsi="Arial" w:cs="Arial"/>
                <w:sz w:val="16"/>
                <w:szCs w:val="16"/>
              </w:rPr>
              <w:t>615%</w:t>
            </w:r>
          </w:p>
        </w:tc>
        <w:tc>
          <w:tcPr>
            <w:tcW w:w="389" w:type="pct"/>
            <w:tcBorders>
              <w:top w:val="nil"/>
              <w:left w:val="nil"/>
              <w:bottom w:val="single" w:sz="4" w:space="0" w:color="auto"/>
              <w:right w:val="single" w:sz="4" w:space="0" w:color="auto"/>
            </w:tcBorders>
            <w:noWrap/>
            <w:vAlign w:val="center"/>
            <w:hideMark/>
          </w:tcPr>
          <w:p w14:paraId="3DFBBAA1" w14:textId="77777777" w:rsidR="00033594" w:rsidRDefault="00033594">
            <w:pPr>
              <w:jc w:val="center"/>
              <w:rPr>
                <w:rFonts w:ascii="Arial" w:hAnsi="Arial" w:cs="Arial"/>
                <w:color w:val="000000"/>
                <w:sz w:val="16"/>
                <w:szCs w:val="16"/>
              </w:rPr>
            </w:pPr>
            <w:r>
              <w:rPr>
                <w:rFonts w:ascii="Arial" w:hAnsi="Arial" w:cs="Arial"/>
                <w:sz w:val="16"/>
                <w:szCs w:val="16"/>
              </w:rPr>
              <w:t>0%</w:t>
            </w:r>
          </w:p>
        </w:tc>
        <w:tc>
          <w:tcPr>
            <w:tcW w:w="316" w:type="pct"/>
            <w:tcBorders>
              <w:top w:val="nil"/>
              <w:left w:val="nil"/>
              <w:bottom w:val="single" w:sz="4" w:space="0" w:color="auto"/>
              <w:right w:val="single" w:sz="4" w:space="0" w:color="auto"/>
            </w:tcBorders>
            <w:noWrap/>
            <w:vAlign w:val="center"/>
            <w:hideMark/>
          </w:tcPr>
          <w:p w14:paraId="7D33946B" w14:textId="77777777" w:rsidR="00033594" w:rsidRDefault="00033594">
            <w:pPr>
              <w:jc w:val="center"/>
              <w:rPr>
                <w:rFonts w:ascii="Arial" w:hAnsi="Arial" w:cs="Arial"/>
                <w:color w:val="000000"/>
                <w:sz w:val="16"/>
                <w:szCs w:val="16"/>
              </w:rPr>
            </w:pPr>
            <w:r>
              <w:rPr>
                <w:rFonts w:ascii="Arial" w:hAnsi="Arial" w:cs="Arial"/>
                <w:sz w:val="16"/>
                <w:szCs w:val="16"/>
              </w:rPr>
              <w:t>0%</w:t>
            </w:r>
          </w:p>
        </w:tc>
      </w:tr>
      <w:tr w:rsidR="00E84C6B" w14:paraId="6A7465C1" w14:textId="77777777" w:rsidTr="00E95757">
        <w:trPr>
          <w:trHeight w:val="49"/>
        </w:trPr>
        <w:tc>
          <w:tcPr>
            <w:tcW w:w="2022" w:type="pct"/>
            <w:gridSpan w:val="2"/>
            <w:tcBorders>
              <w:top w:val="nil"/>
              <w:left w:val="single" w:sz="4" w:space="0" w:color="auto"/>
              <w:bottom w:val="single" w:sz="4" w:space="0" w:color="auto"/>
              <w:right w:val="single" w:sz="4" w:space="0" w:color="auto"/>
            </w:tcBorders>
            <w:shd w:val="clear" w:color="auto" w:fill="4F81BD" w:themeFill="accent1"/>
            <w:noWrap/>
            <w:vAlign w:val="center"/>
            <w:hideMark/>
          </w:tcPr>
          <w:p w14:paraId="0E486B06" w14:textId="77777777" w:rsidR="00033594" w:rsidRDefault="00033594">
            <w:pPr>
              <w:rPr>
                <w:rFonts w:ascii="Arial" w:hAnsi="Arial" w:cs="Arial"/>
                <w:b/>
                <w:bCs/>
                <w:color w:val="000000"/>
                <w:sz w:val="16"/>
                <w:szCs w:val="16"/>
              </w:rPr>
            </w:pPr>
            <w:r>
              <w:rPr>
                <w:rFonts w:ascii="Arial" w:hAnsi="Arial" w:cs="Arial"/>
                <w:b/>
                <w:bCs/>
                <w:sz w:val="16"/>
                <w:szCs w:val="16"/>
              </w:rPr>
              <w:t>Tasas, Multas y Contribuciones (D.E)</w:t>
            </w:r>
          </w:p>
        </w:tc>
        <w:tc>
          <w:tcPr>
            <w:tcW w:w="394" w:type="pct"/>
            <w:gridSpan w:val="2"/>
            <w:tcBorders>
              <w:top w:val="nil"/>
              <w:left w:val="nil"/>
              <w:bottom w:val="single" w:sz="4" w:space="0" w:color="auto"/>
              <w:right w:val="single" w:sz="4" w:space="0" w:color="auto"/>
            </w:tcBorders>
            <w:shd w:val="clear" w:color="auto" w:fill="4F81BD" w:themeFill="accent1"/>
            <w:noWrap/>
            <w:vAlign w:val="center"/>
            <w:hideMark/>
          </w:tcPr>
          <w:p w14:paraId="0B3E6F25" w14:textId="77777777" w:rsidR="00033594" w:rsidRDefault="00033594">
            <w:pPr>
              <w:jc w:val="right"/>
              <w:rPr>
                <w:rFonts w:ascii="Arial" w:hAnsi="Arial" w:cs="Arial"/>
                <w:b/>
                <w:bCs/>
                <w:color w:val="000000"/>
                <w:sz w:val="16"/>
                <w:szCs w:val="16"/>
              </w:rPr>
            </w:pPr>
            <w:r>
              <w:rPr>
                <w:rFonts w:ascii="Arial" w:hAnsi="Arial" w:cs="Arial"/>
                <w:b/>
                <w:bCs/>
                <w:sz w:val="16"/>
                <w:szCs w:val="16"/>
              </w:rPr>
              <w:t>185.159</w:t>
            </w:r>
          </w:p>
        </w:tc>
        <w:tc>
          <w:tcPr>
            <w:tcW w:w="394" w:type="pct"/>
            <w:gridSpan w:val="2"/>
            <w:tcBorders>
              <w:top w:val="nil"/>
              <w:left w:val="nil"/>
              <w:bottom w:val="single" w:sz="4" w:space="0" w:color="auto"/>
              <w:right w:val="single" w:sz="4" w:space="0" w:color="auto"/>
            </w:tcBorders>
            <w:shd w:val="clear" w:color="auto" w:fill="4F81BD" w:themeFill="accent1"/>
            <w:noWrap/>
            <w:vAlign w:val="center"/>
            <w:hideMark/>
          </w:tcPr>
          <w:p w14:paraId="753A8720" w14:textId="77777777" w:rsidR="00033594" w:rsidRDefault="00033594">
            <w:pPr>
              <w:jc w:val="right"/>
              <w:rPr>
                <w:rFonts w:ascii="Arial" w:hAnsi="Arial" w:cs="Arial"/>
                <w:b/>
                <w:bCs/>
                <w:color w:val="000000"/>
                <w:sz w:val="16"/>
                <w:szCs w:val="16"/>
              </w:rPr>
            </w:pPr>
            <w:r>
              <w:rPr>
                <w:rFonts w:ascii="Arial" w:hAnsi="Arial" w:cs="Arial"/>
                <w:b/>
                <w:bCs/>
                <w:sz w:val="16"/>
                <w:szCs w:val="16"/>
              </w:rPr>
              <w:t>429.254</w:t>
            </w:r>
          </w:p>
        </w:tc>
        <w:tc>
          <w:tcPr>
            <w:tcW w:w="389" w:type="pct"/>
            <w:gridSpan w:val="2"/>
            <w:tcBorders>
              <w:top w:val="nil"/>
              <w:left w:val="nil"/>
              <w:bottom w:val="single" w:sz="4" w:space="0" w:color="auto"/>
              <w:right w:val="single" w:sz="4" w:space="0" w:color="auto"/>
            </w:tcBorders>
            <w:shd w:val="clear" w:color="auto" w:fill="4F81BD" w:themeFill="accent1"/>
            <w:noWrap/>
            <w:vAlign w:val="center"/>
            <w:hideMark/>
          </w:tcPr>
          <w:p w14:paraId="615EC8AA"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99" w:type="pct"/>
            <w:gridSpan w:val="2"/>
            <w:tcBorders>
              <w:top w:val="nil"/>
              <w:left w:val="nil"/>
              <w:bottom w:val="single" w:sz="4" w:space="0" w:color="auto"/>
              <w:right w:val="single" w:sz="4" w:space="0" w:color="auto"/>
            </w:tcBorders>
            <w:shd w:val="clear" w:color="auto" w:fill="4F81BD" w:themeFill="accent1"/>
            <w:noWrap/>
            <w:vAlign w:val="center"/>
            <w:hideMark/>
          </w:tcPr>
          <w:p w14:paraId="0C450D22" w14:textId="77777777" w:rsidR="00033594" w:rsidRDefault="00033594">
            <w:pPr>
              <w:jc w:val="right"/>
              <w:rPr>
                <w:rFonts w:ascii="Arial" w:hAnsi="Arial" w:cs="Arial"/>
                <w:b/>
                <w:bCs/>
                <w:color w:val="000000"/>
                <w:sz w:val="16"/>
                <w:szCs w:val="16"/>
              </w:rPr>
            </w:pPr>
            <w:r>
              <w:rPr>
                <w:rFonts w:ascii="Arial" w:hAnsi="Arial" w:cs="Arial"/>
                <w:b/>
                <w:bCs/>
                <w:sz w:val="16"/>
                <w:szCs w:val="16"/>
              </w:rPr>
              <w:t>0</w:t>
            </w:r>
          </w:p>
        </w:tc>
        <w:tc>
          <w:tcPr>
            <w:tcW w:w="363" w:type="pct"/>
            <w:gridSpan w:val="2"/>
            <w:tcBorders>
              <w:top w:val="nil"/>
              <w:left w:val="nil"/>
              <w:bottom w:val="single" w:sz="4" w:space="0" w:color="auto"/>
              <w:right w:val="single" w:sz="4" w:space="0" w:color="auto"/>
            </w:tcBorders>
            <w:shd w:val="clear" w:color="auto" w:fill="4F81BD" w:themeFill="accent1"/>
            <w:noWrap/>
            <w:vAlign w:val="center"/>
            <w:hideMark/>
          </w:tcPr>
          <w:p w14:paraId="50158FFE" w14:textId="77777777" w:rsidR="00033594" w:rsidRDefault="00033594">
            <w:pPr>
              <w:jc w:val="center"/>
              <w:rPr>
                <w:rFonts w:ascii="Arial" w:hAnsi="Arial" w:cs="Arial"/>
                <w:b/>
                <w:bCs/>
                <w:color w:val="000000"/>
                <w:sz w:val="16"/>
                <w:szCs w:val="16"/>
              </w:rPr>
            </w:pPr>
            <w:r>
              <w:rPr>
                <w:rFonts w:ascii="Arial" w:hAnsi="Arial" w:cs="Arial"/>
                <w:b/>
                <w:bCs/>
                <w:sz w:val="16"/>
                <w:szCs w:val="16"/>
              </w:rPr>
              <w:t>99%</w:t>
            </w:r>
          </w:p>
        </w:tc>
        <w:tc>
          <w:tcPr>
            <w:tcW w:w="334" w:type="pct"/>
            <w:tcBorders>
              <w:top w:val="nil"/>
              <w:left w:val="nil"/>
              <w:bottom w:val="single" w:sz="4" w:space="0" w:color="auto"/>
              <w:right w:val="single" w:sz="4" w:space="0" w:color="auto"/>
            </w:tcBorders>
            <w:shd w:val="clear" w:color="auto" w:fill="4F81BD" w:themeFill="accent1"/>
            <w:noWrap/>
            <w:vAlign w:val="center"/>
            <w:hideMark/>
          </w:tcPr>
          <w:p w14:paraId="6641D76A" w14:textId="77777777" w:rsidR="00033594" w:rsidRDefault="00033594">
            <w:pPr>
              <w:jc w:val="center"/>
              <w:rPr>
                <w:rFonts w:ascii="Arial" w:hAnsi="Arial" w:cs="Arial"/>
                <w:b/>
                <w:bCs/>
                <w:color w:val="000000"/>
                <w:sz w:val="16"/>
                <w:szCs w:val="16"/>
              </w:rPr>
            </w:pPr>
            <w:r>
              <w:rPr>
                <w:rFonts w:ascii="Arial" w:hAnsi="Arial" w:cs="Arial"/>
                <w:b/>
                <w:bCs/>
                <w:sz w:val="16"/>
                <w:szCs w:val="16"/>
              </w:rPr>
              <w:t>229%</w:t>
            </w:r>
          </w:p>
        </w:tc>
        <w:tc>
          <w:tcPr>
            <w:tcW w:w="389" w:type="pct"/>
            <w:tcBorders>
              <w:top w:val="nil"/>
              <w:left w:val="nil"/>
              <w:bottom w:val="single" w:sz="4" w:space="0" w:color="auto"/>
              <w:right w:val="single" w:sz="4" w:space="0" w:color="auto"/>
            </w:tcBorders>
            <w:shd w:val="clear" w:color="auto" w:fill="4F81BD" w:themeFill="accent1"/>
            <w:noWrap/>
            <w:vAlign w:val="center"/>
            <w:hideMark/>
          </w:tcPr>
          <w:p w14:paraId="06F1FD0A"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c>
          <w:tcPr>
            <w:tcW w:w="316" w:type="pct"/>
            <w:tcBorders>
              <w:top w:val="nil"/>
              <w:left w:val="nil"/>
              <w:bottom w:val="single" w:sz="4" w:space="0" w:color="auto"/>
              <w:right w:val="single" w:sz="4" w:space="0" w:color="auto"/>
            </w:tcBorders>
            <w:shd w:val="clear" w:color="auto" w:fill="4F81BD" w:themeFill="accent1"/>
            <w:noWrap/>
            <w:vAlign w:val="center"/>
            <w:hideMark/>
          </w:tcPr>
          <w:p w14:paraId="0C8521F5" w14:textId="77777777" w:rsidR="00033594" w:rsidRDefault="00033594">
            <w:pPr>
              <w:jc w:val="center"/>
              <w:rPr>
                <w:rFonts w:ascii="Arial" w:hAnsi="Arial" w:cs="Arial"/>
                <w:b/>
                <w:bCs/>
                <w:color w:val="000000"/>
                <w:sz w:val="16"/>
                <w:szCs w:val="16"/>
              </w:rPr>
            </w:pPr>
            <w:r>
              <w:rPr>
                <w:rFonts w:ascii="Arial" w:hAnsi="Arial" w:cs="Arial"/>
                <w:b/>
                <w:bCs/>
                <w:sz w:val="16"/>
                <w:szCs w:val="16"/>
              </w:rPr>
              <w:t>0%</w:t>
            </w:r>
          </w:p>
        </w:tc>
      </w:tr>
    </w:tbl>
    <w:p w14:paraId="4E2C6708" w14:textId="77777777" w:rsidR="00C02282" w:rsidRPr="00033594" w:rsidRDefault="00C02282" w:rsidP="00C02282">
      <w:pPr>
        <w:spacing w:after="0" w:line="240" w:lineRule="auto"/>
        <w:jc w:val="center"/>
        <w:rPr>
          <w:rFonts w:ascii="Arial" w:eastAsia="Calibri" w:hAnsi="Arial" w:cs="Arial"/>
          <w:sz w:val="16"/>
          <w:szCs w:val="16"/>
        </w:rPr>
      </w:pPr>
      <w:r w:rsidRPr="00033594">
        <w:rPr>
          <w:rFonts w:ascii="Arial" w:hAnsi="Arial" w:cs="Arial"/>
          <w:sz w:val="16"/>
          <w:szCs w:val="16"/>
          <w:lang w:eastAsia="es-ES"/>
        </w:rPr>
        <w:t>Millones de pesos</w:t>
      </w:r>
    </w:p>
    <w:p w14:paraId="18798024" w14:textId="77777777" w:rsidR="00C02282" w:rsidRPr="00033594" w:rsidRDefault="00C02282" w:rsidP="00C02282">
      <w:pPr>
        <w:jc w:val="center"/>
        <w:rPr>
          <w:rFonts w:ascii="Arial" w:hAnsi="Arial" w:cs="Arial"/>
          <w:bCs/>
          <w:sz w:val="16"/>
          <w:szCs w:val="16"/>
          <w:lang w:val="es-ES" w:eastAsia="es-ES"/>
        </w:rPr>
      </w:pPr>
      <w:r w:rsidRPr="00033594">
        <w:rPr>
          <w:rFonts w:ascii="Arial" w:hAnsi="Arial" w:cs="Arial"/>
          <w:bCs/>
          <w:sz w:val="16"/>
          <w:szCs w:val="16"/>
          <w:lang w:val="es-ES" w:eastAsia="es-ES"/>
        </w:rPr>
        <w:t>Fuente MHCP</w:t>
      </w:r>
    </w:p>
    <w:p w14:paraId="19A74AE5" w14:textId="77777777" w:rsidR="00C02282" w:rsidRPr="00D07B6A" w:rsidRDefault="00C02282" w:rsidP="00C02282">
      <w:pPr>
        <w:jc w:val="both"/>
        <w:rPr>
          <w:rFonts w:ascii="Arial" w:hAnsi="Arial" w:cs="Arial"/>
          <w:b/>
          <w:bCs/>
          <w:u w:val="single"/>
          <w:lang w:val="es-ES" w:eastAsia="es-ES"/>
        </w:rPr>
      </w:pPr>
      <w:r w:rsidRPr="00D07B6A">
        <w:rPr>
          <w:rFonts w:ascii="Arial" w:hAnsi="Arial" w:cs="Arial"/>
          <w:b/>
          <w:bCs/>
          <w:lang w:val="es-ES" w:eastAsia="es-ES"/>
        </w:rPr>
        <w:t>Recursos del Balance</w:t>
      </w:r>
    </w:p>
    <w:p w14:paraId="66F3A5B7" w14:textId="77777777" w:rsidR="00D07B6A" w:rsidRDefault="00D07B6A" w:rsidP="00D07B6A">
      <w:pPr>
        <w:jc w:val="both"/>
        <w:rPr>
          <w:rFonts w:ascii="Arial" w:hAnsi="Arial" w:cs="Arial"/>
          <w:bCs/>
          <w:lang w:val="es-ES" w:eastAsia="es-ES"/>
        </w:rPr>
      </w:pPr>
      <w:r>
        <w:rPr>
          <w:rFonts w:ascii="Arial" w:hAnsi="Arial" w:cs="Arial"/>
          <w:bCs/>
          <w:lang w:val="es-ES" w:eastAsia="es-ES"/>
        </w:rPr>
        <w:t>Corresponde a los Excedentes Financieros generados por la entidad hasta la vigencia 2016, distribuidos mediante CONPES 3912 de 2017.</w:t>
      </w:r>
    </w:p>
    <w:p w14:paraId="50FC403C" w14:textId="2C29451C" w:rsidR="00C02282" w:rsidRPr="006A67B4" w:rsidRDefault="00C02282" w:rsidP="00C02282">
      <w:pPr>
        <w:jc w:val="both"/>
        <w:rPr>
          <w:rFonts w:ascii="Arial" w:hAnsi="Arial" w:cs="Arial"/>
          <w:bCs/>
          <w:sz w:val="14"/>
          <w:szCs w:val="14"/>
          <w:highlight w:val="yellow"/>
          <w:lang w:val="es-ES" w:eastAsia="es-ES"/>
        </w:rPr>
      </w:pPr>
      <w:r w:rsidRPr="006A67B4">
        <w:rPr>
          <w:rFonts w:ascii="Arial" w:hAnsi="Arial" w:cs="Arial"/>
          <w:bCs/>
          <w:highlight w:val="yellow"/>
          <w:lang w:val="es-ES" w:eastAsia="es-ES"/>
        </w:rPr>
        <w:t xml:space="preserve">           </w:t>
      </w:r>
    </w:p>
    <w:p w14:paraId="78392E69" w14:textId="77777777" w:rsidR="00C02282" w:rsidRPr="002A39A3" w:rsidRDefault="00C02282" w:rsidP="00C02282">
      <w:pPr>
        <w:pStyle w:val="Descripcin"/>
        <w:keepNext/>
        <w:jc w:val="center"/>
      </w:pPr>
      <w:bookmarkStart w:id="111" w:name="_Toc525652492"/>
      <w:r w:rsidRPr="002A39A3">
        <w:t xml:space="preserve">Tabla </w:t>
      </w:r>
      <w:r w:rsidRPr="002A39A3">
        <w:fldChar w:fldCharType="begin"/>
      </w:r>
      <w:r w:rsidRPr="002A39A3">
        <w:instrText xml:space="preserve"> SEQ Tabla \* ARABIC </w:instrText>
      </w:r>
      <w:r w:rsidRPr="002A39A3">
        <w:fldChar w:fldCharType="separate"/>
      </w:r>
      <w:r w:rsidR="008B4625">
        <w:rPr>
          <w:noProof/>
        </w:rPr>
        <w:t>47</w:t>
      </w:r>
      <w:r w:rsidRPr="002A39A3">
        <w:fldChar w:fldCharType="end"/>
      </w:r>
      <w:r w:rsidRPr="002A39A3">
        <w:t>Excedentes Financieros ANH</w:t>
      </w:r>
      <w:bookmarkEnd w:id="111"/>
    </w:p>
    <w:tbl>
      <w:tblPr>
        <w:tblW w:w="0" w:type="auto"/>
        <w:jc w:val="center"/>
        <w:tblCellMar>
          <w:left w:w="70" w:type="dxa"/>
          <w:right w:w="70" w:type="dxa"/>
        </w:tblCellMar>
        <w:tblLook w:val="04A0" w:firstRow="1" w:lastRow="0" w:firstColumn="1" w:lastColumn="0" w:noHBand="0" w:noVBand="1"/>
      </w:tblPr>
      <w:tblGrid>
        <w:gridCol w:w="5477"/>
        <w:gridCol w:w="1572"/>
      </w:tblGrid>
      <w:tr w:rsidR="002A39A3" w:rsidRPr="002A39A3" w14:paraId="3725753A" w14:textId="77777777" w:rsidTr="002A39A3">
        <w:trPr>
          <w:trHeight w:val="349"/>
          <w:jc w:val="center"/>
        </w:trPr>
        <w:tc>
          <w:tcPr>
            <w:tcW w:w="547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1B0E41E" w14:textId="77777777" w:rsidR="002A39A3" w:rsidRPr="002A39A3" w:rsidRDefault="002A39A3">
            <w:pPr>
              <w:jc w:val="center"/>
              <w:rPr>
                <w:rFonts w:ascii="Arial" w:hAnsi="Arial" w:cs="Arial"/>
                <w:b/>
                <w:bCs/>
                <w:color w:val="000000"/>
                <w:sz w:val="16"/>
                <w:szCs w:val="16"/>
              </w:rPr>
            </w:pPr>
            <w:r w:rsidRPr="002A39A3">
              <w:rPr>
                <w:rFonts w:ascii="Arial" w:hAnsi="Arial" w:cs="Arial"/>
                <w:b/>
                <w:bCs/>
                <w:sz w:val="16"/>
                <w:szCs w:val="16"/>
              </w:rPr>
              <w:t>Concepto de registro</w:t>
            </w:r>
          </w:p>
        </w:tc>
        <w:tc>
          <w:tcPr>
            <w:tcW w:w="1572" w:type="dxa"/>
            <w:tcBorders>
              <w:top w:val="single" w:sz="4" w:space="0" w:color="auto"/>
              <w:left w:val="nil"/>
              <w:bottom w:val="single" w:sz="4" w:space="0" w:color="auto"/>
              <w:right w:val="single" w:sz="4" w:space="0" w:color="auto"/>
            </w:tcBorders>
            <w:shd w:val="clear" w:color="auto" w:fill="4F81BD" w:themeFill="accent1"/>
            <w:vAlign w:val="center"/>
            <w:hideMark/>
          </w:tcPr>
          <w:p w14:paraId="6A2C0E17" w14:textId="77777777" w:rsidR="002A39A3" w:rsidRPr="002A39A3" w:rsidRDefault="002A39A3">
            <w:pPr>
              <w:jc w:val="center"/>
              <w:rPr>
                <w:rFonts w:ascii="Arial" w:hAnsi="Arial" w:cs="Arial"/>
                <w:b/>
                <w:bCs/>
                <w:color w:val="000000"/>
                <w:sz w:val="16"/>
                <w:szCs w:val="16"/>
              </w:rPr>
            </w:pPr>
            <w:r w:rsidRPr="002A39A3">
              <w:rPr>
                <w:rFonts w:ascii="Arial" w:hAnsi="Arial" w:cs="Arial"/>
                <w:b/>
                <w:bCs/>
                <w:sz w:val="16"/>
                <w:szCs w:val="16"/>
              </w:rPr>
              <w:t>Valor</w:t>
            </w:r>
          </w:p>
        </w:tc>
      </w:tr>
      <w:tr w:rsidR="002A39A3" w:rsidRPr="002A39A3" w14:paraId="2B8CCA15" w14:textId="77777777" w:rsidTr="002A39A3">
        <w:trPr>
          <w:trHeight w:val="281"/>
          <w:jc w:val="center"/>
        </w:trPr>
        <w:tc>
          <w:tcPr>
            <w:tcW w:w="5477" w:type="dxa"/>
            <w:tcBorders>
              <w:top w:val="nil"/>
              <w:left w:val="single" w:sz="4" w:space="0" w:color="auto"/>
              <w:bottom w:val="single" w:sz="4" w:space="0" w:color="auto"/>
              <w:right w:val="single" w:sz="4" w:space="0" w:color="auto"/>
            </w:tcBorders>
            <w:noWrap/>
            <w:vAlign w:val="center"/>
            <w:hideMark/>
          </w:tcPr>
          <w:p w14:paraId="330F08FD" w14:textId="77777777" w:rsidR="002A39A3" w:rsidRPr="002A39A3" w:rsidRDefault="002A39A3">
            <w:pPr>
              <w:rPr>
                <w:rFonts w:ascii="Arial" w:hAnsi="Arial" w:cs="Arial"/>
                <w:color w:val="000000"/>
                <w:sz w:val="16"/>
                <w:szCs w:val="16"/>
              </w:rPr>
            </w:pPr>
            <w:r w:rsidRPr="002A39A3">
              <w:rPr>
                <w:rFonts w:ascii="Arial" w:hAnsi="Arial" w:cs="Arial"/>
                <w:sz w:val="16"/>
                <w:szCs w:val="16"/>
              </w:rPr>
              <w:t>**Distribución Excedentes Financieros Nación CONPES 3912 2017</w:t>
            </w:r>
          </w:p>
        </w:tc>
        <w:tc>
          <w:tcPr>
            <w:tcW w:w="1572" w:type="dxa"/>
            <w:tcBorders>
              <w:top w:val="nil"/>
              <w:left w:val="nil"/>
              <w:bottom w:val="single" w:sz="4" w:space="0" w:color="auto"/>
              <w:right w:val="single" w:sz="4" w:space="0" w:color="auto"/>
            </w:tcBorders>
            <w:noWrap/>
            <w:vAlign w:val="center"/>
            <w:hideMark/>
          </w:tcPr>
          <w:p w14:paraId="62D8A05C" w14:textId="77777777" w:rsidR="002A39A3" w:rsidRPr="002A39A3" w:rsidRDefault="002A39A3">
            <w:pPr>
              <w:jc w:val="right"/>
              <w:rPr>
                <w:rFonts w:ascii="Arial" w:hAnsi="Arial" w:cs="Arial"/>
                <w:color w:val="000000"/>
                <w:sz w:val="16"/>
                <w:szCs w:val="16"/>
              </w:rPr>
            </w:pPr>
            <w:r w:rsidRPr="002A39A3">
              <w:rPr>
                <w:rFonts w:ascii="Arial" w:hAnsi="Arial" w:cs="Arial"/>
                <w:sz w:val="16"/>
                <w:szCs w:val="16"/>
              </w:rPr>
              <w:t>$ 270.000</w:t>
            </w:r>
          </w:p>
        </w:tc>
      </w:tr>
      <w:tr w:rsidR="002A39A3" w:rsidRPr="002A39A3" w14:paraId="68D2E65C" w14:textId="77777777" w:rsidTr="002A39A3">
        <w:trPr>
          <w:trHeight w:val="227"/>
          <w:jc w:val="center"/>
        </w:trPr>
        <w:tc>
          <w:tcPr>
            <w:tcW w:w="5477" w:type="dxa"/>
            <w:tcBorders>
              <w:top w:val="nil"/>
              <w:left w:val="single" w:sz="4" w:space="0" w:color="auto"/>
              <w:bottom w:val="single" w:sz="4" w:space="0" w:color="auto"/>
              <w:right w:val="single" w:sz="4" w:space="0" w:color="auto"/>
            </w:tcBorders>
            <w:noWrap/>
            <w:vAlign w:val="center"/>
            <w:hideMark/>
          </w:tcPr>
          <w:p w14:paraId="5331473E" w14:textId="77777777" w:rsidR="002A39A3" w:rsidRPr="002A39A3" w:rsidRDefault="002A39A3">
            <w:pPr>
              <w:rPr>
                <w:rFonts w:ascii="Arial" w:hAnsi="Arial" w:cs="Arial"/>
                <w:color w:val="000000"/>
                <w:sz w:val="16"/>
                <w:szCs w:val="16"/>
              </w:rPr>
            </w:pPr>
            <w:r w:rsidRPr="002A39A3">
              <w:rPr>
                <w:rFonts w:ascii="Arial" w:hAnsi="Arial" w:cs="Arial"/>
                <w:sz w:val="16"/>
                <w:szCs w:val="16"/>
              </w:rPr>
              <w:lastRenderedPageBreak/>
              <w:t>Capitalización Excedentes Financieros Entidad CONPES 3912 2017</w:t>
            </w:r>
          </w:p>
        </w:tc>
        <w:tc>
          <w:tcPr>
            <w:tcW w:w="1572" w:type="dxa"/>
            <w:tcBorders>
              <w:top w:val="nil"/>
              <w:left w:val="nil"/>
              <w:bottom w:val="single" w:sz="4" w:space="0" w:color="auto"/>
              <w:right w:val="single" w:sz="4" w:space="0" w:color="auto"/>
            </w:tcBorders>
            <w:noWrap/>
            <w:vAlign w:val="center"/>
            <w:hideMark/>
          </w:tcPr>
          <w:p w14:paraId="2486F788" w14:textId="77777777" w:rsidR="002A39A3" w:rsidRPr="002A39A3" w:rsidRDefault="002A39A3">
            <w:pPr>
              <w:jc w:val="right"/>
              <w:rPr>
                <w:rFonts w:ascii="Arial" w:hAnsi="Arial" w:cs="Arial"/>
                <w:color w:val="000000"/>
                <w:sz w:val="16"/>
                <w:szCs w:val="16"/>
              </w:rPr>
            </w:pPr>
            <w:r w:rsidRPr="002A39A3">
              <w:rPr>
                <w:rFonts w:ascii="Arial" w:hAnsi="Arial" w:cs="Arial"/>
                <w:sz w:val="16"/>
                <w:szCs w:val="16"/>
              </w:rPr>
              <w:t>$ 182.722</w:t>
            </w:r>
          </w:p>
        </w:tc>
      </w:tr>
      <w:tr w:rsidR="002A39A3" w:rsidRPr="002A39A3" w14:paraId="6167D7EB" w14:textId="77777777" w:rsidTr="002A39A3">
        <w:trPr>
          <w:trHeight w:val="319"/>
          <w:jc w:val="center"/>
        </w:trPr>
        <w:tc>
          <w:tcPr>
            <w:tcW w:w="5477" w:type="dxa"/>
            <w:tcBorders>
              <w:top w:val="nil"/>
              <w:left w:val="single" w:sz="4" w:space="0" w:color="auto"/>
              <w:bottom w:val="single" w:sz="4" w:space="0" w:color="auto"/>
              <w:right w:val="single" w:sz="4" w:space="0" w:color="auto"/>
            </w:tcBorders>
            <w:shd w:val="clear" w:color="auto" w:fill="4F81BD" w:themeFill="accent1"/>
            <w:noWrap/>
            <w:vAlign w:val="center"/>
            <w:hideMark/>
          </w:tcPr>
          <w:p w14:paraId="7DDC3BF9" w14:textId="77777777" w:rsidR="002A39A3" w:rsidRPr="002A39A3" w:rsidRDefault="002A39A3">
            <w:pPr>
              <w:jc w:val="center"/>
              <w:rPr>
                <w:rFonts w:ascii="Arial" w:hAnsi="Arial" w:cs="Arial"/>
                <w:b/>
                <w:bCs/>
                <w:color w:val="000000"/>
                <w:sz w:val="16"/>
                <w:szCs w:val="16"/>
              </w:rPr>
            </w:pPr>
            <w:r w:rsidRPr="002A39A3">
              <w:rPr>
                <w:rFonts w:ascii="Arial" w:hAnsi="Arial" w:cs="Arial"/>
                <w:b/>
                <w:bCs/>
                <w:sz w:val="16"/>
                <w:szCs w:val="16"/>
              </w:rPr>
              <w:t>Total</w:t>
            </w:r>
          </w:p>
        </w:tc>
        <w:tc>
          <w:tcPr>
            <w:tcW w:w="1572" w:type="dxa"/>
            <w:tcBorders>
              <w:top w:val="nil"/>
              <w:left w:val="nil"/>
              <w:bottom w:val="single" w:sz="4" w:space="0" w:color="auto"/>
              <w:right w:val="single" w:sz="4" w:space="0" w:color="auto"/>
            </w:tcBorders>
            <w:shd w:val="clear" w:color="auto" w:fill="4F81BD" w:themeFill="accent1"/>
            <w:noWrap/>
            <w:vAlign w:val="center"/>
            <w:hideMark/>
          </w:tcPr>
          <w:p w14:paraId="04F5B686" w14:textId="77777777" w:rsidR="002A39A3" w:rsidRPr="002A39A3" w:rsidRDefault="002A39A3">
            <w:pPr>
              <w:jc w:val="right"/>
              <w:rPr>
                <w:rFonts w:ascii="Arial" w:hAnsi="Arial" w:cs="Arial"/>
                <w:b/>
                <w:bCs/>
                <w:color w:val="000000"/>
                <w:sz w:val="16"/>
                <w:szCs w:val="16"/>
              </w:rPr>
            </w:pPr>
            <w:r w:rsidRPr="002A39A3">
              <w:rPr>
                <w:rFonts w:ascii="Arial" w:hAnsi="Arial" w:cs="Arial"/>
                <w:b/>
                <w:bCs/>
                <w:sz w:val="16"/>
                <w:szCs w:val="16"/>
              </w:rPr>
              <w:t>$ 452.722</w:t>
            </w:r>
          </w:p>
        </w:tc>
      </w:tr>
    </w:tbl>
    <w:p w14:paraId="01F14ACF" w14:textId="77777777" w:rsidR="00C02282" w:rsidRPr="002A39A3" w:rsidRDefault="00C02282" w:rsidP="00C02282">
      <w:pPr>
        <w:spacing w:after="0" w:line="240" w:lineRule="auto"/>
        <w:jc w:val="center"/>
        <w:rPr>
          <w:rFonts w:ascii="Arial" w:eastAsia="Calibri" w:hAnsi="Arial" w:cs="Arial"/>
          <w:sz w:val="16"/>
          <w:szCs w:val="16"/>
        </w:rPr>
      </w:pPr>
      <w:r w:rsidRPr="002A39A3">
        <w:rPr>
          <w:rFonts w:ascii="Arial" w:hAnsi="Arial" w:cs="Arial"/>
          <w:sz w:val="16"/>
          <w:szCs w:val="16"/>
          <w:lang w:eastAsia="es-ES"/>
        </w:rPr>
        <w:t>Millones de pesos</w:t>
      </w:r>
    </w:p>
    <w:p w14:paraId="20CFA5EB" w14:textId="77777777" w:rsidR="00C02282" w:rsidRPr="002A39A3" w:rsidRDefault="00C02282" w:rsidP="00C02282">
      <w:pPr>
        <w:jc w:val="center"/>
        <w:rPr>
          <w:rFonts w:ascii="Arial" w:hAnsi="Arial" w:cs="Arial"/>
          <w:bCs/>
          <w:sz w:val="16"/>
          <w:szCs w:val="16"/>
          <w:lang w:val="es-ES" w:eastAsia="es-ES"/>
        </w:rPr>
      </w:pPr>
      <w:r w:rsidRPr="002A39A3">
        <w:rPr>
          <w:rFonts w:ascii="Arial" w:hAnsi="Arial" w:cs="Arial"/>
          <w:bCs/>
          <w:sz w:val="16"/>
          <w:szCs w:val="16"/>
          <w:lang w:val="es-ES" w:eastAsia="es-ES"/>
        </w:rPr>
        <w:t>Fuente MHCP</w:t>
      </w:r>
    </w:p>
    <w:p w14:paraId="591CDD1F" w14:textId="77777777" w:rsidR="00C02282" w:rsidRPr="002A39A3" w:rsidRDefault="00C02282" w:rsidP="00C02282">
      <w:pPr>
        <w:jc w:val="both"/>
        <w:rPr>
          <w:rFonts w:ascii="Arial" w:hAnsi="Arial" w:cs="Arial"/>
          <w:bCs/>
          <w:lang w:val="es-ES" w:eastAsia="es-ES"/>
        </w:rPr>
      </w:pPr>
      <w:r w:rsidRPr="002A39A3">
        <w:rPr>
          <w:rFonts w:ascii="Arial" w:hAnsi="Arial" w:cs="Arial"/>
          <w:bCs/>
          <w:lang w:val="es-ES" w:eastAsia="es-ES"/>
        </w:rPr>
        <w:t xml:space="preserve">Valor girado el 7 de febrero de 2018 a la Dirección General de Crédito Publico y del tesoro Nacional por concepto de excedentes financieros para la Nación. </w:t>
      </w:r>
    </w:p>
    <w:p w14:paraId="435BDA4F" w14:textId="77777777" w:rsidR="00C02282" w:rsidRPr="006A67B4" w:rsidRDefault="00C02282" w:rsidP="00C02282">
      <w:pPr>
        <w:jc w:val="both"/>
        <w:rPr>
          <w:rFonts w:ascii="Arial" w:hAnsi="Arial" w:cs="Arial"/>
          <w:bCs/>
          <w:highlight w:val="yellow"/>
          <w:lang w:val="es-ES" w:eastAsia="es-ES"/>
        </w:rPr>
      </w:pPr>
    </w:p>
    <w:p w14:paraId="35D2DFB1" w14:textId="77777777" w:rsidR="00C02282" w:rsidRPr="002A39A3" w:rsidRDefault="00C02282" w:rsidP="00055F7C">
      <w:pPr>
        <w:pStyle w:val="Ttulo2"/>
        <w:numPr>
          <w:ilvl w:val="1"/>
          <w:numId w:val="11"/>
        </w:numPr>
        <w:rPr>
          <w:rFonts w:ascii="Arial" w:eastAsia="Calibri" w:hAnsi="Arial" w:cs="Arial"/>
          <w:b w:val="0"/>
          <w:color w:val="auto"/>
          <w:sz w:val="24"/>
          <w:szCs w:val="24"/>
        </w:rPr>
      </w:pPr>
      <w:bookmarkStart w:id="112" w:name="_Toc515261751"/>
      <w:bookmarkStart w:id="113" w:name="_Toc515270531"/>
      <w:bookmarkStart w:id="114" w:name="_Toc525652042"/>
      <w:r w:rsidRPr="002A39A3">
        <w:rPr>
          <w:rFonts w:ascii="Arial" w:eastAsia="Calibri" w:hAnsi="Arial" w:cs="Arial"/>
          <w:color w:val="auto"/>
          <w:sz w:val="24"/>
          <w:szCs w:val="24"/>
        </w:rPr>
        <w:t>Gastos</w:t>
      </w:r>
      <w:bookmarkEnd w:id="112"/>
      <w:bookmarkEnd w:id="113"/>
      <w:r w:rsidRPr="002A39A3">
        <w:rPr>
          <w:rFonts w:ascii="Arial" w:eastAsia="Calibri" w:hAnsi="Arial" w:cs="Arial"/>
          <w:color w:val="auto"/>
          <w:sz w:val="24"/>
          <w:szCs w:val="24"/>
        </w:rPr>
        <w:t xml:space="preserve"> ANH</w:t>
      </w:r>
      <w:bookmarkEnd w:id="114"/>
    </w:p>
    <w:p w14:paraId="75DC5EB7" w14:textId="77777777" w:rsidR="00C02282" w:rsidRPr="002A39A3" w:rsidRDefault="00C02282" w:rsidP="00055F7C">
      <w:pPr>
        <w:pStyle w:val="Ttulo3"/>
        <w:numPr>
          <w:ilvl w:val="2"/>
          <w:numId w:val="11"/>
        </w:numPr>
        <w:rPr>
          <w:rFonts w:ascii="Arial" w:eastAsia="Calibri" w:hAnsi="Arial" w:cs="Arial"/>
          <w:b w:val="0"/>
          <w:color w:val="auto"/>
        </w:rPr>
      </w:pPr>
      <w:bookmarkStart w:id="115" w:name="_Toc515261752"/>
      <w:bookmarkStart w:id="116" w:name="_Toc515270532"/>
      <w:bookmarkStart w:id="117" w:name="_Toc525652043"/>
      <w:r w:rsidRPr="002A39A3">
        <w:rPr>
          <w:rFonts w:ascii="Arial" w:eastAsia="Calibri" w:hAnsi="Arial" w:cs="Arial"/>
          <w:color w:val="auto"/>
        </w:rPr>
        <w:t>Ejecución presupuestal Gastos de Funcionamiento</w:t>
      </w:r>
      <w:bookmarkEnd w:id="115"/>
      <w:bookmarkEnd w:id="116"/>
      <w:r w:rsidRPr="002A39A3">
        <w:rPr>
          <w:rFonts w:ascii="Arial" w:eastAsia="Calibri" w:hAnsi="Arial" w:cs="Arial"/>
          <w:color w:val="auto"/>
        </w:rPr>
        <w:t xml:space="preserve"> ANH</w:t>
      </w:r>
      <w:bookmarkEnd w:id="117"/>
    </w:p>
    <w:p w14:paraId="222A9562" w14:textId="77777777" w:rsidR="00C02282" w:rsidRPr="006A67B4" w:rsidRDefault="00C02282" w:rsidP="00C02282">
      <w:pPr>
        <w:rPr>
          <w:rFonts w:eastAsia="Calibri"/>
          <w:highlight w:val="yellow"/>
        </w:rPr>
      </w:pPr>
    </w:p>
    <w:p w14:paraId="6076379B" w14:textId="5244EBE7" w:rsidR="00FE1111" w:rsidRDefault="002A39A3" w:rsidP="002A39A3">
      <w:pPr>
        <w:ind w:left="708"/>
        <w:jc w:val="both"/>
        <w:rPr>
          <w:rFonts w:ascii="Arial" w:hAnsi="Arial" w:cs="Arial"/>
        </w:rPr>
      </w:pPr>
      <w:r>
        <w:rPr>
          <w:rFonts w:ascii="Arial" w:hAnsi="Arial" w:cs="Arial"/>
        </w:rPr>
        <w:t>Sobre el total de la apropiación asignada a la ANH para la vigencia fiscal 2018 y al cierre del segundo trimestre, se expidieron disponibilidades por valor de $594.243 millones, compromisos por valor de $ 455.849 millones, obligaciones por valor de $332.393 y se realizaron pagos por valor de $ 332.131, en este periodo es relevante el pago de excedentes financieros por valor de $270.000, a continuación, se presenta la ejecución de gastos del segundo trimestre:</w:t>
      </w:r>
    </w:p>
    <w:p w14:paraId="3240184A" w14:textId="77777777" w:rsidR="00FE1111" w:rsidRDefault="00FE1111" w:rsidP="002A39A3">
      <w:pPr>
        <w:ind w:left="708"/>
        <w:jc w:val="both"/>
        <w:rPr>
          <w:rFonts w:ascii="Arial" w:hAnsi="Arial" w:cs="Arial"/>
        </w:rPr>
      </w:pPr>
    </w:p>
    <w:p w14:paraId="452C817F" w14:textId="2DDA0F4D" w:rsidR="00C02282" w:rsidRPr="002A39A3" w:rsidRDefault="00C02282" w:rsidP="00C02282">
      <w:pPr>
        <w:pStyle w:val="Descripcin"/>
        <w:keepNext/>
        <w:jc w:val="center"/>
      </w:pPr>
      <w:bookmarkStart w:id="118" w:name="_Toc525652493"/>
      <w:r w:rsidRPr="002A39A3">
        <w:t xml:space="preserve">Tabla </w:t>
      </w:r>
      <w:r w:rsidRPr="002A39A3">
        <w:fldChar w:fldCharType="begin"/>
      </w:r>
      <w:r w:rsidRPr="002A39A3">
        <w:instrText xml:space="preserve"> SEQ Tabla \* ARABIC </w:instrText>
      </w:r>
      <w:r w:rsidRPr="002A39A3">
        <w:fldChar w:fldCharType="separate"/>
      </w:r>
      <w:r w:rsidR="008B4625">
        <w:rPr>
          <w:noProof/>
        </w:rPr>
        <w:t>48</w:t>
      </w:r>
      <w:r w:rsidRPr="002A39A3">
        <w:fldChar w:fldCharType="end"/>
      </w:r>
      <w:r w:rsidR="002A39A3" w:rsidRPr="002A39A3">
        <w:t xml:space="preserve"> </w:t>
      </w:r>
      <w:r w:rsidRPr="002A39A3">
        <w:t>Ejecución Presupuestal Gastos – Vigencia 2018 ANH</w:t>
      </w:r>
      <w:bookmarkEnd w:id="118"/>
    </w:p>
    <w:tbl>
      <w:tblPr>
        <w:tblStyle w:val="Tablaconcuadrcula"/>
        <w:tblW w:w="0" w:type="auto"/>
        <w:tblLayout w:type="fixed"/>
        <w:tblLook w:val="04A0" w:firstRow="1" w:lastRow="0" w:firstColumn="1" w:lastColumn="0" w:noHBand="0" w:noVBand="1"/>
      </w:tblPr>
      <w:tblGrid>
        <w:gridCol w:w="1788"/>
        <w:gridCol w:w="1359"/>
        <w:gridCol w:w="1101"/>
        <w:gridCol w:w="1417"/>
        <w:gridCol w:w="912"/>
        <w:gridCol w:w="945"/>
        <w:gridCol w:w="945"/>
        <w:gridCol w:w="945"/>
      </w:tblGrid>
      <w:tr w:rsidR="002A39A3" w14:paraId="3086513F" w14:textId="77777777" w:rsidTr="002A39A3">
        <w:trPr>
          <w:trHeight w:val="446"/>
        </w:trPr>
        <w:tc>
          <w:tcPr>
            <w:tcW w:w="1788"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D5E661E" w14:textId="77777777" w:rsidR="002A39A3" w:rsidRDefault="002A39A3">
            <w:pPr>
              <w:jc w:val="center"/>
              <w:rPr>
                <w:rFonts w:ascii="Arial" w:hAnsi="Arial" w:cs="Arial"/>
                <w:b/>
                <w:bCs/>
                <w:sz w:val="16"/>
                <w:szCs w:val="16"/>
                <w:lang w:eastAsia="es-ES"/>
              </w:rPr>
            </w:pPr>
            <w:r>
              <w:rPr>
                <w:rFonts w:ascii="Arial" w:hAnsi="Arial" w:cs="Arial"/>
                <w:b/>
                <w:bCs/>
                <w:sz w:val="16"/>
                <w:szCs w:val="16"/>
                <w:lang w:eastAsia="es-ES"/>
              </w:rPr>
              <w:t>DESCRIPCIÓN</w:t>
            </w:r>
          </w:p>
        </w:tc>
        <w:tc>
          <w:tcPr>
            <w:tcW w:w="1359"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29808875" w14:textId="77777777" w:rsidR="002A39A3" w:rsidRDefault="002A39A3">
            <w:pPr>
              <w:jc w:val="center"/>
              <w:rPr>
                <w:rFonts w:ascii="Arial" w:hAnsi="Arial" w:cs="Arial"/>
                <w:b/>
                <w:bCs/>
                <w:sz w:val="16"/>
                <w:szCs w:val="16"/>
                <w:lang w:eastAsia="es-ES"/>
              </w:rPr>
            </w:pPr>
            <w:r>
              <w:rPr>
                <w:rFonts w:ascii="Arial" w:hAnsi="Arial" w:cs="Arial"/>
                <w:b/>
                <w:bCs/>
                <w:sz w:val="16"/>
                <w:szCs w:val="16"/>
                <w:lang w:eastAsia="es-ES"/>
              </w:rPr>
              <w:t>APROPIACION INICIAL</w:t>
            </w:r>
          </w:p>
        </w:tc>
        <w:tc>
          <w:tcPr>
            <w:tcW w:w="1101"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2FFB836" w14:textId="77777777" w:rsidR="002A39A3" w:rsidRDefault="002A39A3">
            <w:pPr>
              <w:jc w:val="center"/>
              <w:rPr>
                <w:rFonts w:ascii="Arial" w:hAnsi="Arial" w:cs="Arial"/>
                <w:b/>
                <w:bCs/>
                <w:sz w:val="16"/>
                <w:szCs w:val="16"/>
                <w:lang w:eastAsia="es-ES"/>
              </w:rPr>
            </w:pPr>
            <w:r>
              <w:rPr>
                <w:rFonts w:ascii="Arial" w:hAnsi="Arial" w:cs="Arial"/>
                <w:b/>
                <w:bCs/>
                <w:sz w:val="16"/>
                <w:szCs w:val="16"/>
                <w:lang w:eastAsia="es-ES"/>
              </w:rPr>
              <w:t>APLAZAMIENTO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74AC2EF" w14:textId="77777777" w:rsidR="002A39A3" w:rsidRDefault="002A39A3">
            <w:pPr>
              <w:jc w:val="center"/>
              <w:rPr>
                <w:rFonts w:ascii="Arial" w:hAnsi="Arial" w:cs="Arial"/>
                <w:b/>
                <w:bCs/>
                <w:sz w:val="16"/>
                <w:szCs w:val="16"/>
                <w:lang w:eastAsia="es-ES"/>
              </w:rPr>
            </w:pPr>
            <w:r>
              <w:rPr>
                <w:rFonts w:ascii="Arial" w:hAnsi="Arial" w:cs="Arial"/>
                <w:b/>
                <w:bCs/>
                <w:sz w:val="16"/>
                <w:szCs w:val="16"/>
                <w:lang w:eastAsia="es-ES"/>
              </w:rPr>
              <w:t>APROPIACIÓN DISPONIBLE</w:t>
            </w:r>
          </w:p>
        </w:tc>
        <w:tc>
          <w:tcPr>
            <w:tcW w:w="1857"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3A254A6E"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DISPONIBILIDADES ACUMULADAS</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3A51E40"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COMPROMISOS ACUMULADOS</w:t>
            </w:r>
          </w:p>
        </w:tc>
      </w:tr>
      <w:tr w:rsidR="002A39A3" w14:paraId="52F79FB7" w14:textId="77777777" w:rsidTr="002A39A3">
        <w:trPr>
          <w:trHeight w:val="315"/>
        </w:trPr>
        <w:tc>
          <w:tcPr>
            <w:tcW w:w="1788" w:type="dxa"/>
            <w:vMerge/>
            <w:tcBorders>
              <w:top w:val="single" w:sz="4" w:space="0" w:color="000000"/>
              <w:left w:val="single" w:sz="4" w:space="0" w:color="000000"/>
              <w:bottom w:val="single" w:sz="4" w:space="0" w:color="000000"/>
              <w:right w:val="single" w:sz="4" w:space="0" w:color="000000"/>
            </w:tcBorders>
            <w:vAlign w:val="center"/>
            <w:hideMark/>
          </w:tcPr>
          <w:p w14:paraId="2BE7A91E" w14:textId="77777777" w:rsidR="002A39A3" w:rsidRDefault="002A39A3">
            <w:pPr>
              <w:rPr>
                <w:rFonts w:ascii="Arial" w:hAnsi="Arial" w:cs="Arial"/>
                <w:b/>
                <w:bCs/>
                <w:sz w:val="16"/>
                <w:szCs w:val="16"/>
                <w:lang w:eastAsia="es-ES"/>
              </w:rPr>
            </w:pPr>
          </w:p>
        </w:tc>
        <w:tc>
          <w:tcPr>
            <w:tcW w:w="1359" w:type="dxa"/>
            <w:vMerge/>
            <w:tcBorders>
              <w:top w:val="single" w:sz="4" w:space="0" w:color="000000"/>
              <w:left w:val="single" w:sz="4" w:space="0" w:color="000000"/>
              <w:bottom w:val="single" w:sz="4" w:space="0" w:color="000000"/>
              <w:right w:val="single" w:sz="4" w:space="0" w:color="000000"/>
            </w:tcBorders>
            <w:vAlign w:val="center"/>
            <w:hideMark/>
          </w:tcPr>
          <w:p w14:paraId="714FA575" w14:textId="77777777" w:rsidR="002A39A3" w:rsidRDefault="002A39A3">
            <w:pPr>
              <w:rPr>
                <w:rFonts w:ascii="Arial" w:hAnsi="Arial" w:cs="Arial"/>
                <w:b/>
                <w:bCs/>
                <w:sz w:val="16"/>
                <w:szCs w:val="16"/>
                <w:lang w:eastAsia="es-ES"/>
              </w:rPr>
            </w:pPr>
          </w:p>
        </w:tc>
        <w:tc>
          <w:tcPr>
            <w:tcW w:w="1101" w:type="dxa"/>
            <w:vMerge/>
            <w:tcBorders>
              <w:top w:val="single" w:sz="4" w:space="0" w:color="000000"/>
              <w:left w:val="single" w:sz="4" w:space="0" w:color="000000"/>
              <w:bottom w:val="single" w:sz="4" w:space="0" w:color="000000"/>
              <w:right w:val="single" w:sz="4" w:space="0" w:color="000000"/>
            </w:tcBorders>
            <w:vAlign w:val="center"/>
            <w:hideMark/>
          </w:tcPr>
          <w:p w14:paraId="178B773D" w14:textId="77777777" w:rsidR="002A39A3" w:rsidRDefault="002A39A3">
            <w:pPr>
              <w:rPr>
                <w:rFonts w:ascii="Arial" w:hAnsi="Arial" w:cs="Arial"/>
                <w:b/>
                <w:bCs/>
                <w:sz w:val="16"/>
                <w:szCs w:val="16"/>
                <w:lang w:eastAsia="es-ES"/>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C6A0AB1" w14:textId="77777777" w:rsidR="002A39A3" w:rsidRDefault="002A39A3">
            <w:pPr>
              <w:rPr>
                <w:rFonts w:ascii="Arial" w:hAnsi="Arial" w:cs="Arial"/>
                <w:b/>
                <w:bCs/>
                <w:sz w:val="16"/>
                <w:szCs w:val="16"/>
                <w:lang w:eastAsia="es-ES"/>
              </w:rPr>
            </w:pPr>
          </w:p>
        </w:tc>
        <w:tc>
          <w:tcPr>
            <w:tcW w:w="912"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6B291698"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 TRIM</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2254AD72"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II TRIM</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258EBB5E"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 TRIM</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6FB6CD87"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II TRIM</w:t>
            </w:r>
          </w:p>
        </w:tc>
      </w:tr>
      <w:tr w:rsidR="002A39A3" w14:paraId="7C01D30C"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00B70A13"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Gastos de Funcionamiento</w:t>
            </w:r>
          </w:p>
        </w:tc>
        <w:tc>
          <w:tcPr>
            <w:tcW w:w="1359" w:type="dxa"/>
            <w:tcBorders>
              <w:top w:val="single" w:sz="4" w:space="0" w:color="000000"/>
              <w:left w:val="single" w:sz="4" w:space="0" w:color="000000"/>
              <w:bottom w:val="single" w:sz="4" w:space="0" w:color="000000"/>
              <w:right w:val="single" w:sz="4" w:space="0" w:color="000000"/>
            </w:tcBorders>
            <w:noWrap/>
            <w:hideMark/>
          </w:tcPr>
          <w:p w14:paraId="090A1F2C"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369.412</w:t>
            </w:r>
          </w:p>
        </w:tc>
        <w:tc>
          <w:tcPr>
            <w:tcW w:w="1101" w:type="dxa"/>
            <w:tcBorders>
              <w:top w:val="single" w:sz="4" w:space="0" w:color="000000"/>
              <w:left w:val="single" w:sz="4" w:space="0" w:color="000000"/>
              <w:bottom w:val="single" w:sz="4" w:space="0" w:color="000000"/>
              <w:right w:val="single" w:sz="4" w:space="0" w:color="000000"/>
            </w:tcBorders>
            <w:noWrap/>
            <w:hideMark/>
          </w:tcPr>
          <w:p w14:paraId="645A8B2A"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1.204</w:t>
            </w:r>
          </w:p>
        </w:tc>
        <w:tc>
          <w:tcPr>
            <w:tcW w:w="1417" w:type="dxa"/>
            <w:tcBorders>
              <w:top w:val="single" w:sz="4" w:space="0" w:color="000000"/>
              <w:left w:val="single" w:sz="4" w:space="0" w:color="000000"/>
              <w:bottom w:val="single" w:sz="4" w:space="0" w:color="000000"/>
              <w:right w:val="single" w:sz="4" w:space="0" w:color="000000"/>
            </w:tcBorders>
            <w:noWrap/>
            <w:hideMark/>
          </w:tcPr>
          <w:p w14:paraId="0099A7BC"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368.208</w:t>
            </w:r>
          </w:p>
        </w:tc>
        <w:tc>
          <w:tcPr>
            <w:tcW w:w="912" w:type="dxa"/>
            <w:tcBorders>
              <w:top w:val="single" w:sz="4" w:space="0" w:color="000000"/>
              <w:left w:val="single" w:sz="4" w:space="0" w:color="000000"/>
              <w:bottom w:val="single" w:sz="4" w:space="0" w:color="000000"/>
              <w:right w:val="single" w:sz="4" w:space="0" w:color="000000"/>
            </w:tcBorders>
            <w:noWrap/>
            <w:hideMark/>
          </w:tcPr>
          <w:p w14:paraId="21C48E85"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340.337</w:t>
            </w:r>
          </w:p>
        </w:tc>
        <w:tc>
          <w:tcPr>
            <w:tcW w:w="945" w:type="dxa"/>
            <w:tcBorders>
              <w:top w:val="single" w:sz="4" w:space="0" w:color="000000"/>
              <w:left w:val="single" w:sz="4" w:space="0" w:color="000000"/>
              <w:bottom w:val="single" w:sz="4" w:space="0" w:color="000000"/>
              <w:right w:val="single" w:sz="4" w:space="0" w:color="000000"/>
            </w:tcBorders>
            <w:noWrap/>
            <w:hideMark/>
          </w:tcPr>
          <w:p w14:paraId="0C9C5924"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346.200</w:t>
            </w:r>
          </w:p>
        </w:tc>
        <w:tc>
          <w:tcPr>
            <w:tcW w:w="945" w:type="dxa"/>
            <w:tcBorders>
              <w:top w:val="single" w:sz="4" w:space="0" w:color="000000"/>
              <w:left w:val="single" w:sz="4" w:space="0" w:color="000000"/>
              <w:bottom w:val="single" w:sz="4" w:space="0" w:color="000000"/>
              <w:right w:val="single" w:sz="4" w:space="0" w:color="000000"/>
            </w:tcBorders>
            <w:noWrap/>
            <w:hideMark/>
          </w:tcPr>
          <w:p w14:paraId="65146A5E"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324.246</w:t>
            </w:r>
          </w:p>
        </w:tc>
        <w:tc>
          <w:tcPr>
            <w:tcW w:w="945" w:type="dxa"/>
            <w:tcBorders>
              <w:top w:val="single" w:sz="4" w:space="0" w:color="000000"/>
              <w:left w:val="single" w:sz="4" w:space="0" w:color="000000"/>
              <w:bottom w:val="single" w:sz="4" w:space="0" w:color="000000"/>
              <w:right w:val="single" w:sz="4" w:space="0" w:color="000000"/>
            </w:tcBorders>
            <w:noWrap/>
            <w:hideMark/>
          </w:tcPr>
          <w:p w14:paraId="5B4187C1"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333.668</w:t>
            </w:r>
          </w:p>
        </w:tc>
      </w:tr>
      <w:tr w:rsidR="002A39A3" w14:paraId="3BAD5948"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6D0A6EB0"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Gastos de Personal</w:t>
            </w:r>
          </w:p>
        </w:tc>
        <w:tc>
          <w:tcPr>
            <w:tcW w:w="1359" w:type="dxa"/>
            <w:tcBorders>
              <w:top w:val="single" w:sz="4" w:space="0" w:color="000000"/>
              <w:left w:val="single" w:sz="4" w:space="0" w:color="000000"/>
              <w:bottom w:val="single" w:sz="4" w:space="0" w:color="000000"/>
              <w:right w:val="single" w:sz="4" w:space="0" w:color="000000"/>
            </w:tcBorders>
            <w:noWrap/>
            <w:hideMark/>
          </w:tcPr>
          <w:p w14:paraId="44455564"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26.551</w:t>
            </w:r>
          </w:p>
        </w:tc>
        <w:tc>
          <w:tcPr>
            <w:tcW w:w="1101" w:type="dxa"/>
            <w:tcBorders>
              <w:top w:val="single" w:sz="4" w:space="0" w:color="000000"/>
              <w:left w:val="single" w:sz="4" w:space="0" w:color="000000"/>
              <w:bottom w:val="single" w:sz="4" w:space="0" w:color="000000"/>
              <w:right w:val="single" w:sz="4" w:space="0" w:color="000000"/>
            </w:tcBorders>
            <w:noWrap/>
            <w:hideMark/>
          </w:tcPr>
          <w:p w14:paraId="32E9B61F"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1.204</w:t>
            </w:r>
          </w:p>
        </w:tc>
        <w:tc>
          <w:tcPr>
            <w:tcW w:w="1417" w:type="dxa"/>
            <w:tcBorders>
              <w:top w:val="single" w:sz="4" w:space="0" w:color="000000"/>
              <w:left w:val="single" w:sz="4" w:space="0" w:color="000000"/>
              <w:bottom w:val="single" w:sz="4" w:space="0" w:color="000000"/>
              <w:right w:val="single" w:sz="4" w:space="0" w:color="000000"/>
            </w:tcBorders>
            <w:noWrap/>
            <w:hideMark/>
          </w:tcPr>
          <w:p w14:paraId="4AFC801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25.347</w:t>
            </w:r>
          </w:p>
        </w:tc>
        <w:tc>
          <w:tcPr>
            <w:tcW w:w="912" w:type="dxa"/>
            <w:tcBorders>
              <w:top w:val="single" w:sz="4" w:space="0" w:color="000000"/>
              <w:left w:val="single" w:sz="4" w:space="0" w:color="000000"/>
              <w:bottom w:val="single" w:sz="4" w:space="0" w:color="000000"/>
              <w:right w:val="single" w:sz="4" w:space="0" w:color="000000"/>
            </w:tcBorders>
            <w:noWrap/>
            <w:hideMark/>
          </w:tcPr>
          <w:p w14:paraId="53CB522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19.318</w:t>
            </w:r>
          </w:p>
        </w:tc>
        <w:tc>
          <w:tcPr>
            <w:tcW w:w="945" w:type="dxa"/>
            <w:tcBorders>
              <w:top w:val="single" w:sz="4" w:space="0" w:color="000000"/>
              <w:left w:val="single" w:sz="4" w:space="0" w:color="000000"/>
              <w:bottom w:val="single" w:sz="4" w:space="0" w:color="000000"/>
              <w:right w:val="single" w:sz="4" w:space="0" w:color="000000"/>
            </w:tcBorders>
            <w:noWrap/>
            <w:hideMark/>
          </w:tcPr>
          <w:p w14:paraId="3A1C049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19.804</w:t>
            </w:r>
          </w:p>
        </w:tc>
        <w:tc>
          <w:tcPr>
            <w:tcW w:w="945" w:type="dxa"/>
            <w:tcBorders>
              <w:top w:val="single" w:sz="4" w:space="0" w:color="000000"/>
              <w:left w:val="single" w:sz="4" w:space="0" w:color="000000"/>
              <w:bottom w:val="single" w:sz="4" w:space="0" w:color="000000"/>
              <w:right w:val="single" w:sz="4" w:space="0" w:color="000000"/>
            </w:tcBorders>
            <w:noWrap/>
            <w:hideMark/>
          </w:tcPr>
          <w:p w14:paraId="5FE95EA3"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6.492</w:t>
            </w:r>
          </w:p>
        </w:tc>
        <w:tc>
          <w:tcPr>
            <w:tcW w:w="945" w:type="dxa"/>
            <w:tcBorders>
              <w:top w:val="single" w:sz="4" w:space="0" w:color="000000"/>
              <w:left w:val="single" w:sz="4" w:space="0" w:color="000000"/>
              <w:bottom w:val="single" w:sz="4" w:space="0" w:color="000000"/>
              <w:right w:val="single" w:sz="4" w:space="0" w:color="000000"/>
            </w:tcBorders>
            <w:noWrap/>
            <w:hideMark/>
          </w:tcPr>
          <w:p w14:paraId="16E07320"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11.493</w:t>
            </w:r>
          </w:p>
        </w:tc>
      </w:tr>
      <w:tr w:rsidR="002A39A3" w14:paraId="7335B7D3"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04470404"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Gastos Generales</w:t>
            </w:r>
          </w:p>
        </w:tc>
        <w:tc>
          <w:tcPr>
            <w:tcW w:w="1359" w:type="dxa"/>
            <w:tcBorders>
              <w:top w:val="single" w:sz="4" w:space="0" w:color="000000"/>
              <w:left w:val="single" w:sz="4" w:space="0" w:color="000000"/>
              <w:bottom w:val="single" w:sz="4" w:space="0" w:color="000000"/>
              <w:right w:val="single" w:sz="4" w:space="0" w:color="000000"/>
            </w:tcBorders>
            <w:noWrap/>
            <w:hideMark/>
          </w:tcPr>
          <w:p w14:paraId="3371AD4C"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8.554</w:t>
            </w:r>
          </w:p>
        </w:tc>
        <w:tc>
          <w:tcPr>
            <w:tcW w:w="1101" w:type="dxa"/>
            <w:tcBorders>
              <w:top w:val="single" w:sz="4" w:space="0" w:color="000000"/>
              <w:left w:val="single" w:sz="4" w:space="0" w:color="000000"/>
              <w:bottom w:val="single" w:sz="4" w:space="0" w:color="000000"/>
              <w:right w:val="single" w:sz="4" w:space="0" w:color="000000"/>
            </w:tcBorders>
            <w:noWrap/>
            <w:hideMark/>
          </w:tcPr>
          <w:p w14:paraId="2B121E0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71165E62"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8.554</w:t>
            </w:r>
          </w:p>
        </w:tc>
        <w:tc>
          <w:tcPr>
            <w:tcW w:w="912" w:type="dxa"/>
            <w:tcBorders>
              <w:top w:val="single" w:sz="4" w:space="0" w:color="000000"/>
              <w:left w:val="single" w:sz="4" w:space="0" w:color="000000"/>
              <w:bottom w:val="single" w:sz="4" w:space="0" w:color="000000"/>
              <w:right w:val="single" w:sz="4" w:space="0" w:color="000000"/>
            </w:tcBorders>
            <w:noWrap/>
            <w:hideMark/>
          </w:tcPr>
          <w:p w14:paraId="022FDB21"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5.468</w:t>
            </w:r>
          </w:p>
        </w:tc>
        <w:tc>
          <w:tcPr>
            <w:tcW w:w="945" w:type="dxa"/>
            <w:tcBorders>
              <w:top w:val="single" w:sz="4" w:space="0" w:color="000000"/>
              <w:left w:val="single" w:sz="4" w:space="0" w:color="000000"/>
              <w:bottom w:val="single" w:sz="4" w:space="0" w:color="000000"/>
              <w:right w:val="single" w:sz="4" w:space="0" w:color="000000"/>
            </w:tcBorders>
            <w:noWrap/>
            <w:hideMark/>
          </w:tcPr>
          <w:p w14:paraId="00F62854"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6.894</w:t>
            </w:r>
          </w:p>
        </w:tc>
        <w:tc>
          <w:tcPr>
            <w:tcW w:w="945" w:type="dxa"/>
            <w:tcBorders>
              <w:top w:val="single" w:sz="4" w:space="0" w:color="000000"/>
              <w:left w:val="single" w:sz="4" w:space="0" w:color="000000"/>
              <w:bottom w:val="single" w:sz="4" w:space="0" w:color="000000"/>
              <w:right w:val="single" w:sz="4" w:space="0" w:color="000000"/>
            </w:tcBorders>
            <w:noWrap/>
            <w:hideMark/>
          </w:tcPr>
          <w:p w14:paraId="7E75DFD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4.000</w:t>
            </w:r>
          </w:p>
        </w:tc>
        <w:tc>
          <w:tcPr>
            <w:tcW w:w="945" w:type="dxa"/>
            <w:tcBorders>
              <w:top w:val="single" w:sz="4" w:space="0" w:color="000000"/>
              <w:left w:val="single" w:sz="4" w:space="0" w:color="000000"/>
              <w:bottom w:val="single" w:sz="4" w:space="0" w:color="000000"/>
              <w:right w:val="single" w:sz="4" w:space="0" w:color="000000"/>
            </w:tcBorders>
            <w:noWrap/>
            <w:hideMark/>
          </w:tcPr>
          <w:p w14:paraId="0B19AE0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4.987</w:t>
            </w:r>
          </w:p>
        </w:tc>
      </w:tr>
      <w:tr w:rsidR="002A39A3" w14:paraId="64F53AAE"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6EDA1AD4"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Transferencias Corrientes</w:t>
            </w:r>
          </w:p>
        </w:tc>
        <w:tc>
          <w:tcPr>
            <w:tcW w:w="1359" w:type="dxa"/>
            <w:tcBorders>
              <w:top w:val="single" w:sz="4" w:space="0" w:color="000000"/>
              <w:left w:val="single" w:sz="4" w:space="0" w:color="000000"/>
              <w:bottom w:val="single" w:sz="4" w:space="0" w:color="000000"/>
              <w:right w:val="single" w:sz="4" w:space="0" w:color="000000"/>
            </w:tcBorders>
            <w:noWrap/>
            <w:hideMark/>
          </w:tcPr>
          <w:p w14:paraId="4044168D"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276.579</w:t>
            </w:r>
          </w:p>
        </w:tc>
        <w:tc>
          <w:tcPr>
            <w:tcW w:w="1101" w:type="dxa"/>
            <w:tcBorders>
              <w:top w:val="single" w:sz="4" w:space="0" w:color="000000"/>
              <w:left w:val="single" w:sz="4" w:space="0" w:color="000000"/>
              <w:bottom w:val="single" w:sz="4" w:space="0" w:color="000000"/>
              <w:right w:val="single" w:sz="4" w:space="0" w:color="000000"/>
            </w:tcBorders>
            <w:noWrap/>
            <w:hideMark/>
          </w:tcPr>
          <w:p w14:paraId="0F21E97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2306C763"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276.579</w:t>
            </w:r>
          </w:p>
        </w:tc>
        <w:tc>
          <w:tcPr>
            <w:tcW w:w="912" w:type="dxa"/>
            <w:tcBorders>
              <w:top w:val="single" w:sz="4" w:space="0" w:color="000000"/>
              <w:left w:val="single" w:sz="4" w:space="0" w:color="000000"/>
              <w:bottom w:val="single" w:sz="4" w:space="0" w:color="000000"/>
              <w:right w:val="single" w:sz="4" w:space="0" w:color="000000"/>
            </w:tcBorders>
            <w:noWrap/>
            <w:hideMark/>
          </w:tcPr>
          <w:p w14:paraId="561BE12D"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271.105</w:t>
            </w:r>
          </w:p>
        </w:tc>
        <w:tc>
          <w:tcPr>
            <w:tcW w:w="945" w:type="dxa"/>
            <w:tcBorders>
              <w:top w:val="single" w:sz="4" w:space="0" w:color="000000"/>
              <w:left w:val="single" w:sz="4" w:space="0" w:color="000000"/>
              <w:bottom w:val="single" w:sz="4" w:space="0" w:color="000000"/>
              <w:right w:val="single" w:sz="4" w:space="0" w:color="000000"/>
            </w:tcBorders>
            <w:noWrap/>
            <w:hideMark/>
          </w:tcPr>
          <w:p w14:paraId="069A6EBE"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271.176</w:t>
            </w:r>
          </w:p>
        </w:tc>
        <w:tc>
          <w:tcPr>
            <w:tcW w:w="945" w:type="dxa"/>
            <w:tcBorders>
              <w:top w:val="single" w:sz="4" w:space="0" w:color="000000"/>
              <w:left w:val="single" w:sz="4" w:space="0" w:color="000000"/>
              <w:bottom w:val="single" w:sz="4" w:space="0" w:color="000000"/>
              <w:right w:val="single" w:sz="4" w:space="0" w:color="000000"/>
            </w:tcBorders>
            <w:noWrap/>
            <w:hideMark/>
          </w:tcPr>
          <w:p w14:paraId="6D971802"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270.000</w:t>
            </w:r>
          </w:p>
        </w:tc>
        <w:tc>
          <w:tcPr>
            <w:tcW w:w="945" w:type="dxa"/>
            <w:tcBorders>
              <w:top w:val="single" w:sz="4" w:space="0" w:color="000000"/>
              <w:left w:val="single" w:sz="4" w:space="0" w:color="000000"/>
              <w:bottom w:val="single" w:sz="4" w:space="0" w:color="000000"/>
              <w:right w:val="single" w:sz="4" w:space="0" w:color="000000"/>
            </w:tcBorders>
            <w:noWrap/>
            <w:hideMark/>
          </w:tcPr>
          <w:p w14:paraId="5880EC47"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270.071</w:t>
            </w:r>
          </w:p>
        </w:tc>
      </w:tr>
      <w:tr w:rsidR="002A39A3" w14:paraId="4F8ED76F"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2ED90BB7"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Gastos de Comercialización</w:t>
            </w:r>
          </w:p>
        </w:tc>
        <w:tc>
          <w:tcPr>
            <w:tcW w:w="1359" w:type="dxa"/>
            <w:tcBorders>
              <w:top w:val="single" w:sz="4" w:space="0" w:color="000000"/>
              <w:left w:val="single" w:sz="4" w:space="0" w:color="000000"/>
              <w:bottom w:val="single" w:sz="4" w:space="0" w:color="000000"/>
              <w:right w:val="single" w:sz="4" w:space="0" w:color="000000"/>
            </w:tcBorders>
            <w:noWrap/>
            <w:hideMark/>
          </w:tcPr>
          <w:p w14:paraId="57A3318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57.728</w:t>
            </w:r>
          </w:p>
        </w:tc>
        <w:tc>
          <w:tcPr>
            <w:tcW w:w="1101" w:type="dxa"/>
            <w:tcBorders>
              <w:top w:val="single" w:sz="4" w:space="0" w:color="000000"/>
              <w:left w:val="single" w:sz="4" w:space="0" w:color="000000"/>
              <w:bottom w:val="single" w:sz="4" w:space="0" w:color="000000"/>
              <w:right w:val="single" w:sz="4" w:space="0" w:color="000000"/>
            </w:tcBorders>
            <w:noWrap/>
            <w:hideMark/>
          </w:tcPr>
          <w:p w14:paraId="2AB04E9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48C4511F"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57.728</w:t>
            </w:r>
          </w:p>
        </w:tc>
        <w:tc>
          <w:tcPr>
            <w:tcW w:w="912" w:type="dxa"/>
            <w:tcBorders>
              <w:top w:val="single" w:sz="4" w:space="0" w:color="000000"/>
              <w:left w:val="single" w:sz="4" w:space="0" w:color="000000"/>
              <w:bottom w:val="single" w:sz="4" w:space="0" w:color="000000"/>
              <w:right w:val="single" w:sz="4" w:space="0" w:color="000000"/>
            </w:tcBorders>
            <w:noWrap/>
            <w:hideMark/>
          </w:tcPr>
          <w:p w14:paraId="2E68F0AC"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44.447</w:t>
            </w:r>
          </w:p>
        </w:tc>
        <w:tc>
          <w:tcPr>
            <w:tcW w:w="945" w:type="dxa"/>
            <w:tcBorders>
              <w:top w:val="single" w:sz="4" w:space="0" w:color="000000"/>
              <w:left w:val="single" w:sz="4" w:space="0" w:color="000000"/>
              <w:bottom w:val="single" w:sz="4" w:space="0" w:color="000000"/>
              <w:right w:val="single" w:sz="4" w:space="0" w:color="000000"/>
            </w:tcBorders>
            <w:noWrap/>
            <w:hideMark/>
          </w:tcPr>
          <w:p w14:paraId="0AE5CB3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48.326</w:t>
            </w:r>
          </w:p>
        </w:tc>
        <w:tc>
          <w:tcPr>
            <w:tcW w:w="945" w:type="dxa"/>
            <w:tcBorders>
              <w:top w:val="single" w:sz="4" w:space="0" w:color="000000"/>
              <w:left w:val="single" w:sz="4" w:space="0" w:color="000000"/>
              <w:bottom w:val="single" w:sz="4" w:space="0" w:color="000000"/>
              <w:right w:val="single" w:sz="4" w:space="0" w:color="000000"/>
            </w:tcBorders>
            <w:noWrap/>
            <w:hideMark/>
          </w:tcPr>
          <w:p w14:paraId="2CB25A9F"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43.753</w:t>
            </w:r>
          </w:p>
        </w:tc>
        <w:tc>
          <w:tcPr>
            <w:tcW w:w="945" w:type="dxa"/>
            <w:tcBorders>
              <w:top w:val="single" w:sz="4" w:space="0" w:color="000000"/>
              <w:left w:val="single" w:sz="4" w:space="0" w:color="000000"/>
              <w:bottom w:val="single" w:sz="4" w:space="0" w:color="000000"/>
              <w:right w:val="single" w:sz="4" w:space="0" w:color="000000"/>
            </w:tcBorders>
            <w:noWrap/>
            <w:hideMark/>
          </w:tcPr>
          <w:p w14:paraId="514B447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47.116</w:t>
            </w:r>
          </w:p>
        </w:tc>
      </w:tr>
      <w:tr w:rsidR="002A39A3" w14:paraId="2B20D2C7"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35EB925E"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Gastos de Inversión</w:t>
            </w:r>
          </w:p>
        </w:tc>
        <w:tc>
          <w:tcPr>
            <w:tcW w:w="1359" w:type="dxa"/>
            <w:tcBorders>
              <w:top w:val="single" w:sz="4" w:space="0" w:color="000000"/>
              <w:left w:val="single" w:sz="4" w:space="0" w:color="000000"/>
              <w:bottom w:val="single" w:sz="4" w:space="0" w:color="000000"/>
              <w:right w:val="single" w:sz="4" w:space="0" w:color="000000"/>
            </w:tcBorders>
            <w:noWrap/>
            <w:hideMark/>
          </w:tcPr>
          <w:p w14:paraId="295B003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270.371</w:t>
            </w:r>
          </w:p>
        </w:tc>
        <w:tc>
          <w:tcPr>
            <w:tcW w:w="1101" w:type="dxa"/>
            <w:tcBorders>
              <w:top w:val="single" w:sz="4" w:space="0" w:color="000000"/>
              <w:left w:val="single" w:sz="4" w:space="0" w:color="000000"/>
              <w:bottom w:val="single" w:sz="4" w:space="0" w:color="000000"/>
              <w:right w:val="single" w:sz="4" w:space="0" w:color="000000"/>
            </w:tcBorders>
            <w:noWrap/>
            <w:hideMark/>
          </w:tcPr>
          <w:p w14:paraId="2323C5DA"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2E69F272"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270.371</w:t>
            </w:r>
          </w:p>
        </w:tc>
        <w:tc>
          <w:tcPr>
            <w:tcW w:w="912" w:type="dxa"/>
            <w:tcBorders>
              <w:top w:val="single" w:sz="4" w:space="0" w:color="000000"/>
              <w:left w:val="single" w:sz="4" w:space="0" w:color="000000"/>
              <w:bottom w:val="single" w:sz="4" w:space="0" w:color="000000"/>
              <w:right w:val="single" w:sz="4" w:space="0" w:color="000000"/>
            </w:tcBorders>
            <w:noWrap/>
            <w:hideMark/>
          </w:tcPr>
          <w:p w14:paraId="3186C65F"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196.451</w:t>
            </w:r>
          </w:p>
        </w:tc>
        <w:tc>
          <w:tcPr>
            <w:tcW w:w="945" w:type="dxa"/>
            <w:tcBorders>
              <w:top w:val="single" w:sz="4" w:space="0" w:color="000000"/>
              <w:left w:val="single" w:sz="4" w:space="0" w:color="000000"/>
              <w:bottom w:val="single" w:sz="4" w:space="0" w:color="000000"/>
              <w:right w:val="single" w:sz="4" w:space="0" w:color="000000"/>
            </w:tcBorders>
            <w:noWrap/>
            <w:hideMark/>
          </w:tcPr>
          <w:p w14:paraId="1A7504E1"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248.043</w:t>
            </w:r>
          </w:p>
        </w:tc>
        <w:tc>
          <w:tcPr>
            <w:tcW w:w="945" w:type="dxa"/>
            <w:tcBorders>
              <w:top w:val="single" w:sz="4" w:space="0" w:color="000000"/>
              <w:left w:val="single" w:sz="4" w:space="0" w:color="000000"/>
              <w:bottom w:val="single" w:sz="4" w:space="0" w:color="000000"/>
              <w:right w:val="single" w:sz="4" w:space="0" w:color="000000"/>
            </w:tcBorders>
            <w:noWrap/>
            <w:hideMark/>
          </w:tcPr>
          <w:p w14:paraId="1648E177"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122.654</w:t>
            </w:r>
          </w:p>
        </w:tc>
        <w:tc>
          <w:tcPr>
            <w:tcW w:w="945" w:type="dxa"/>
            <w:tcBorders>
              <w:top w:val="single" w:sz="4" w:space="0" w:color="000000"/>
              <w:left w:val="single" w:sz="4" w:space="0" w:color="000000"/>
              <w:bottom w:val="single" w:sz="4" w:space="0" w:color="000000"/>
              <w:right w:val="single" w:sz="4" w:space="0" w:color="000000"/>
            </w:tcBorders>
            <w:noWrap/>
            <w:hideMark/>
          </w:tcPr>
          <w:p w14:paraId="04FE4EC7"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122.181</w:t>
            </w:r>
          </w:p>
        </w:tc>
      </w:tr>
      <w:tr w:rsidR="002A39A3" w14:paraId="12D5C2D2"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2542F5C2"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Total, Recursos Propios</w:t>
            </w:r>
          </w:p>
        </w:tc>
        <w:tc>
          <w:tcPr>
            <w:tcW w:w="1359"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14DAE8AC"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639.783</w:t>
            </w:r>
          </w:p>
        </w:tc>
        <w:tc>
          <w:tcPr>
            <w:tcW w:w="1101"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2D1CD61E"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1.204</w:t>
            </w:r>
          </w:p>
        </w:tc>
        <w:tc>
          <w:tcPr>
            <w:tcW w:w="1417"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464F0940"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638.579</w:t>
            </w:r>
          </w:p>
        </w:tc>
        <w:tc>
          <w:tcPr>
            <w:tcW w:w="912"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6122B99C"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536.788</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0C377BF4"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594.243</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479AF0CB"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446.900</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1E147B95"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455.849</w:t>
            </w:r>
          </w:p>
        </w:tc>
      </w:tr>
    </w:tbl>
    <w:p w14:paraId="2D9FB4E7" w14:textId="77777777" w:rsidR="002A39A3" w:rsidRDefault="002A39A3" w:rsidP="00C02282">
      <w:pPr>
        <w:spacing w:after="0" w:line="240" w:lineRule="auto"/>
        <w:jc w:val="center"/>
        <w:rPr>
          <w:rFonts w:ascii="Arial" w:hAnsi="Arial" w:cs="Arial"/>
          <w:sz w:val="16"/>
          <w:szCs w:val="16"/>
          <w:highlight w:val="yellow"/>
          <w:lang w:eastAsia="es-ES"/>
        </w:rPr>
      </w:pPr>
    </w:p>
    <w:tbl>
      <w:tblPr>
        <w:tblStyle w:val="Tablaconcuadrcula"/>
        <w:tblW w:w="0" w:type="auto"/>
        <w:tblLayout w:type="fixed"/>
        <w:tblLook w:val="04A0" w:firstRow="1" w:lastRow="0" w:firstColumn="1" w:lastColumn="0" w:noHBand="0" w:noVBand="1"/>
      </w:tblPr>
      <w:tblGrid>
        <w:gridCol w:w="1788"/>
        <w:gridCol w:w="1359"/>
        <w:gridCol w:w="1101"/>
        <w:gridCol w:w="1417"/>
        <w:gridCol w:w="912"/>
        <w:gridCol w:w="945"/>
        <w:gridCol w:w="945"/>
        <w:gridCol w:w="945"/>
      </w:tblGrid>
      <w:tr w:rsidR="002A39A3" w14:paraId="2FA46A97" w14:textId="77777777" w:rsidTr="002A39A3">
        <w:trPr>
          <w:trHeight w:val="411"/>
        </w:trPr>
        <w:tc>
          <w:tcPr>
            <w:tcW w:w="1788"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F775095"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DESCRIPCIÓN</w:t>
            </w:r>
          </w:p>
        </w:tc>
        <w:tc>
          <w:tcPr>
            <w:tcW w:w="1359"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F5B45FC"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APROPIACION INICIAL</w:t>
            </w:r>
          </w:p>
        </w:tc>
        <w:tc>
          <w:tcPr>
            <w:tcW w:w="1101"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B98B6ED"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APLAZAMIENTO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2CAE8EE5"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APROPIACIÓN DISPONIBLE</w:t>
            </w:r>
          </w:p>
        </w:tc>
        <w:tc>
          <w:tcPr>
            <w:tcW w:w="1857"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3FACB724"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OBLIGACIONES ACUMULADAS</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5FFAB2A6"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PAGOS ACUMULADOS</w:t>
            </w:r>
          </w:p>
        </w:tc>
      </w:tr>
      <w:tr w:rsidR="002A39A3" w14:paraId="2D4D4D85" w14:textId="77777777" w:rsidTr="002A39A3">
        <w:trPr>
          <w:trHeight w:val="315"/>
        </w:trPr>
        <w:tc>
          <w:tcPr>
            <w:tcW w:w="1788" w:type="dxa"/>
            <w:vMerge/>
            <w:tcBorders>
              <w:top w:val="single" w:sz="4" w:space="0" w:color="000000"/>
              <w:left w:val="single" w:sz="4" w:space="0" w:color="000000"/>
              <w:bottom w:val="single" w:sz="4" w:space="0" w:color="000000"/>
              <w:right w:val="single" w:sz="4" w:space="0" w:color="000000"/>
            </w:tcBorders>
            <w:vAlign w:val="center"/>
            <w:hideMark/>
          </w:tcPr>
          <w:p w14:paraId="5199E5FE" w14:textId="77777777" w:rsidR="002A39A3" w:rsidRDefault="002A39A3">
            <w:pPr>
              <w:rPr>
                <w:rFonts w:ascii="Arial" w:hAnsi="Arial" w:cs="Arial"/>
                <w:b/>
                <w:bCs/>
                <w:sz w:val="16"/>
                <w:szCs w:val="16"/>
                <w:lang w:eastAsia="es-ES"/>
              </w:rPr>
            </w:pPr>
          </w:p>
        </w:tc>
        <w:tc>
          <w:tcPr>
            <w:tcW w:w="1359" w:type="dxa"/>
            <w:vMerge/>
            <w:tcBorders>
              <w:top w:val="single" w:sz="4" w:space="0" w:color="000000"/>
              <w:left w:val="single" w:sz="4" w:space="0" w:color="000000"/>
              <w:bottom w:val="single" w:sz="4" w:space="0" w:color="000000"/>
              <w:right w:val="single" w:sz="4" w:space="0" w:color="000000"/>
            </w:tcBorders>
            <w:vAlign w:val="center"/>
            <w:hideMark/>
          </w:tcPr>
          <w:p w14:paraId="18191186" w14:textId="77777777" w:rsidR="002A39A3" w:rsidRDefault="002A39A3">
            <w:pPr>
              <w:rPr>
                <w:rFonts w:ascii="Arial" w:hAnsi="Arial" w:cs="Arial"/>
                <w:b/>
                <w:bCs/>
                <w:sz w:val="16"/>
                <w:szCs w:val="16"/>
                <w:lang w:eastAsia="es-ES"/>
              </w:rPr>
            </w:pPr>
          </w:p>
        </w:tc>
        <w:tc>
          <w:tcPr>
            <w:tcW w:w="1101" w:type="dxa"/>
            <w:vMerge/>
            <w:tcBorders>
              <w:top w:val="single" w:sz="4" w:space="0" w:color="000000"/>
              <w:left w:val="single" w:sz="4" w:space="0" w:color="000000"/>
              <w:bottom w:val="single" w:sz="4" w:space="0" w:color="000000"/>
              <w:right w:val="single" w:sz="4" w:space="0" w:color="000000"/>
            </w:tcBorders>
            <w:vAlign w:val="center"/>
            <w:hideMark/>
          </w:tcPr>
          <w:p w14:paraId="14C209C3" w14:textId="77777777" w:rsidR="002A39A3" w:rsidRDefault="002A39A3">
            <w:pPr>
              <w:rPr>
                <w:rFonts w:ascii="Arial" w:hAnsi="Arial" w:cs="Arial"/>
                <w:b/>
                <w:bCs/>
                <w:sz w:val="16"/>
                <w:szCs w:val="16"/>
                <w:lang w:eastAsia="es-ES"/>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72FD4DA3" w14:textId="77777777" w:rsidR="002A39A3" w:rsidRDefault="002A39A3">
            <w:pPr>
              <w:rPr>
                <w:rFonts w:ascii="Arial" w:hAnsi="Arial" w:cs="Arial"/>
                <w:b/>
                <w:bCs/>
                <w:sz w:val="16"/>
                <w:szCs w:val="16"/>
                <w:lang w:eastAsia="es-ES"/>
              </w:rPr>
            </w:pPr>
          </w:p>
        </w:tc>
        <w:tc>
          <w:tcPr>
            <w:tcW w:w="912"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7A985136"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 TRIM</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40706D24"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II TRIM</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3417E6E7"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 TRIM</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14020A2E"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II TRIM</w:t>
            </w:r>
          </w:p>
        </w:tc>
      </w:tr>
      <w:tr w:rsidR="002A39A3" w14:paraId="1EF450C6"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09A3B3BF"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Gastos de Funcionamiento</w:t>
            </w:r>
          </w:p>
        </w:tc>
        <w:tc>
          <w:tcPr>
            <w:tcW w:w="1359" w:type="dxa"/>
            <w:tcBorders>
              <w:top w:val="single" w:sz="4" w:space="0" w:color="000000"/>
              <w:left w:val="single" w:sz="4" w:space="0" w:color="000000"/>
              <w:bottom w:val="single" w:sz="4" w:space="0" w:color="000000"/>
              <w:right w:val="single" w:sz="4" w:space="0" w:color="000000"/>
            </w:tcBorders>
            <w:noWrap/>
            <w:hideMark/>
          </w:tcPr>
          <w:p w14:paraId="6833645A"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369.412</w:t>
            </w:r>
          </w:p>
        </w:tc>
        <w:tc>
          <w:tcPr>
            <w:tcW w:w="1101" w:type="dxa"/>
            <w:tcBorders>
              <w:top w:val="single" w:sz="4" w:space="0" w:color="000000"/>
              <w:left w:val="single" w:sz="4" w:space="0" w:color="000000"/>
              <w:bottom w:val="single" w:sz="4" w:space="0" w:color="000000"/>
              <w:right w:val="single" w:sz="4" w:space="0" w:color="000000"/>
            </w:tcBorders>
            <w:noWrap/>
            <w:hideMark/>
          </w:tcPr>
          <w:p w14:paraId="169DB2DB"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1.204</w:t>
            </w:r>
          </w:p>
        </w:tc>
        <w:tc>
          <w:tcPr>
            <w:tcW w:w="1417" w:type="dxa"/>
            <w:tcBorders>
              <w:top w:val="single" w:sz="4" w:space="0" w:color="000000"/>
              <w:left w:val="single" w:sz="4" w:space="0" w:color="000000"/>
              <w:bottom w:val="single" w:sz="4" w:space="0" w:color="000000"/>
              <w:right w:val="single" w:sz="4" w:space="0" w:color="000000"/>
            </w:tcBorders>
            <w:noWrap/>
            <w:hideMark/>
          </w:tcPr>
          <w:p w14:paraId="3AE32D16"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368.208</w:t>
            </w:r>
          </w:p>
        </w:tc>
        <w:tc>
          <w:tcPr>
            <w:tcW w:w="912" w:type="dxa"/>
            <w:tcBorders>
              <w:top w:val="single" w:sz="4" w:space="0" w:color="000000"/>
              <w:left w:val="single" w:sz="4" w:space="0" w:color="000000"/>
              <w:bottom w:val="single" w:sz="4" w:space="0" w:color="000000"/>
              <w:right w:val="single" w:sz="4" w:space="0" w:color="000000"/>
            </w:tcBorders>
            <w:noWrap/>
            <w:hideMark/>
          </w:tcPr>
          <w:p w14:paraId="3845814E"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281.199</w:t>
            </w:r>
          </w:p>
        </w:tc>
        <w:tc>
          <w:tcPr>
            <w:tcW w:w="945" w:type="dxa"/>
            <w:tcBorders>
              <w:top w:val="single" w:sz="4" w:space="0" w:color="000000"/>
              <w:left w:val="single" w:sz="4" w:space="0" w:color="000000"/>
              <w:bottom w:val="single" w:sz="4" w:space="0" w:color="000000"/>
              <w:right w:val="single" w:sz="4" w:space="0" w:color="000000"/>
            </w:tcBorders>
            <w:noWrap/>
            <w:hideMark/>
          </w:tcPr>
          <w:p w14:paraId="5D7E5EC8"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304.198</w:t>
            </w:r>
          </w:p>
        </w:tc>
        <w:tc>
          <w:tcPr>
            <w:tcW w:w="945" w:type="dxa"/>
            <w:tcBorders>
              <w:top w:val="single" w:sz="4" w:space="0" w:color="000000"/>
              <w:left w:val="single" w:sz="4" w:space="0" w:color="000000"/>
              <w:bottom w:val="single" w:sz="4" w:space="0" w:color="000000"/>
              <w:right w:val="single" w:sz="4" w:space="0" w:color="000000"/>
            </w:tcBorders>
            <w:noWrap/>
            <w:hideMark/>
          </w:tcPr>
          <w:p w14:paraId="54070981"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281.148</w:t>
            </w:r>
          </w:p>
        </w:tc>
        <w:tc>
          <w:tcPr>
            <w:tcW w:w="945" w:type="dxa"/>
            <w:tcBorders>
              <w:top w:val="single" w:sz="4" w:space="0" w:color="000000"/>
              <w:left w:val="single" w:sz="4" w:space="0" w:color="000000"/>
              <w:bottom w:val="single" w:sz="4" w:space="0" w:color="000000"/>
              <w:right w:val="single" w:sz="4" w:space="0" w:color="000000"/>
            </w:tcBorders>
            <w:noWrap/>
            <w:hideMark/>
          </w:tcPr>
          <w:p w14:paraId="2D047474"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303.939</w:t>
            </w:r>
          </w:p>
        </w:tc>
      </w:tr>
      <w:tr w:rsidR="002A39A3" w14:paraId="77786600"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1DCB6C1C"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lastRenderedPageBreak/>
              <w:t>Gastos de Personal</w:t>
            </w:r>
          </w:p>
        </w:tc>
        <w:tc>
          <w:tcPr>
            <w:tcW w:w="1359" w:type="dxa"/>
            <w:tcBorders>
              <w:top w:val="single" w:sz="4" w:space="0" w:color="000000"/>
              <w:left w:val="single" w:sz="4" w:space="0" w:color="000000"/>
              <w:bottom w:val="single" w:sz="4" w:space="0" w:color="000000"/>
              <w:right w:val="single" w:sz="4" w:space="0" w:color="000000"/>
            </w:tcBorders>
            <w:noWrap/>
            <w:hideMark/>
          </w:tcPr>
          <w:p w14:paraId="1FFF402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26.551</w:t>
            </w:r>
          </w:p>
        </w:tc>
        <w:tc>
          <w:tcPr>
            <w:tcW w:w="1101" w:type="dxa"/>
            <w:tcBorders>
              <w:top w:val="single" w:sz="4" w:space="0" w:color="000000"/>
              <w:left w:val="single" w:sz="4" w:space="0" w:color="000000"/>
              <w:bottom w:val="single" w:sz="4" w:space="0" w:color="000000"/>
              <w:right w:val="single" w:sz="4" w:space="0" w:color="000000"/>
            </w:tcBorders>
            <w:noWrap/>
            <w:hideMark/>
          </w:tcPr>
          <w:p w14:paraId="1E4C9A58"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1.204</w:t>
            </w:r>
          </w:p>
        </w:tc>
        <w:tc>
          <w:tcPr>
            <w:tcW w:w="1417" w:type="dxa"/>
            <w:tcBorders>
              <w:top w:val="single" w:sz="4" w:space="0" w:color="000000"/>
              <w:left w:val="single" w:sz="4" w:space="0" w:color="000000"/>
              <w:bottom w:val="single" w:sz="4" w:space="0" w:color="000000"/>
              <w:right w:val="single" w:sz="4" w:space="0" w:color="000000"/>
            </w:tcBorders>
            <w:noWrap/>
            <w:hideMark/>
          </w:tcPr>
          <w:p w14:paraId="7BC9DFB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25.347</w:t>
            </w:r>
          </w:p>
        </w:tc>
        <w:tc>
          <w:tcPr>
            <w:tcW w:w="912" w:type="dxa"/>
            <w:tcBorders>
              <w:top w:val="single" w:sz="4" w:space="0" w:color="000000"/>
              <w:left w:val="single" w:sz="4" w:space="0" w:color="000000"/>
              <w:bottom w:val="single" w:sz="4" w:space="0" w:color="000000"/>
              <w:right w:val="single" w:sz="4" w:space="0" w:color="000000"/>
            </w:tcBorders>
            <w:noWrap/>
            <w:hideMark/>
          </w:tcPr>
          <w:p w14:paraId="0A98165F"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5.144</w:t>
            </w:r>
          </w:p>
        </w:tc>
        <w:tc>
          <w:tcPr>
            <w:tcW w:w="945" w:type="dxa"/>
            <w:tcBorders>
              <w:top w:val="single" w:sz="4" w:space="0" w:color="000000"/>
              <w:left w:val="single" w:sz="4" w:space="0" w:color="000000"/>
              <w:bottom w:val="single" w:sz="4" w:space="0" w:color="000000"/>
              <w:right w:val="single" w:sz="4" w:space="0" w:color="000000"/>
            </w:tcBorders>
            <w:noWrap/>
            <w:hideMark/>
          </w:tcPr>
          <w:p w14:paraId="079EF87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10.526</w:t>
            </w:r>
          </w:p>
        </w:tc>
        <w:tc>
          <w:tcPr>
            <w:tcW w:w="945" w:type="dxa"/>
            <w:tcBorders>
              <w:top w:val="single" w:sz="4" w:space="0" w:color="000000"/>
              <w:left w:val="single" w:sz="4" w:space="0" w:color="000000"/>
              <w:bottom w:val="single" w:sz="4" w:space="0" w:color="000000"/>
              <w:right w:val="single" w:sz="4" w:space="0" w:color="000000"/>
            </w:tcBorders>
            <w:noWrap/>
            <w:hideMark/>
          </w:tcPr>
          <w:p w14:paraId="78AF4279"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5.144</w:t>
            </w:r>
          </w:p>
        </w:tc>
        <w:tc>
          <w:tcPr>
            <w:tcW w:w="945" w:type="dxa"/>
            <w:tcBorders>
              <w:top w:val="single" w:sz="4" w:space="0" w:color="000000"/>
              <w:left w:val="single" w:sz="4" w:space="0" w:color="000000"/>
              <w:bottom w:val="single" w:sz="4" w:space="0" w:color="000000"/>
              <w:right w:val="single" w:sz="4" w:space="0" w:color="000000"/>
            </w:tcBorders>
            <w:noWrap/>
            <w:hideMark/>
          </w:tcPr>
          <w:p w14:paraId="76961A3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10.526</w:t>
            </w:r>
          </w:p>
        </w:tc>
      </w:tr>
      <w:tr w:rsidR="002A39A3" w14:paraId="105917B2"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60EE0CDA"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Gastos Generales</w:t>
            </w:r>
          </w:p>
        </w:tc>
        <w:tc>
          <w:tcPr>
            <w:tcW w:w="1359" w:type="dxa"/>
            <w:tcBorders>
              <w:top w:val="single" w:sz="4" w:space="0" w:color="000000"/>
              <w:left w:val="single" w:sz="4" w:space="0" w:color="000000"/>
              <w:bottom w:val="single" w:sz="4" w:space="0" w:color="000000"/>
              <w:right w:val="single" w:sz="4" w:space="0" w:color="000000"/>
            </w:tcBorders>
            <w:noWrap/>
            <w:hideMark/>
          </w:tcPr>
          <w:p w14:paraId="276FF4F8"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8.554</w:t>
            </w:r>
          </w:p>
        </w:tc>
        <w:tc>
          <w:tcPr>
            <w:tcW w:w="1101" w:type="dxa"/>
            <w:tcBorders>
              <w:top w:val="single" w:sz="4" w:space="0" w:color="000000"/>
              <w:left w:val="single" w:sz="4" w:space="0" w:color="000000"/>
              <w:bottom w:val="single" w:sz="4" w:space="0" w:color="000000"/>
              <w:right w:val="single" w:sz="4" w:space="0" w:color="000000"/>
            </w:tcBorders>
            <w:noWrap/>
            <w:hideMark/>
          </w:tcPr>
          <w:p w14:paraId="0D15858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0DB0E8DC"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8.554</w:t>
            </w:r>
          </w:p>
        </w:tc>
        <w:tc>
          <w:tcPr>
            <w:tcW w:w="912" w:type="dxa"/>
            <w:tcBorders>
              <w:top w:val="single" w:sz="4" w:space="0" w:color="000000"/>
              <w:left w:val="single" w:sz="4" w:space="0" w:color="000000"/>
              <w:bottom w:val="single" w:sz="4" w:space="0" w:color="000000"/>
              <w:right w:val="single" w:sz="4" w:space="0" w:color="000000"/>
            </w:tcBorders>
            <w:noWrap/>
            <w:hideMark/>
          </w:tcPr>
          <w:p w14:paraId="56E1FEB6"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856</w:t>
            </w:r>
          </w:p>
        </w:tc>
        <w:tc>
          <w:tcPr>
            <w:tcW w:w="945" w:type="dxa"/>
            <w:tcBorders>
              <w:top w:val="single" w:sz="4" w:space="0" w:color="000000"/>
              <w:left w:val="single" w:sz="4" w:space="0" w:color="000000"/>
              <w:bottom w:val="single" w:sz="4" w:space="0" w:color="000000"/>
              <w:right w:val="single" w:sz="4" w:space="0" w:color="000000"/>
            </w:tcBorders>
            <w:noWrap/>
            <w:hideMark/>
          </w:tcPr>
          <w:p w14:paraId="36F56E33"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2.337</w:t>
            </w:r>
          </w:p>
        </w:tc>
        <w:tc>
          <w:tcPr>
            <w:tcW w:w="945" w:type="dxa"/>
            <w:tcBorders>
              <w:top w:val="single" w:sz="4" w:space="0" w:color="000000"/>
              <w:left w:val="single" w:sz="4" w:space="0" w:color="000000"/>
              <w:bottom w:val="single" w:sz="4" w:space="0" w:color="000000"/>
              <w:right w:val="single" w:sz="4" w:space="0" w:color="000000"/>
            </w:tcBorders>
            <w:noWrap/>
            <w:hideMark/>
          </w:tcPr>
          <w:p w14:paraId="00916B74"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832</w:t>
            </w:r>
          </w:p>
        </w:tc>
        <w:tc>
          <w:tcPr>
            <w:tcW w:w="945" w:type="dxa"/>
            <w:tcBorders>
              <w:top w:val="single" w:sz="4" w:space="0" w:color="000000"/>
              <w:left w:val="single" w:sz="4" w:space="0" w:color="000000"/>
              <w:bottom w:val="single" w:sz="4" w:space="0" w:color="000000"/>
              <w:right w:val="single" w:sz="4" w:space="0" w:color="000000"/>
            </w:tcBorders>
            <w:noWrap/>
            <w:hideMark/>
          </w:tcPr>
          <w:p w14:paraId="65D3FB35"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2.136</w:t>
            </w:r>
          </w:p>
        </w:tc>
      </w:tr>
      <w:tr w:rsidR="002A39A3" w14:paraId="1161609F"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44EEB4C5"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Transferencias Corrientes</w:t>
            </w:r>
          </w:p>
        </w:tc>
        <w:tc>
          <w:tcPr>
            <w:tcW w:w="1359" w:type="dxa"/>
            <w:tcBorders>
              <w:top w:val="single" w:sz="4" w:space="0" w:color="000000"/>
              <w:left w:val="single" w:sz="4" w:space="0" w:color="000000"/>
              <w:bottom w:val="single" w:sz="4" w:space="0" w:color="000000"/>
              <w:right w:val="single" w:sz="4" w:space="0" w:color="000000"/>
            </w:tcBorders>
            <w:noWrap/>
            <w:hideMark/>
          </w:tcPr>
          <w:p w14:paraId="1499D0BF"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276.579</w:t>
            </w:r>
          </w:p>
        </w:tc>
        <w:tc>
          <w:tcPr>
            <w:tcW w:w="1101" w:type="dxa"/>
            <w:tcBorders>
              <w:top w:val="single" w:sz="4" w:space="0" w:color="000000"/>
              <w:left w:val="single" w:sz="4" w:space="0" w:color="000000"/>
              <w:bottom w:val="single" w:sz="4" w:space="0" w:color="000000"/>
              <w:right w:val="single" w:sz="4" w:space="0" w:color="000000"/>
            </w:tcBorders>
            <w:noWrap/>
            <w:hideMark/>
          </w:tcPr>
          <w:p w14:paraId="6BE9E76E"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07606212"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276.579</w:t>
            </w:r>
          </w:p>
        </w:tc>
        <w:tc>
          <w:tcPr>
            <w:tcW w:w="912" w:type="dxa"/>
            <w:tcBorders>
              <w:top w:val="single" w:sz="4" w:space="0" w:color="000000"/>
              <w:left w:val="single" w:sz="4" w:space="0" w:color="000000"/>
              <w:bottom w:val="single" w:sz="4" w:space="0" w:color="000000"/>
              <w:right w:val="single" w:sz="4" w:space="0" w:color="000000"/>
            </w:tcBorders>
            <w:noWrap/>
            <w:hideMark/>
          </w:tcPr>
          <w:p w14:paraId="179F10CD"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270.000</w:t>
            </w:r>
          </w:p>
        </w:tc>
        <w:tc>
          <w:tcPr>
            <w:tcW w:w="945" w:type="dxa"/>
            <w:tcBorders>
              <w:top w:val="single" w:sz="4" w:space="0" w:color="000000"/>
              <w:left w:val="single" w:sz="4" w:space="0" w:color="000000"/>
              <w:bottom w:val="single" w:sz="4" w:space="0" w:color="000000"/>
              <w:right w:val="single" w:sz="4" w:space="0" w:color="000000"/>
            </w:tcBorders>
            <w:noWrap/>
            <w:hideMark/>
          </w:tcPr>
          <w:p w14:paraId="4C544E28"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270.000</w:t>
            </w:r>
          </w:p>
        </w:tc>
        <w:tc>
          <w:tcPr>
            <w:tcW w:w="945" w:type="dxa"/>
            <w:tcBorders>
              <w:top w:val="single" w:sz="4" w:space="0" w:color="000000"/>
              <w:left w:val="single" w:sz="4" w:space="0" w:color="000000"/>
              <w:bottom w:val="single" w:sz="4" w:space="0" w:color="000000"/>
              <w:right w:val="single" w:sz="4" w:space="0" w:color="000000"/>
            </w:tcBorders>
            <w:noWrap/>
            <w:hideMark/>
          </w:tcPr>
          <w:p w14:paraId="59472B86"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270.000</w:t>
            </w:r>
          </w:p>
        </w:tc>
        <w:tc>
          <w:tcPr>
            <w:tcW w:w="945" w:type="dxa"/>
            <w:tcBorders>
              <w:top w:val="single" w:sz="4" w:space="0" w:color="000000"/>
              <w:left w:val="single" w:sz="4" w:space="0" w:color="000000"/>
              <w:bottom w:val="single" w:sz="4" w:space="0" w:color="000000"/>
              <w:right w:val="single" w:sz="4" w:space="0" w:color="000000"/>
            </w:tcBorders>
            <w:noWrap/>
            <w:hideMark/>
          </w:tcPr>
          <w:p w14:paraId="1A5D891A"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270.000</w:t>
            </w:r>
          </w:p>
        </w:tc>
      </w:tr>
      <w:tr w:rsidR="002A39A3" w14:paraId="0B7A1207"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5FC473C0" w14:textId="77777777" w:rsidR="002A39A3" w:rsidRDefault="002A39A3">
            <w:pPr>
              <w:jc w:val="both"/>
              <w:rPr>
                <w:rFonts w:ascii="Arial" w:hAnsi="Arial" w:cs="Arial"/>
                <w:bCs/>
                <w:sz w:val="16"/>
                <w:szCs w:val="16"/>
                <w:lang w:eastAsia="es-ES"/>
              </w:rPr>
            </w:pPr>
            <w:r>
              <w:rPr>
                <w:rFonts w:ascii="Arial" w:hAnsi="Arial" w:cs="Arial"/>
                <w:bCs/>
                <w:sz w:val="16"/>
                <w:szCs w:val="16"/>
                <w:lang w:eastAsia="es-ES"/>
              </w:rPr>
              <w:t>Gastos de Comercialización</w:t>
            </w:r>
          </w:p>
        </w:tc>
        <w:tc>
          <w:tcPr>
            <w:tcW w:w="1359" w:type="dxa"/>
            <w:tcBorders>
              <w:top w:val="single" w:sz="4" w:space="0" w:color="000000"/>
              <w:left w:val="single" w:sz="4" w:space="0" w:color="000000"/>
              <w:bottom w:val="single" w:sz="4" w:space="0" w:color="000000"/>
              <w:right w:val="single" w:sz="4" w:space="0" w:color="000000"/>
            </w:tcBorders>
            <w:noWrap/>
            <w:hideMark/>
          </w:tcPr>
          <w:p w14:paraId="0E996B3D"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57.728</w:t>
            </w:r>
          </w:p>
        </w:tc>
        <w:tc>
          <w:tcPr>
            <w:tcW w:w="1101" w:type="dxa"/>
            <w:tcBorders>
              <w:top w:val="single" w:sz="4" w:space="0" w:color="000000"/>
              <w:left w:val="single" w:sz="4" w:space="0" w:color="000000"/>
              <w:bottom w:val="single" w:sz="4" w:space="0" w:color="000000"/>
              <w:right w:val="single" w:sz="4" w:space="0" w:color="000000"/>
            </w:tcBorders>
            <w:noWrap/>
            <w:hideMark/>
          </w:tcPr>
          <w:p w14:paraId="2EB3B883"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3FBA39A7"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57.728</w:t>
            </w:r>
          </w:p>
        </w:tc>
        <w:tc>
          <w:tcPr>
            <w:tcW w:w="912" w:type="dxa"/>
            <w:tcBorders>
              <w:top w:val="single" w:sz="4" w:space="0" w:color="000000"/>
              <w:left w:val="single" w:sz="4" w:space="0" w:color="000000"/>
              <w:bottom w:val="single" w:sz="4" w:space="0" w:color="000000"/>
              <w:right w:val="single" w:sz="4" w:space="0" w:color="000000"/>
            </w:tcBorders>
            <w:noWrap/>
            <w:hideMark/>
          </w:tcPr>
          <w:p w14:paraId="6642A11E"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5.198</w:t>
            </w:r>
          </w:p>
        </w:tc>
        <w:tc>
          <w:tcPr>
            <w:tcW w:w="945" w:type="dxa"/>
            <w:tcBorders>
              <w:top w:val="single" w:sz="4" w:space="0" w:color="000000"/>
              <w:left w:val="single" w:sz="4" w:space="0" w:color="000000"/>
              <w:bottom w:val="single" w:sz="4" w:space="0" w:color="000000"/>
              <w:right w:val="single" w:sz="4" w:space="0" w:color="000000"/>
            </w:tcBorders>
            <w:noWrap/>
            <w:hideMark/>
          </w:tcPr>
          <w:p w14:paraId="252BF9D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21.335</w:t>
            </w:r>
          </w:p>
        </w:tc>
        <w:tc>
          <w:tcPr>
            <w:tcW w:w="945" w:type="dxa"/>
            <w:tcBorders>
              <w:top w:val="single" w:sz="4" w:space="0" w:color="000000"/>
              <w:left w:val="single" w:sz="4" w:space="0" w:color="000000"/>
              <w:bottom w:val="single" w:sz="4" w:space="0" w:color="000000"/>
              <w:right w:val="single" w:sz="4" w:space="0" w:color="000000"/>
            </w:tcBorders>
            <w:noWrap/>
            <w:hideMark/>
          </w:tcPr>
          <w:p w14:paraId="231D0700"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5.172</w:t>
            </w:r>
          </w:p>
        </w:tc>
        <w:tc>
          <w:tcPr>
            <w:tcW w:w="945" w:type="dxa"/>
            <w:tcBorders>
              <w:top w:val="single" w:sz="4" w:space="0" w:color="000000"/>
              <w:left w:val="single" w:sz="4" w:space="0" w:color="000000"/>
              <w:bottom w:val="single" w:sz="4" w:space="0" w:color="000000"/>
              <w:right w:val="single" w:sz="4" w:space="0" w:color="000000"/>
            </w:tcBorders>
            <w:noWrap/>
            <w:hideMark/>
          </w:tcPr>
          <w:p w14:paraId="2BA24692"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21.277</w:t>
            </w:r>
          </w:p>
        </w:tc>
      </w:tr>
      <w:tr w:rsidR="002A39A3" w14:paraId="1B99256A"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noWrap/>
            <w:hideMark/>
          </w:tcPr>
          <w:p w14:paraId="651258DA"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Gastos de Inversión</w:t>
            </w:r>
          </w:p>
        </w:tc>
        <w:tc>
          <w:tcPr>
            <w:tcW w:w="1359" w:type="dxa"/>
            <w:tcBorders>
              <w:top w:val="single" w:sz="4" w:space="0" w:color="000000"/>
              <w:left w:val="single" w:sz="4" w:space="0" w:color="000000"/>
              <w:bottom w:val="single" w:sz="4" w:space="0" w:color="000000"/>
              <w:right w:val="single" w:sz="4" w:space="0" w:color="000000"/>
            </w:tcBorders>
            <w:noWrap/>
            <w:hideMark/>
          </w:tcPr>
          <w:p w14:paraId="0BE799E3"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270.371</w:t>
            </w:r>
          </w:p>
        </w:tc>
        <w:tc>
          <w:tcPr>
            <w:tcW w:w="1101" w:type="dxa"/>
            <w:tcBorders>
              <w:top w:val="single" w:sz="4" w:space="0" w:color="000000"/>
              <w:left w:val="single" w:sz="4" w:space="0" w:color="000000"/>
              <w:bottom w:val="single" w:sz="4" w:space="0" w:color="000000"/>
              <w:right w:val="single" w:sz="4" w:space="0" w:color="000000"/>
            </w:tcBorders>
            <w:noWrap/>
            <w:hideMark/>
          </w:tcPr>
          <w:p w14:paraId="4F074226"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 </w:t>
            </w:r>
          </w:p>
        </w:tc>
        <w:tc>
          <w:tcPr>
            <w:tcW w:w="1417" w:type="dxa"/>
            <w:tcBorders>
              <w:top w:val="single" w:sz="4" w:space="0" w:color="000000"/>
              <w:left w:val="single" w:sz="4" w:space="0" w:color="000000"/>
              <w:bottom w:val="single" w:sz="4" w:space="0" w:color="000000"/>
              <w:right w:val="single" w:sz="4" w:space="0" w:color="000000"/>
            </w:tcBorders>
            <w:noWrap/>
            <w:hideMark/>
          </w:tcPr>
          <w:p w14:paraId="64819DD8"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270.371</w:t>
            </w:r>
          </w:p>
        </w:tc>
        <w:tc>
          <w:tcPr>
            <w:tcW w:w="912" w:type="dxa"/>
            <w:tcBorders>
              <w:top w:val="single" w:sz="4" w:space="0" w:color="000000"/>
              <w:left w:val="single" w:sz="4" w:space="0" w:color="000000"/>
              <w:bottom w:val="single" w:sz="4" w:space="0" w:color="000000"/>
              <w:right w:val="single" w:sz="4" w:space="0" w:color="000000"/>
            </w:tcBorders>
            <w:noWrap/>
            <w:hideMark/>
          </w:tcPr>
          <w:p w14:paraId="5B9152D7"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3.429</w:t>
            </w:r>
          </w:p>
        </w:tc>
        <w:tc>
          <w:tcPr>
            <w:tcW w:w="945" w:type="dxa"/>
            <w:tcBorders>
              <w:top w:val="single" w:sz="4" w:space="0" w:color="000000"/>
              <w:left w:val="single" w:sz="4" w:space="0" w:color="000000"/>
              <w:bottom w:val="single" w:sz="4" w:space="0" w:color="000000"/>
              <w:right w:val="single" w:sz="4" w:space="0" w:color="000000"/>
            </w:tcBorders>
            <w:noWrap/>
            <w:hideMark/>
          </w:tcPr>
          <w:p w14:paraId="7123E71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28.196</w:t>
            </w:r>
          </w:p>
        </w:tc>
        <w:tc>
          <w:tcPr>
            <w:tcW w:w="945" w:type="dxa"/>
            <w:tcBorders>
              <w:top w:val="single" w:sz="4" w:space="0" w:color="000000"/>
              <w:left w:val="single" w:sz="4" w:space="0" w:color="000000"/>
              <w:bottom w:val="single" w:sz="4" w:space="0" w:color="000000"/>
              <w:right w:val="single" w:sz="4" w:space="0" w:color="000000"/>
            </w:tcBorders>
            <w:noWrap/>
            <w:hideMark/>
          </w:tcPr>
          <w:p w14:paraId="0965F152"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3.429</w:t>
            </w:r>
          </w:p>
        </w:tc>
        <w:tc>
          <w:tcPr>
            <w:tcW w:w="945" w:type="dxa"/>
            <w:tcBorders>
              <w:top w:val="single" w:sz="4" w:space="0" w:color="000000"/>
              <w:left w:val="single" w:sz="4" w:space="0" w:color="000000"/>
              <w:bottom w:val="single" w:sz="4" w:space="0" w:color="000000"/>
              <w:right w:val="single" w:sz="4" w:space="0" w:color="000000"/>
            </w:tcBorders>
            <w:noWrap/>
            <w:hideMark/>
          </w:tcPr>
          <w:p w14:paraId="26E789AB" w14:textId="77777777" w:rsidR="002A39A3" w:rsidRDefault="002A39A3">
            <w:pPr>
              <w:jc w:val="right"/>
              <w:rPr>
                <w:rFonts w:ascii="Arial" w:hAnsi="Arial" w:cs="Arial"/>
                <w:bCs/>
                <w:sz w:val="16"/>
                <w:szCs w:val="16"/>
                <w:lang w:eastAsia="es-ES"/>
              </w:rPr>
            </w:pPr>
            <w:r>
              <w:rPr>
                <w:rFonts w:ascii="Arial" w:hAnsi="Arial" w:cs="Arial"/>
                <w:bCs/>
                <w:sz w:val="16"/>
                <w:szCs w:val="16"/>
                <w:lang w:eastAsia="es-ES"/>
              </w:rPr>
              <w:t>28.192</w:t>
            </w:r>
          </w:p>
        </w:tc>
      </w:tr>
      <w:tr w:rsidR="002A39A3" w14:paraId="149EC4AE" w14:textId="77777777" w:rsidTr="002A39A3">
        <w:trPr>
          <w:trHeight w:val="315"/>
        </w:trPr>
        <w:tc>
          <w:tcPr>
            <w:tcW w:w="1788"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5D3D0123" w14:textId="77777777" w:rsidR="002A39A3" w:rsidRDefault="002A39A3">
            <w:pPr>
              <w:jc w:val="both"/>
              <w:rPr>
                <w:rFonts w:ascii="Arial" w:hAnsi="Arial" w:cs="Arial"/>
                <w:b/>
                <w:bCs/>
                <w:sz w:val="16"/>
                <w:szCs w:val="16"/>
                <w:lang w:eastAsia="es-ES"/>
              </w:rPr>
            </w:pPr>
            <w:r>
              <w:rPr>
                <w:rFonts w:ascii="Arial" w:hAnsi="Arial" w:cs="Arial"/>
                <w:b/>
                <w:bCs/>
                <w:sz w:val="16"/>
                <w:szCs w:val="16"/>
                <w:lang w:eastAsia="es-ES"/>
              </w:rPr>
              <w:t>Total, Recursos Propios</w:t>
            </w:r>
          </w:p>
        </w:tc>
        <w:tc>
          <w:tcPr>
            <w:tcW w:w="1359"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08618D4F"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639.783</w:t>
            </w:r>
          </w:p>
        </w:tc>
        <w:tc>
          <w:tcPr>
            <w:tcW w:w="1101"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2176D143"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1.204</w:t>
            </w:r>
          </w:p>
        </w:tc>
        <w:tc>
          <w:tcPr>
            <w:tcW w:w="1417"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6646CEB4"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638.579</w:t>
            </w:r>
          </w:p>
        </w:tc>
        <w:tc>
          <w:tcPr>
            <w:tcW w:w="912"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4574C7A7"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284.628</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2C1C199A"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332.393</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4D0EEACF"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284.577</w:t>
            </w:r>
          </w:p>
        </w:tc>
        <w:tc>
          <w:tcPr>
            <w:tcW w:w="945" w:type="dxa"/>
            <w:tcBorders>
              <w:top w:val="single" w:sz="4" w:space="0" w:color="000000"/>
              <w:left w:val="single" w:sz="4" w:space="0" w:color="000000"/>
              <w:bottom w:val="single" w:sz="4" w:space="0" w:color="000000"/>
              <w:right w:val="single" w:sz="4" w:space="0" w:color="000000"/>
            </w:tcBorders>
            <w:shd w:val="clear" w:color="auto" w:fill="4F81BD" w:themeFill="accent1"/>
            <w:noWrap/>
            <w:hideMark/>
          </w:tcPr>
          <w:p w14:paraId="5052D413" w14:textId="77777777" w:rsidR="002A39A3" w:rsidRDefault="002A39A3">
            <w:pPr>
              <w:jc w:val="right"/>
              <w:rPr>
                <w:rFonts w:ascii="Arial" w:hAnsi="Arial" w:cs="Arial"/>
                <w:b/>
                <w:bCs/>
                <w:sz w:val="16"/>
                <w:szCs w:val="16"/>
                <w:lang w:eastAsia="es-ES"/>
              </w:rPr>
            </w:pPr>
            <w:r>
              <w:rPr>
                <w:rFonts w:ascii="Arial" w:hAnsi="Arial" w:cs="Arial"/>
                <w:b/>
                <w:bCs/>
                <w:sz w:val="16"/>
                <w:szCs w:val="16"/>
                <w:lang w:eastAsia="es-ES"/>
              </w:rPr>
              <w:t>332.131</w:t>
            </w:r>
          </w:p>
        </w:tc>
      </w:tr>
    </w:tbl>
    <w:p w14:paraId="311D893C" w14:textId="77777777" w:rsidR="00C02282" w:rsidRPr="002A39A3" w:rsidRDefault="00C02282" w:rsidP="00C02282">
      <w:pPr>
        <w:spacing w:after="0" w:line="240" w:lineRule="auto"/>
        <w:jc w:val="center"/>
        <w:rPr>
          <w:rFonts w:ascii="Arial" w:eastAsia="Calibri" w:hAnsi="Arial" w:cs="Arial"/>
          <w:sz w:val="16"/>
          <w:szCs w:val="16"/>
        </w:rPr>
      </w:pPr>
      <w:r w:rsidRPr="002A39A3">
        <w:rPr>
          <w:rFonts w:ascii="Arial" w:hAnsi="Arial" w:cs="Arial"/>
          <w:sz w:val="16"/>
          <w:szCs w:val="16"/>
          <w:lang w:eastAsia="es-ES"/>
        </w:rPr>
        <w:t>Millones de pesos</w:t>
      </w:r>
    </w:p>
    <w:p w14:paraId="552688DB" w14:textId="77777777" w:rsidR="00C02282" w:rsidRPr="002A39A3" w:rsidRDefault="00C02282" w:rsidP="00C02282">
      <w:pPr>
        <w:jc w:val="center"/>
        <w:rPr>
          <w:rFonts w:ascii="Arial" w:hAnsi="Arial" w:cs="Arial"/>
          <w:sz w:val="16"/>
          <w:szCs w:val="16"/>
          <w:lang w:eastAsia="es-ES"/>
        </w:rPr>
      </w:pPr>
      <w:r w:rsidRPr="002A39A3">
        <w:rPr>
          <w:rFonts w:ascii="Arial" w:hAnsi="Arial" w:cs="Arial"/>
          <w:bCs/>
          <w:sz w:val="16"/>
          <w:szCs w:val="16"/>
          <w:lang w:val="es-ES" w:eastAsia="es-ES"/>
        </w:rPr>
        <w:t>Fuente SIIF</w:t>
      </w:r>
    </w:p>
    <w:p w14:paraId="06C9ACB9" w14:textId="4C00CED0" w:rsidR="00C02282" w:rsidRDefault="002A39A3" w:rsidP="00C02282">
      <w:pPr>
        <w:jc w:val="both"/>
        <w:rPr>
          <w:rFonts w:ascii="Arial" w:hAnsi="Arial" w:cs="Arial"/>
        </w:rPr>
      </w:pPr>
      <w:r>
        <w:rPr>
          <w:rFonts w:ascii="Arial" w:hAnsi="Arial" w:cs="Arial"/>
        </w:rPr>
        <w:t xml:space="preserve">Al cierre del segundo trimestre de la vigencia en curso, se refleja un porcentaje de ejecución en la instancia de compromisos de gastos de funcionamiento de un 94%, en razón al pago de los Excedentes financieros, inversión presenta una ejecución un 92%. </w:t>
      </w:r>
    </w:p>
    <w:p w14:paraId="2C568E25" w14:textId="77777777" w:rsidR="00FE1111" w:rsidRPr="006A67B4" w:rsidRDefault="00FE1111" w:rsidP="00C02282">
      <w:pPr>
        <w:jc w:val="both"/>
        <w:rPr>
          <w:rFonts w:ascii="Arial" w:hAnsi="Arial" w:cs="Arial"/>
          <w:highlight w:val="yellow"/>
          <w:lang w:eastAsia="es-ES"/>
        </w:rPr>
      </w:pPr>
    </w:p>
    <w:p w14:paraId="01F3ED42" w14:textId="77777777" w:rsidR="00C02282" w:rsidRPr="002A39A3" w:rsidRDefault="00C02282" w:rsidP="00C02282">
      <w:pPr>
        <w:pStyle w:val="Descripcin"/>
        <w:keepNext/>
        <w:jc w:val="center"/>
      </w:pPr>
      <w:bookmarkStart w:id="119" w:name="_Toc525652494"/>
      <w:r w:rsidRPr="002A39A3">
        <w:t xml:space="preserve">Tabla </w:t>
      </w:r>
      <w:r w:rsidRPr="002A39A3">
        <w:fldChar w:fldCharType="begin"/>
      </w:r>
      <w:r w:rsidRPr="002A39A3">
        <w:instrText xml:space="preserve"> SEQ Tabla \* ARABIC </w:instrText>
      </w:r>
      <w:r w:rsidRPr="002A39A3">
        <w:fldChar w:fldCharType="separate"/>
      </w:r>
      <w:r w:rsidR="008B4625">
        <w:rPr>
          <w:noProof/>
        </w:rPr>
        <w:t>49</w:t>
      </w:r>
      <w:r w:rsidRPr="002A39A3">
        <w:fldChar w:fldCharType="end"/>
      </w:r>
      <w:r w:rsidRPr="002A39A3">
        <w:t xml:space="preserve"> Ejecución Presupuestal Gastos en porcentaje– Vigencia 2018 ANH</w:t>
      </w:r>
      <w:bookmarkEnd w:id="119"/>
    </w:p>
    <w:tbl>
      <w:tblPr>
        <w:tblW w:w="9426" w:type="dxa"/>
        <w:tblCellMar>
          <w:left w:w="70" w:type="dxa"/>
          <w:right w:w="70" w:type="dxa"/>
        </w:tblCellMar>
        <w:tblLook w:val="04A0" w:firstRow="1" w:lastRow="0" w:firstColumn="1" w:lastColumn="0" w:noHBand="0" w:noVBand="1"/>
      </w:tblPr>
      <w:tblGrid>
        <w:gridCol w:w="2870"/>
        <w:gridCol w:w="878"/>
        <w:gridCol w:w="935"/>
        <w:gridCol w:w="763"/>
        <w:gridCol w:w="818"/>
        <w:gridCol w:w="763"/>
        <w:gridCol w:w="818"/>
        <w:gridCol w:w="763"/>
        <w:gridCol w:w="818"/>
      </w:tblGrid>
      <w:tr w:rsidR="002A39A3" w14:paraId="2FCAF8D8" w14:textId="77777777" w:rsidTr="002A39A3">
        <w:trPr>
          <w:trHeight w:val="308"/>
        </w:trPr>
        <w:tc>
          <w:tcPr>
            <w:tcW w:w="2870" w:type="dxa"/>
            <w:vMerge w:val="restart"/>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1FA3ED8D" w14:textId="77777777" w:rsidR="002A39A3" w:rsidRDefault="002A39A3">
            <w:pPr>
              <w:jc w:val="center"/>
              <w:rPr>
                <w:rFonts w:ascii="Arial" w:hAnsi="Arial" w:cs="Arial"/>
                <w:b/>
                <w:bCs/>
                <w:color w:val="000000"/>
                <w:sz w:val="16"/>
                <w:szCs w:val="16"/>
              </w:rPr>
            </w:pPr>
            <w:r>
              <w:rPr>
                <w:rFonts w:ascii="Arial" w:hAnsi="Arial" w:cs="Arial"/>
                <w:b/>
                <w:bCs/>
                <w:sz w:val="16"/>
                <w:szCs w:val="16"/>
              </w:rPr>
              <w:t>DESCRIPCIÓN</w:t>
            </w:r>
          </w:p>
        </w:tc>
        <w:tc>
          <w:tcPr>
            <w:tcW w:w="6556" w:type="dxa"/>
            <w:gridSpan w:val="8"/>
            <w:tcBorders>
              <w:top w:val="single" w:sz="8" w:space="0" w:color="auto"/>
              <w:left w:val="nil"/>
              <w:bottom w:val="single" w:sz="8" w:space="0" w:color="auto"/>
              <w:right w:val="single" w:sz="8" w:space="0" w:color="000000"/>
            </w:tcBorders>
            <w:shd w:val="clear" w:color="auto" w:fill="4F81BD" w:themeFill="accent1"/>
            <w:noWrap/>
            <w:vAlign w:val="center"/>
            <w:hideMark/>
          </w:tcPr>
          <w:p w14:paraId="6EDD030D" w14:textId="77777777" w:rsidR="002A39A3" w:rsidRDefault="002A39A3">
            <w:pPr>
              <w:jc w:val="center"/>
              <w:rPr>
                <w:rFonts w:ascii="Arial" w:hAnsi="Arial" w:cs="Arial"/>
                <w:b/>
                <w:bCs/>
                <w:color w:val="000000"/>
                <w:sz w:val="16"/>
                <w:szCs w:val="16"/>
              </w:rPr>
            </w:pPr>
            <w:r>
              <w:rPr>
                <w:rFonts w:ascii="Arial" w:hAnsi="Arial" w:cs="Arial"/>
                <w:b/>
                <w:bCs/>
                <w:sz w:val="16"/>
                <w:szCs w:val="16"/>
              </w:rPr>
              <w:t>PORCENTAJE DE EJECUCIÓN</w:t>
            </w:r>
          </w:p>
        </w:tc>
      </w:tr>
      <w:tr w:rsidR="002A39A3" w14:paraId="7CC3B014" w14:textId="77777777" w:rsidTr="002A39A3">
        <w:trPr>
          <w:trHeight w:val="30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8B93855" w14:textId="77777777" w:rsidR="002A39A3" w:rsidRDefault="002A39A3">
            <w:pPr>
              <w:rPr>
                <w:rFonts w:ascii="Arial" w:hAnsi="Arial" w:cs="Arial"/>
                <w:b/>
                <w:bCs/>
                <w:color w:val="000000"/>
                <w:sz w:val="16"/>
                <w:szCs w:val="16"/>
              </w:rPr>
            </w:pPr>
          </w:p>
        </w:tc>
        <w:tc>
          <w:tcPr>
            <w:tcW w:w="1566" w:type="dxa"/>
            <w:gridSpan w:val="2"/>
            <w:tcBorders>
              <w:top w:val="single" w:sz="8" w:space="0" w:color="auto"/>
              <w:left w:val="nil"/>
              <w:bottom w:val="single" w:sz="8" w:space="0" w:color="auto"/>
              <w:right w:val="single" w:sz="8" w:space="0" w:color="000000"/>
            </w:tcBorders>
            <w:shd w:val="clear" w:color="auto" w:fill="4F81BD" w:themeFill="accent1"/>
            <w:noWrap/>
            <w:vAlign w:val="center"/>
            <w:hideMark/>
          </w:tcPr>
          <w:p w14:paraId="14B2E1C2" w14:textId="77777777" w:rsidR="002A39A3" w:rsidRDefault="002A39A3">
            <w:pPr>
              <w:jc w:val="center"/>
              <w:rPr>
                <w:rFonts w:ascii="Arial" w:hAnsi="Arial" w:cs="Arial"/>
                <w:b/>
                <w:bCs/>
                <w:color w:val="000000"/>
                <w:sz w:val="16"/>
                <w:szCs w:val="16"/>
              </w:rPr>
            </w:pPr>
            <w:r>
              <w:rPr>
                <w:rFonts w:ascii="Arial" w:hAnsi="Arial" w:cs="Arial"/>
                <w:b/>
                <w:bCs/>
                <w:sz w:val="16"/>
                <w:szCs w:val="16"/>
              </w:rPr>
              <w:t>DISP/APROP</w:t>
            </w:r>
          </w:p>
        </w:tc>
        <w:tc>
          <w:tcPr>
            <w:tcW w:w="0" w:type="auto"/>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2D8B90E4" w14:textId="77777777" w:rsidR="002A39A3" w:rsidRDefault="002A39A3">
            <w:pPr>
              <w:jc w:val="center"/>
              <w:rPr>
                <w:rFonts w:ascii="Arial" w:hAnsi="Arial" w:cs="Arial"/>
                <w:b/>
                <w:bCs/>
                <w:color w:val="000000"/>
                <w:sz w:val="16"/>
                <w:szCs w:val="16"/>
              </w:rPr>
            </w:pPr>
            <w:r>
              <w:rPr>
                <w:rFonts w:ascii="Arial" w:hAnsi="Arial" w:cs="Arial"/>
                <w:b/>
                <w:bCs/>
                <w:sz w:val="16"/>
                <w:szCs w:val="16"/>
              </w:rPr>
              <w:t>COMP/APROP</w:t>
            </w:r>
          </w:p>
        </w:tc>
        <w:tc>
          <w:tcPr>
            <w:tcW w:w="0" w:type="auto"/>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5E424442" w14:textId="77777777" w:rsidR="002A39A3" w:rsidRDefault="002A39A3">
            <w:pPr>
              <w:jc w:val="center"/>
              <w:rPr>
                <w:rFonts w:ascii="Arial" w:hAnsi="Arial" w:cs="Arial"/>
                <w:b/>
                <w:bCs/>
                <w:color w:val="000000"/>
                <w:sz w:val="16"/>
                <w:szCs w:val="16"/>
              </w:rPr>
            </w:pPr>
            <w:r>
              <w:rPr>
                <w:rFonts w:ascii="Arial" w:hAnsi="Arial" w:cs="Arial"/>
                <w:b/>
                <w:bCs/>
                <w:sz w:val="16"/>
                <w:szCs w:val="16"/>
              </w:rPr>
              <w:t>OBLIG/APROP</w:t>
            </w:r>
          </w:p>
        </w:tc>
        <w:tc>
          <w:tcPr>
            <w:tcW w:w="0" w:type="auto"/>
            <w:gridSpan w:val="2"/>
            <w:tcBorders>
              <w:top w:val="single" w:sz="8" w:space="0" w:color="auto"/>
              <w:left w:val="nil"/>
              <w:bottom w:val="single" w:sz="8" w:space="0" w:color="auto"/>
              <w:right w:val="single" w:sz="8" w:space="0" w:color="000000"/>
            </w:tcBorders>
            <w:shd w:val="clear" w:color="auto" w:fill="4F81BD" w:themeFill="accent1"/>
            <w:noWrap/>
            <w:vAlign w:val="center"/>
            <w:hideMark/>
          </w:tcPr>
          <w:p w14:paraId="2F41721E" w14:textId="77777777" w:rsidR="002A39A3" w:rsidRDefault="002A39A3">
            <w:pPr>
              <w:jc w:val="center"/>
              <w:rPr>
                <w:rFonts w:ascii="Arial" w:hAnsi="Arial" w:cs="Arial"/>
                <w:b/>
                <w:bCs/>
                <w:color w:val="000000"/>
                <w:sz w:val="16"/>
                <w:szCs w:val="16"/>
              </w:rPr>
            </w:pPr>
            <w:r>
              <w:rPr>
                <w:rFonts w:ascii="Arial" w:hAnsi="Arial" w:cs="Arial"/>
                <w:b/>
                <w:bCs/>
                <w:sz w:val="16"/>
                <w:szCs w:val="16"/>
              </w:rPr>
              <w:t>PAGOS/APROP</w:t>
            </w:r>
          </w:p>
        </w:tc>
      </w:tr>
      <w:tr w:rsidR="002A39A3" w14:paraId="77B47FB2" w14:textId="77777777" w:rsidTr="002A39A3">
        <w:trPr>
          <w:trHeight w:val="30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A46DE88" w14:textId="77777777" w:rsidR="002A39A3" w:rsidRDefault="002A39A3">
            <w:pPr>
              <w:rPr>
                <w:rFonts w:ascii="Arial" w:hAnsi="Arial" w:cs="Arial"/>
                <w:b/>
                <w:bCs/>
                <w:color w:val="000000"/>
                <w:sz w:val="16"/>
                <w:szCs w:val="16"/>
              </w:rPr>
            </w:pPr>
          </w:p>
        </w:tc>
        <w:tc>
          <w:tcPr>
            <w:tcW w:w="713" w:type="dxa"/>
            <w:tcBorders>
              <w:top w:val="nil"/>
              <w:left w:val="nil"/>
              <w:bottom w:val="single" w:sz="8" w:space="0" w:color="auto"/>
              <w:right w:val="single" w:sz="8" w:space="0" w:color="auto"/>
            </w:tcBorders>
            <w:noWrap/>
            <w:vAlign w:val="center"/>
            <w:hideMark/>
          </w:tcPr>
          <w:p w14:paraId="0BD3FD92" w14:textId="77777777" w:rsidR="002A39A3" w:rsidRDefault="002A39A3">
            <w:pPr>
              <w:jc w:val="center"/>
              <w:rPr>
                <w:rFonts w:ascii="Arial" w:hAnsi="Arial" w:cs="Arial"/>
                <w:b/>
                <w:bCs/>
                <w:color w:val="000000"/>
                <w:sz w:val="16"/>
                <w:szCs w:val="16"/>
              </w:rPr>
            </w:pPr>
            <w:r>
              <w:rPr>
                <w:rFonts w:ascii="Arial" w:hAnsi="Arial" w:cs="Arial"/>
                <w:b/>
                <w:bCs/>
                <w:sz w:val="16"/>
                <w:szCs w:val="16"/>
              </w:rPr>
              <w:t>I TRIM</w:t>
            </w:r>
          </w:p>
        </w:tc>
        <w:tc>
          <w:tcPr>
            <w:tcW w:w="0" w:type="auto"/>
            <w:tcBorders>
              <w:top w:val="nil"/>
              <w:left w:val="nil"/>
              <w:bottom w:val="single" w:sz="8" w:space="0" w:color="auto"/>
              <w:right w:val="single" w:sz="8" w:space="0" w:color="auto"/>
            </w:tcBorders>
            <w:noWrap/>
            <w:vAlign w:val="center"/>
            <w:hideMark/>
          </w:tcPr>
          <w:p w14:paraId="5EB38EBF" w14:textId="77777777" w:rsidR="002A39A3" w:rsidRDefault="002A39A3">
            <w:pPr>
              <w:jc w:val="center"/>
              <w:rPr>
                <w:rFonts w:ascii="Arial" w:hAnsi="Arial" w:cs="Arial"/>
                <w:b/>
                <w:bCs/>
                <w:color w:val="000000"/>
                <w:sz w:val="16"/>
                <w:szCs w:val="16"/>
              </w:rPr>
            </w:pPr>
            <w:r>
              <w:rPr>
                <w:rFonts w:ascii="Arial" w:hAnsi="Arial" w:cs="Arial"/>
                <w:b/>
                <w:bCs/>
                <w:sz w:val="16"/>
                <w:szCs w:val="16"/>
              </w:rPr>
              <w:t>II TRIM</w:t>
            </w:r>
          </w:p>
        </w:tc>
        <w:tc>
          <w:tcPr>
            <w:tcW w:w="0" w:type="auto"/>
            <w:tcBorders>
              <w:top w:val="nil"/>
              <w:left w:val="nil"/>
              <w:bottom w:val="single" w:sz="8" w:space="0" w:color="auto"/>
              <w:right w:val="single" w:sz="8" w:space="0" w:color="auto"/>
            </w:tcBorders>
            <w:noWrap/>
            <w:vAlign w:val="center"/>
            <w:hideMark/>
          </w:tcPr>
          <w:p w14:paraId="297824E2" w14:textId="77777777" w:rsidR="002A39A3" w:rsidRDefault="002A39A3">
            <w:pPr>
              <w:jc w:val="center"/>
              <w:rPr>
                <w:rFonts w:ascii="Arial" w:hAnsi="Arial" w:cs="Arial"/>
                <w:b/>
                <w:bCs/>
                <w:color w:val="000000"/>
                <w:sz w:val="16"/>
                <w:szCs w:val="16"/>
              </w:rPr>
            </w:pPr>
            <w:r>
              <w:rPr>
                <w:rFonts w:ascii="Arial" w:hAnsi="Arial" w:cs="Arial"/>
                <w:b/>
                <w:bCs/>
                <w:sz w:val="16"/>
                <w:szCs w:val="16"/>
              </w:rPr>
              <w:t>I TRIM</w:t>
            </w:r>
          </w:p>
        </w:tc>
        <w:tc>
          <w:tcPr>
            <w:tcW w:w="0" w:type="auto"/>
            <w:tcBorders>
              <w:top w:val="nil"/>
              <w:left w:val="nil"/>
              <w:bottom w:val="single" w:sz="8" w:space="0" w:color="auto"/>
              <w:right w:val="single" w:sz="8" w:space="0" w:color="auto"/>
            </w:tcBorders>
            <w:noWrap/>
            <w:vAlign w:val="center"/>
            <w:hideMark/>
          </w:tcPr>
          <w:p w14:paraId="012BB05F" w14:textId="77777777" w:rsidR="002A39A3" w:rsidRDefault="002A39A3">
            <w:pPr>
              <w:jc w:val="center"/>
              <w:rPr>
                <w:rFonts w:ascii="Arial" w:hAnsi="Arial" w:cs="Arial"/>
                <w:b/>
                <w:bCs/>
                <w:color w:val="000000"/>
                <w:sz w:val="16"/>
                <w:szCs w:val="16"/>
              </w:rPr>
            </w:pPr>
            <w:r>
              <w:rPr>
                <w:rFonts w:ascii="Arial" w:hAnsi="Arial" w:cs="Arial"/>
                <w:b/>
                <w:bCs/>
                <w:sz w:val="16"/>
                <w:szCs w:val="16"/>
              </w:rPr>
              <w:t>II TRIM</w:t>
            </w:r>
          </w:p>
        </w:tc>
        <w:tc>
          <w:tcPr>
            <w:tcW w:w="0" w:type="auto"/>
            <w:tcBorders>
              <w:top w:val="nil"/>
              <w:left w:val="nil"/>
              <w:bottom w:val="single" w:sz="8" w:space="0" w:color="auto"/>
              <w:right w:val="single" w:sz="8" w:space="0" w:color="auto"/>
            </w:tcBorders>
            <w:noWrap/>
            <w:vAlign w:val="center"/>
            <w:hideMark/>
          </w:tcPr>
          <w:p w14:paraId="0419DDD2" w14:textId="77777777" w:rsidR="002A39A3" w:rsidRDefault="002A39A3">
            <w:pPr>
              <w:jc w:val="center"/>
              <w:rPr>
                <w:rFonts w:ascii="Arial" w:hAnsi="Arial" w:cs="Arial"/>
                <w:b/>
                <w:bCs/>
                <w:color w:val="000000"/>
                <w:sz w:val="16"/>
                <w:szCs w:val="16"/>
              </w:rPr>
            </w:pPr>
            <w:r>
              <w:rPr>
                <w:rFonts w:ascii="Arial" w:hAnsi="Arial" w:cs="Arial"/>
                <w:b/>
                <w:bCs/>
                <w:sz w:val="16"/>
                <w:szCs w:val="16"/>
              </w:rPr>
              <w:t>I TRIM</w:t>
            </w:r>
          </w:p>
        </w:tc>
        <w:tc>
          <w:tcPr>
            <w:tcW w:w="0" w:type="auto"/>
            <w:tcBorders>
              <w:top w:val="nil"/>
              <w:left w:val="nil"/>
              <w:bottom w:val="single" w:sz="8" w:space="0" w:color="auto"/>
              <w:right w:val="single" w:sz="8" w:space="0" w:color="auto"/>
            </w:tcBorders>
            <w:noWrap/>
            <w:vAlign w:val="center"/>
            <w:hideMark/>
          </w:tcPr>
          <w:p w14:paraId="6F5F6255" w14:textId="77777777" w:rsidR="002A39A3" w:rsidRDefault="002A39A3">
            <w:pPr>
              <w:jc w:val="center"/>
              <w:rPr>
                <w:rFonts w:ascii="Arial" w:hAnsi="Arial" w:cs="Arial"/>
                <w:b/>
                <w:bCs/>
                <w:color w:val="000000"/>
                <w:sz w:val="16"/>
                <w:szCs w:val="16"/>
              </w:rPr>
            </w:pPr>
            <w:r>
              <w:rPr>
                <w:rFonts w:ascii="Arial" w:hAnsi="Arial" w:cs="Arial"/>
                <w:b/>
                <w:bCs/>
                <w:sz w:val="16"/>
                <w:szCs w:val="16"/>
              </w:rPr>
              <w:t>II TRIM</w:t>
            </w:r>
          </w:p>
        </w:tc>
        <w:tc>
          <w:tcPr>
            <w:tcW w:w="0" w:type="auto"/>
            <w:tcBorders>
              <w:top w:val="nil"/>
              <w:left w:val="nil"/>
              <w:bottom w:val="single" w:sz="8" w:space="0" w:color="auto"/>
              <w:right w:val="single" w:sz="8" w:space="0" w:color="auto"/>
            </w:tcBorders>
            <w:noWrap/>
            <w:vAlign w:val="center"/>
            <w:hideMark/>
          </w:tcPr>
          <w:p w14:paraId="394C4031" w14:textId="77777777" w:rsidR="002A39A3" w:rsidRDefault="002A39A3">
            <w:pPr>
              <w:jc w:val="center"/>
              <w:rPr>
                <w:rFonts w:ascii="Arial" w:hAnsi="Arial" w:cs="Arial"/>
                <w:b/>
                <w:bCs/>
                <w:color w:val="000000"/>
                <w:sz w:val="16"/>
                <w:szCs w:val="16"/>
              </w:rPr>
            </w:pPr>
            <w:r>
              <w:rPr>
                <w:rFonts w:ascii="Arial" w:hAnsi="Arial" w:cs="Arial"/>
                <w:b/>
                <w:bCs/>
                <w:sz w:val="16"/>
                <w:szCs w:val="16"/>
              </w:rPr>
              <w:t>I TRIM</w:t>
            </w:r>
          </w:p>
        </w:tc>
        <w:tc>
          <w:tcPr>
            <w:tcW w:w="0" w:type="auto"/>
            <w:tcBorders>
              <w:top w:val="nil"/>
              <w:left w:val="nil"/>
              <w:bottom w:val="single" w:sz="8" w:space="0" w:color="auto"/>
              <w:right w:val="single" w:sz="8" w:space="0" w:color="auto"/>
            </w:tcBorders>
            <w:noWrap/>
            <w:vAlign w:val="center"/>
            <w:hideMark/>
          </w:tcPr>
          <w:p w14:paraId="3D4769D9" w14:textId="77777777" w:rsidR="002A39A3" w:rsidRDefault="002A39A3">
            <w:pPr>
              <w:jc w:val="center"/>
              <w:rPr>
                <w:rFonts w:ascii="Arial" w:hAnsi="Arial" w:cs="Arial"/>
                <w:b/>
                <w:bCs/>
                <w:color w:val="000000"/>
                <w:sz w:val="16"/>
                <w:szCs w:val="16"/>
              </w:rPr>
            </w:pPr>
            <w:r>
              <w:rPr>
                <w:rFonts w:ascii="Arial" w:hAnsi="Arial" w:cs="Arial"/>
                <w:b/>
                <w:bCs/>
                <w:sz w:val="16"/>
                <w:szCs w:val="16"/>
              </w:rPr>
              <w:t>II TRIM</w:t>
            </w:r>
          </w:p>
        </w:tc>
      </w:tr>
      <w:tr w:rsidR="002A39A3" w14:paraId="6ED1648F" w14:textId="77777777" w:rsidTr="002A39A3">
        <w:trPr>
          <w:trHeight w:val="308"/>
        </w:trPr>
        <w:tc>
          <w:tcPr>
            <w:tcW w:w="2870" w:type="dxa"/>
            <w:tcBorders>
              <w:top w:val="nil"/>
              <w:left w:val="single" w:sz="8" w:space="0" w:color="auto"/>
              <w:bottom w:val="single" w:sz="8" w:space="0" w:color="auto"/>
              <w:right w:val="single" w:sz="8" w:space="0" w:color="auto"/>
            </w:tcBorders>
            <w:noWrap/>
            <w:vAlign w:val="center"/>
            <w:hideMark/>
          </w:tcPr>
          <w:p w14:paraId="6293D602" w14:textId="77777777" w:rsidR="002A39A3" w:rsidRDefault="002A39A3">
            <w:pPr>
              <w:rPr>
                <w:rFonts w:ascii="Arial" w:hAnsi="Arial" w:cs="Arial"/>
                <w:b/>
                <w:bCs/>
                <w:color w:val="000000"/>
                <w:sz w:val="16"/>
                <w:szCs w:val="16"/>
              </w:rPr>
            </w:pPr>
            <w:r>
              <w:rPr>
                <w:rFonts w:ascii="Arial" w:hAnsi="Arial" w:cs="Arial"/>
                <w:b/>
                <w:bCs/>
                <w:sz w:val="16"/>
                <w:szCs w:val="16"/>
              </w:rPr>
              <w:t>Gastos de Funcionamiento</w:t>
            </w:r>
          </w:p>
        </w:tc>
        <w:tc>
          <w:tcPr>
            <w:tcW w:w="713" w:type="dxa"/>
            <w:tcBorders>
              <w:top w:val="nil"/>
              <w:left w:val="nil"/>
              <w:bottom w:val="single" w:sz="8" w:space="0" w:color="auto"/>
              <w:right w:val="single" w:sz="8" w:space="0" w:color="auto"/>
            </w:tcBorders>
            <w:noWrap/>
            <w:vAlign w:val="center"/>
            <w:hideMark/>
          </w:tcPr>
          <w:p w14:paraId="5C85FECA" w14:textId="77777777" w:rsidR="002A39A3" w:rsidRDefault="002A39A3">
            <w:pPr>
              <w:jc w:val="center"/>
              <w:rPr>
                <w:rFonts w:ascii="Arial" w:hAnsi="Arial" w:cs="Arial"/>
                <w:b/>
                <w:bCs/>
                <w:color w:val="000000"/>
                <w:sz w:val="16"/>
                <w:szCs w:val="16"/>
              </w:rPr>
            </w:pPr>
            <w:r>
              <w:rPr>
                <w:rFonts w:ascii="Arial" w:hAnsi="Arial" w:cs="Arial"/>
                <w:b/>
                <w:bCs/>
                <w:sz w:val="16"/>
                <w:szCs w:val="16"/>
              </w:rPr>
              <w:t>92%</w:t>
            </w:r>
          </w:p>
        </w:tc>
        <w:tc>
          <w:tcPr>
            <w:tcW w:w="0" w:type="auto"/>
            <w:tcBorders>
              <w:top w:val="nil"/>
              <w:left w:val="nil"/>
              <w:bottom w:val="single" w:sz="8" w:space="0" w:color="auto"/>
              <w:right w:val="single" w:sz="8" w:space="0" w:color="auto"/>
            </w:tcBorders>
            <w:noWrap/>
            <w:vAlign w:val="center"/>
            <w:hideMark/>
          </w:tcPr>
          <w:p w14:paraId="1B8C7316" w14:textId="77777777" w:rsidR="002A39A3" w:rsidRDefault="002A39A3">
            <w:pPr>
              <w:jc w:val="center"/>
              <w:rPr>
                <w:rFonts w:ascii="Arial" w:hAnsi="Arial" w:cs="Arial"/>
                <w:b/>
                <w:bCs/>
                <w:color w:val="000000"/>
                <w:sz w:val="16"/>
                <w:szCs w:val="16"/>
              </w:rPr>
            </w:pPr>
            <w:r>
              <w:rPr>
                <w:rFonts w:ascii="Arial" w:hAnsi="Arial" w:cs="Arial"/>
                <w:b/>
                <w:bCs/>
                <w:sz w:val="16"/>
                <w:szCs w:val="16"/>
              </w:rPr>
              <w:t>94%</w:t>
            </w:r>
          </w:p>
        </w:tc>
        <w:tc>
          <w:tcPr>
            <w:tcW w:w="0" w:type="auto"/>
            <w:tcBorders>
              <w:top w:val="nil"/>
              <w:left w:val="nil"/>
              <w:bottom w:val="single" w:sz="8" w:space="0" w:color="auto"/>
              <w:right w:val="single" w:sz="8" w:space="0" w:color="auto"/>
            </w:tcBorders>
            <w:noWrap/>
            <w:vAlign w:val="center"/>
            <w:hideMark/>
          </w:tcPr>
          <w:p w14:paraId="7627D573" w14:textId="77777777" w:rsidR="002A39A3" w:rsidRDefault="002A39A3">
            <w:pPr>
              <w:jc w:val="center"/>
              <w:rPr>
                <w:rFonts w:ascii="Arial" w:hAnsi="Arial" w:cs="Arial"/>
                <w:b/>
                <w:bCs/>
                <w:color w:val="000000"/>
                <w:sz w:val="16"/>
                <w:szCs w:val="16"/>
              </w:rPr>
            </w:pPr>
            <w:r>
              <w:rPr>
                <w:rFonts w:ascii="Arial" w:hAnsi="Arial" w:cs="Arial"/>
                <w:b/>
                <w:bCs/>
                <w:sz w:val="16"/>
                <w:szCs w:val="16"/>
              </w:rPr>
              <w:t>88%</w:t>
            </w:r>
          </w:p>
        </w:tc>
        <w:tc>
          <w:tcPr>
            <w:tcW w:w="0" w:type="auto"/>
            <w:tcBorders>
              <w:top w:val="nil"/>
              <w:left w:val="nil"/>
              <w:bottom w:val="single" w:sz="8" w:space="0" w:color="auto"/>
              <w:right w:val="single" w:sz="8" w:space="0" w:color="auto"/>
            </w:tcBorders>
            <w:noWrap/>
            <w:vAlign w:val="center"/>
            <w:hideMark/>
          </w:tcPr>
          <w:p w14:paraId="7134A166" w14:textId="77777777" w:rsidR="002A39A3" w:rsidRDefault="002A39A3">
            <w:pPr>
              <w:jc w:val="center"/>
              <w:rPr>
                <w:rFonts w:ascii="Arial" w:hAnsi="Arial" w:cs="Arial"/>
                <w:b/>
                <w:bCs/>
                <w:color w:val="000000"/>
                <w:sz w:val="16"/>
                <w:szCs w:val="16"/>
              </w:rPr>
            </w:pPr>
            <w:r>
              <w:rPr>
                <w:rFonts w:ascii="Arial" w:hAnsi="Arial" w:cs="Arial"/>
                <w:b/>
                <w:bCs/>
                <w:sz w:val="16"/>
                <w:szCs w:val="16"/>
              </w:rPr>
              <w:t>91%</w:t>
            </w:r>
          </w:p>
        </w:tc>
        <w:tc>
          <w:tcPr>
            <w:tcW w:w="0" w:type="auto"/>
            <w:tcBorders>
              <w:top w:val="nil"/>
              <w:left w:val="nil"/>
              <w:bottom w:val="single" w:sz="8" w:space="0" w:color="auto"/>
              <w:right w:val="single" w:sz="8" w:space="0" w:color="auto"/>
            </w:tcBorders>
            <w:noWrap/>
            <w:vAlign w:val="center"/>
            <w:hideMark/>
          </w:tcPr>
          <w:p w14:paraId="0B20B33B" w14:textId="77777777" w:rsidR="002A39A3" w:rsidRDefault="002A39A3">
            <w:pPr>
              <w:jc w:val="center"/>
              <w:rPr>
                <w:rFonts w:ascii="Arial" w:hAnsi="Arial" w:cs="Arial"/>
                <w:b/>
                <w:bCs/>
                <w:color w:val="000000"/>
                <w:sz w:val="16"/>
                <w:szCs w:val="16"/>
              </w:rPr>
            </w:pPr>
            <w:r>
              <w:rPr>
                <w:rFonts w:ascii="Arial" w:hAnsi="Arial" w:cs="Arial"/>
                <w:b/>
                <w:bCs/>
                <w:sz w:val="16"/>
                <w:szCs w:val="16"/>
              </w:rPr>
              <w:t>76%</w:t>
            </w:r>
          </w:p>
        </w:tc>
        <w:tc>
          <w:tcPr>
            <w:tcW w:w="0" w:type="auto"/>
            <w:tcBorders>
              <w:top w:val="nil"/>
              <w:left w:val="nil"/>
              <w:bottom w:val="single" w:sz="8" w:space="0" w:color="auto"/>
              <w:right w:val="single" w:sz="8" w:space="0" w:color="auto"/>
            </w:tcBorders>
            <w:noWrap/>
            <w:vAlign w:val="center"/>
            <w:hideMark/>
          </w:tcPr>
          <w:p w14:paraId="00888494" w14:textId="77777777" w:rsidR="002A39A3" w:rsidRDefault="002A39A3">
            <w:pPr>
              <w:jc w:val="center"/>
              <w:rPr>
                <w:rFonts w:ascii="Arial" w:hAnsi="Arial" w:cs="Arial"/>
                <w:b/>
                <w:bCs/>
                <w:color w:val="000000"/>
                <w:sz w:val="16"/>
                <w:szCs w:val="16"/>
              </w:rPr>
            </w:pPr>
            <w:r>
              <w:rPr>
                <w:rFonts w:ascii="Arial" w:hAnsi="Arial" w:cs="Arial"/>
                <w:b/>
                <w:bCs/>
                <w:sz w:val="16"/>
                <w:szCs w:val="16"/>
              </w:rPr>
              <w:t>83%</w:t>
            </w:r>
          </w:p>
        </w:tc>
        <w:tc>
          <w:tcPr>
            <w:tcW w:w="0" w:type="auto"/>
            <w:tcBorders>
              <w:top w:val="nil"/>
              <w:left w:val="nil"/>
              <w:bottom w:val="single" w:sz="8" w:space="0" w:color="auto"/>
              <w:right w:val="single" w:sz="8" w:space="0" w:color="auto"/>
            </w:tcBorders>
            <w:noWrap/>
            <w:vAlign w:val="center"/>
            <w:hideMark/>
          </w:tcPr>
          <w:p w14:paraId="1052C057" w14:textId="77777777" w:rsidR="002A39A3" w:rsidRDefault="002A39A3">
            <w:pPr>
              <w:jc w:val="center"/>
              <w:rPr>
                <w:rFonts w:ascii="Arial" w:hAnsi="Arial" w:cs="Arial"/>
                <w:b/>
                <w:bCs/>
                <w:color w:val="000000"/>
                <w:sz w:val="16"/>
                <w:szCs w:val="16"/>
              </w:rPr>
            </w:pPr>
            <w:r>
              <w:rPr>
                <w:rFonts w:ascii="Arial" w:hAnsi="Arial" w:cs="Arial"/>
                <w:b/>
                <w:bCs/>
                <w:sz w:val="16"/>
                <w:szCs w:val="16"/>
              </w:rPr>
              <w:t>76%</w:t>
            </w:r>
          </w:p>
        </w:tc>
        <w:tc>
          <w:tcPr>
            <w:tcW w:w="0" w:type="auto"/>
            <w:tcBorders>
              <w:top w:val="nil"/>
              <w:left w:val="nil"/>
              <w:bottom w:val="single" w:sz="8" w:space="0" w:color="auto"/>
              <w:right w:val="single" w:sz="8" w:space="0" w:color="auto"/>
            </w:tcBorders>
            <w:noWrap/>
            <w:vAlign w:val="center"/>
            <w:hideMark/>
          </w:tcPr>
          <w:p w14:paraId="51A98147" w14:textId="77777777" w:rsidR="002A39A3" w:rsidRDefault="002A39A3">
            <w:pPr>
              <w:jc w:val="center"/>
              <w:rPr>
                <w:rFonts w:ascii="Arial" w:hAnsi="Arial" w:cs="Arial"/>
                <w:b/>
                <w:bCs/>
                <w:color w:val="000000"/>
                <w:sz w:val="16"/>
                <w:szCs w:val="16"/>
              </w:rPr>
            </w:pPr>
            <w:r>
              <w:rPr>
                <w:rFonts w:ascii="Arial" w:hAnsi="Arial" w:cs="Arial"/>
                <w:b/>
                <w:bCs/>
                <w:sz w:val="16"/>
                <w:szCs w:val="16"/>
              </w:rPr>
              <w:t>83%</w:t>
            </w:r>
          </w:p>
        </w:tc>
      </w:tr>
      <w:tr w:rsidR="002A39A3" w14:paraId="2727478E" w14:textId="77777777" w:rsidTr="002A39A3">
        <w:trPr>
          <w:trHeight w:val="308"/>
        </w:trPr>
        <w:tc>
          <w:tcPr>
            <w:tcW w:w="2870" w:type="dxa"/>
            <w:tcBorders>
              <w:top w:val="nil"/>
              <w:left w:val="single" w:sz="8" w:space="0" w:color="auto"/>
              <w:bottom w:val="single" w:sz="8" w:space="0" w:color="auto"/>
              <w:right w:val="single" w:sz="8" w:space="0" w:color="auto"/>
            </w:tcBorders>
            <w:noWrap/>
            <w:vAlign w:val="center"/>
            <w:hideMark/>
          </w:tcPr>
          <w:p w14:paraId="720BA96C" w14:textId="77777777" w:rsidR="002A39A3" w:rsidRDefault="002A39A3">
            <w:pPr>
              <w:rPr>
                <w:rFonts w:ascii="Arial" w:hAnsi="Arial" w:cs="Arial"/>
                <w:color w:val="000000"/>
                <w:sz w:val="16"/>
                <w:szCs w:val="16"/>
              </w:rPr>
            </w:pPr>
            <w:r>
              <w:rPr>
                <w:rFonts w:ascii="Arial" w:hAnsi="Arial" w:cs="Arial"/>
                <w:sz w:val="16"/>
                <w:szCs w:val="16"/>
              </w:rPr>
              <w:t>Gastos de Personal</w:t>
            </w:r>
          </w:p>
        </w:tc>
        <w:tc>
          <w:tcPr>
            <w:tcW w:w="713" w:type="dxa"/>
            <w:tcBorders>
              <w:top w:val="nil"/>
              <w:left w:val="nil"/>
              <w:bottom w:val="single" w:sz="8" w:space="0" w:color="auto"/>
              <w:right w:val="single" w:sz="8" w:space="0" w:color="auto"/>
            </w:tcBorders>
            <w:noWrap/>
            <w:vAlign w:val="center"/>
            <w:hideMark/>
          </w:tcPr>
          <w:p w14:paraId="446F8E98" w14:textId="77777777" w:rsidR="002A39A3" w:rsidRDefault="002A39A3">
            <w:pPr>
              <w:jc w:val="center"/>
              <w:rPr>
                <w:rFonts w:ascii="Arial" w:hAnsi="Arial" w:cs="Arial"/>
                <w:color w:val="000000"/>
                <w:sz w:val="16"/>
                <w:szCs w:val="16"/>
              </w:rPr>
            </w:pPr>
            <w:r>
              <w:rPr>
                <w:rFonts w:ascii="Arial" w:hAnsi="Arial" w:cs="Arial"/>
                <w:sz w:val="16"/>
                <w:szCs w:val="16"/>
              </w:rPr>
              <w:t>76%</w:t>
            </w:r>
          </w:p>
        </w:tc>
        <w:tc>
          <w:tcPr>
            <w:tcW w:w="0" w:type="auto"/>
            <w:tcBorders>
              <w:top w:val="nil"/>
              <w:left w:val="nil"/>
              <w:bottom w:val="single" w:sz="8" w:space="0" w:color="auto"/>
              <w:right w:val="single" w:sz="8" w:space="0" w:color="auto"/>
            </w:tcBorders>
            <w:noWrap/>
            <w:vAlign w:val="center"/>
            <w:hideMark/>
          </w:tcPr>
          <w:p w14:paraId="06BE2887" w14:textId="77777777" w:rsidR="002A39A3" w:rsidRDefault="002A39A3">
            <w:pPr>
              <w:jc w:val="center"/>
              <w:rPr>
                <w:rFonts w:ascii="Arial" w:hAnsi="Arial" w:cs="Arial"/>
                <w:b/>
                <w:bCs/>
                <w:color w:val="000000"/>
                <w:sz w:val="16"/>
                <w:szCs w:val="16"/>
              </w:rPr>
            </w:pPr>
            <w:r>
              <w:rPr>
                <w:rFonts w:ascii="Arial" w:hAnsi="Arial" w:cs="Arial"/>
                <w:b/>
                <w:bCs/>
                <w:sz w:val="16"/>
                <w:szCs w:val="16"/>
              </w:rPr>
              <w:t>78%</w:t>
            </w:r>
          </w:p>
        </w:tc>
        <w:tc>
          <w:tcPr>
            <w:tcW w:w="0" w:type="auto"/>
            <w:tcBorders>
              <w:top w:val="nil"/>
              <w:left w:val="nil"/>
              <w:bottom w:val="single" w:sz="8" w:space="0" w:color="auto"/>
              <w:right w:val="single" w:sz="8" w:space="0" w:color="auto"/>
            </w:tcBorders>
            <w:noWrap/>
            <w:vAlign w:val="center"/>
            <w:hideMark/>
          </w:tcPr>
          <w:p w14:paraId="48256536" w14:textId="77777777" w:rsidR="002A39A3" w:rsidRDefault="002A39A3">
            <w:pPr>
              <w:jc w:val="center"/>
              <w:rPr>
                <w:rFonts w:ascii="Arial" w:hAnsi="Arial" w:cs="Arial"/>
                <w:b/>
                <w:bCs/>
                <w:color w:val="000000"/>
                <w:sz w:val="16"/>
                <w:szCs w:val="16"/>
              </w:rPr>
            </w:pPr>
            <w:r>
              <w:rPr>
                <w:rFonts w:ascii="Arial" w:hAnsi="Arial" w:cs="Arial"/>
                <w:b/>
                <w:bCs/>
                <w:sz w:val="16"/>
                <w:szCs w:val="16"/>
              </w:rPr>
              <w:t>26%</w:t>
            </w:r>
          </w:p>
        </w:tc>
        <w:tc>
          <w:tcPr>
            <w:tcW w:w="0" w:type="auto"/>
            <w:tcBorders>
              <w:top w:val="nil"/>
              <w:left w:val="nil"/>
              <w:bottom w:val="single" w:sz="8" w:space="0" w:color="auto"/>
              <w:right w:val="single" w:sz="8" w:space="0" w:color="auto"/>
            </w:tcBorders>
            <w:noWrap/>
            <w:vAlign w:val="center"/>
            <w:hideMark/>
          </w:tcPr>
          <w:p w14:paraId="5DA89BDC" w14:textId="77777777" w:rsidR="002A39A3" w:rsidRDefault="002A39A3">
            <w:pPr>
              <w:jc w:val="center"/>
              <w:rPr>
                <w:rFonts w:ascii="Arial" w:hAnsi="Arial" w:cs="Arial"/>
                <w:b/>
                <w:bCs/>
                <w:color w:val="000000"/>
                <w:sz w:val="16"/>
                <w:szCs w:val="16"/>
              </w:rPr>
            </w:pPr>
            <w:r>
              <w:rPr>
                <w:rFonts w:ascii="Arial" w:hAnsi="Arial" w:cs="Arial"/>
                <w:b/>
                <w:bCs/>
                <w:sz w:val="16"/>
                <w:szCs w:val="16"/>
              </w:rPr>
              <w:t>45%</w:t>
            </w:r>
          </w:p>
        </w:tc>
        <w:tc>
          <w:tcPr>
            <w:tcW w:w="0" w:type="auto"/>
            <w:tcBorders>
              <w:top w:val="nil"/>
              <w:left w:val="nil"/>
              <w:bottom w:val="single" w:sz="8" w:space="0" w:color="auto"/>
              <w:right w:val="single" w:sz="8" w:space="0" w:color="auto"/>
            </w:tcBorders>
            <w:noWrap/>
            <w:vAlign w:val="center"/>
            <w:hideMark/>
          </w:tcPr>
          <w:p w14:paraId="28703F8F" w14:textId="77777777" w:rsidR="002A39A3" w:rsidRDefault="002A39A3">
            <w:pPr>
              <w:jc w:val="center"/>
              <w:rPr>
                <w:rFonts w:ascii="Arial" w:hAnsi="Arial" w:cs="Arial"/>
                <w:b/>
                <w:bCs/>
                <w:color w:val="000000"/>
                <w:sz w:val="16"/>
                <w:szCs w:val="16"/>
              </w:rPr>
            </w:pPr>
            <w:r>
              <w:rPr>
                <w:rFonts w:ascii="Arial" w:hAnsi="Arial" w:cs="Arial"/>
                <w:b/>
                <w:bCs/>
                <w:sz w:val="16"/>
                <w:szCs w:val="16"/>
              </w:rPr>
              <w:t>20%</w:t>
            </w:r>
          </w:p>
        </w:tc>
        <w:tc>
          <w:tcPr>
            <w:tcW w:w="0" w:type="auto"/>
            <w:tcBorders>
              <w:top w:val="nil"/>
              <w:left w:val="nil"/>
              <w:bottom w:val="single" w:sz="8" w:space="0" w:color="auto"/>
              <w:right w:val="single" w:sz="8" w:space="0" w:color="auto"/>
            </w:tcBorders>
            <w:noWrap/>
            <w:vAlign w:val="center"/>
            <w:hideMark/>
          </w:tcPr>
          <w:p w14:paraId="7543155B" w14:textId="77777777" w:rsidR="002A39A3" w:rsidRDefault="002A39A3">
            <w:pPr>
              <w:jc w:val="center"/>
              <w:rPr>
                <w:rFonts w:ascii="Arial" w:hAnsi="Arial" w:cs="Arial"/>
                <w:b/>
                <w:bCs/>
                <w:color w:val="000000"/>
                <w:sz w:val="16"/>
                <w:szCs w:val="16"/>
              </w:rPr>
            </w:pPr>
            <w:r>
              <w:rPr>
                <w:rFonts w:ascii="Arial" w:hAnsi="Arial" w:cs="Arial"/>
                <w:b/>
                <w:bCs/>
                <w:sz w:val="16"/>
                <w:szCs w:val="16"/>
              </w:rPr>
              <w:t>42%</w:t>
            </w:r>
          </w:p>
        </w:tc>
        <w:tc>
          <w:tcPr>
            <w:tcW w:w="0" w:type="auto"/>
            <w:tcBorders>
              <w:top w:val="nil"/>
              <w:left w:val="nil"/>
              <w:bottom w:val="single" w:sz="8" w:space="0" w:color="auto"/>
              <w:right w:val="single" w:sz="8" w:space="0" w:color="auto"/>
            </w:tcBorders>
            <w:noWrap/>
            <w:vAlign w:val="center"/>
            <w:hideMark/>
          </w:tcPr>
          <w:p w14:paraId="29973E0B" w14:textId="77777777" w:rsidR="002A39A3" w:rsidRDefault="002A39A3">
            <w:pPr>
              <w:jc w:val="center"/>
              <w:rPr>
                <w:rFonts w:ascii="Arial" w:hAnsi="Arial" w:cs="Arial"/>
                <w:b/>
                <w:bCs/>
                <w:color w:val="000000"/>
                <w:sz w:val="16"/>
                <w:szCs w:val="16"/>
              </w:rPr>
            </w:pPr>
            <w:r>
              <w:rPr>
                <w:rFonts w:ascii="Arial" w:hAnsi="Arial" w:cs="Arial"/>
                <w:b/>
                <w:bCs/>
                <w:sz w:val="16"/>
                <w:szCs w:val="16"/>
              </w:rPr>
              <w:t>20%</w:t>
            </w:r>
          </w:p>
        </w:tc>
        <w:tc>
          <w:tcPr>
            <w:tcW w:w="0" w:type="auto"/>
            <w:tcBorders>
              <w:top w:val="nil"/>
              <w:left w:val="nil"/>
              <w:bottom w:val="single" w:sz="8" w:space="0" w:color="auto"/>
              <w:right w:val="single" w:sz="8" w:space="0" w:color="auto"/>
            </w:tcBorders>
            <w:noWrap/>
            <w:vAlign w:val="center"/>
            <w:hideMark/>
          </w:tcPr>
          <w:p w14:paraId="2A33FABF" w14:textId="77777777" w:rsidR="002A39A3" w:rsidRDefault="002A39A3">
            <w:pPr>
              <w:jc w:val="center"/>
              <w:rPr>
                <w:rFonts w:ascii="Arial" w:hAnsi="Arial" w:cs="Arial"/>
                <w:b/>
                <w:bCs/>
                <w:color w:val="000000"/>
                <w:sz w:val="16"/>
                <w:szCs w:val="16"/>
              </w:rPr>
            </w:pPr>
            <w:r>
              <w:rPr>
                <w:rFonts w:ascii="Arial" w:hAnsi="Arial" w:cs="Arial"/>
                <w:b/>
                <w:bCs/>
                <w:sz w:val="16"/>
                <w:szCs w:val="16"/>
              </w:rPr>
              <w:t>42%</w:t>
            </w:r>
          </w:p>
        </w:tc>
      </w:tr>
      <w:tr w:rsidR="002A39A3" w14:paraId="57C52A53" w14:textId="77777777" w:rsidTr="002A39A3">
        <w:trPr>
          <w:trHeight w:val="308"/>
        </w:trPr>
        <w:tc>
          <w:tcPr>
            <w:tcW w:w="2870" w:type="dxa"/>
            <w:tcBorders>
              <w:top w:val="nil"/>
              <w:left w:val="single" w:sz="8" w:space="0" w:color="auto"/>
              <w:bottom w:val="single" w:sz="8" w:space="0" w:color="auto"/>
              <w:right w:val="single" w:sz="8" w:space="0" w:color="auto"/>
            </w:tcBorders>
            <w:noWrap/>
            <w:vAlign w:val="center"/>
            <w:hideMark/>
          </w:tcPr>
          <w:p w14:paraId="28F0E815" w14:textId="77777777" w:rsidR="002A39A3" w:rsidRDefault="002A39A3">
            <w:pPr>
              <w:rPr>
                <w:rFonts w:ascii="Arial" w:hAnsi="Arial" w:cs="Arial"/>
                <w:color w:val="000000"/>
                <w:sz w:val="16"/>
                <w:szCs w:val="16"/>
              </w:rPr>
            </w:pPr>
            <w:r>
              <w:rPr>
                <w:rFonts w:ascii="Arial" w:hAnsi="Arial" w:cs="Arial"/>
                <w:sz w:val="16"/>
                <w:szCs w:val="16"/>
              </w:rPr>
              <w:t>Gastos Generales</w:t>
            </w:r>
          </w:p>
        </w:tc>
        <w:tc>
          <w:tcPr>
            <w:tcW w:w="713" w:type="dxa"/>
            <w:tcBorders>
              <w:top w:val="nil"/>
              <w:left w:val="nil"/>
              <w:bottom w:val="single" w:sz="8" w:space="0" w:color="auto"/>
              <w:right w:val="single" w:sz="8" w:space="0" w:color="auto"/>
            </w:tcBorders>
            <w:noWrap/>
            <w:vAlign w:val="center"/>
            <w:hideMark/>
          </w:tcPr>
          <w:p w14:paraId="3D042AC5" w14:textId="77777777" w:rsidR="002A39A3" w:rsidRDefault="002A39A3">
            <w:pPr>
              <w:jc w:val="center"/>
              <w:rPr>
                <w:rFonts w:ascii="Arial" w:hAnsi="Arial" w:cs="Arial"/>
                <w:color w:val="000000"/>
                <w:sz w:val="16"/>
                <w:szCs w:val="16"/>
              </w:rPr>
            </w:pPr>
            <w:r>
              <w:rPr>
                <w:rFonts w:ascii="Arial" w:hAnsi="Arial" w:cs="Arial"/>
                <w:sz w:val="16"/>
                <w:szCs w:val="16"/>
              </w:rPr>
              <w:t>64%</w:t>
            </w:r>
          </w:p>
        </w:tc>
        <w:tc>
          <w:tcPr>
            <w:tcW w:w="0" w:type="auto"/>
            <w:tcBorders>
              <w:top w:val="nil"/>
              <w:left w:val="nil"/>
              <w:bottom w:val="single" w:sz="8" w:space="0" w:color="auto"/>
              <w:right w:val="single" w:sz="8" w:space="0" w:color="auto"/>
            </w:tcBorders>
            <w:noWrap/>
            <w:vAlign w:val="center"/>
            <w:hideMark/>
          </w:tcPr>
          <w:p w14:paraId="63E9A9CC" w14:textId="77777777" w:rsidR="002A39A3" w:rsidRDefault="002A39A3">
            <w:pPr>
              <w:jc w:val="center"/>
              <w:rPr>
                <w:rFonts w:ascii="Arial" w:hAnsi="Arial" w:cs="Arial"/>
                <w:b/>
                <w:bCs/>
                <w:color w:val="000000"/>
                <w:sz w:val="16"/>
                <w:szCs w:val="16"/>
              </w:rPr>
            </w:pPr>
            <w:r>
              <w:rPr>
                <w:rFonts w:ascii="Arial" w:hAnsi="Arial" w:cs="Arial"/>
                <w:b/>
                <w:bCs/>
                <w:sz w:val="16"/>
                <w:szCs w:val="16"/>
              </w:rPr>
              <w:t>81%</w:t>
            </w:r>
          </w:p>
        </w:tc>
        <w:tc>
          <w:tcPr>
            <w:tcW w:w="0" w:type="auto"/>
            <w:tcBorders>
              <w:top w:val="nil"/>
              <w:left w:val="nil"/>
              <w:bottom w:val="single" w:sz="8" w:space="0" w:color="auto"/>
              <w:right w:val="single" w:sz="8" w:space="0" w:color="auto"/>
            </w:tcBorders>
            <w:noWrap/>
            <w:vAlign w:val="center"/>
            <w:hideMark/>
          </w:tcPr>
          <w:p w14:paraId="1623D5F9" w14:textId="77777777" w:rsidR="002A39A3" w:rsidRDefault="002A39A3">
            <w:pPr>
              <w:jc w:val="center"/>
              <w:rPr>
                <w:rFonts w:ascii="Arial" w:hAnsi="Arial" w:cs="Arial"/>
                <w:b/>
                <w:bCs/>
                <w:color w:val="000000"/>
                <w:sz w:val="16"/>
                <w:szCs w:val="16"/>
              </w:rPr>
            </w:pPr>
            <w:r>
              <w:rPr>
                <w:rFonts w:ascii="Arial" w:hAnsi="Arial" w:cs="Arial"/>
                <w:b/>
                <w:bCs/>
                <w:sz w:val="16"/>
                <w:szCs w:val="16"/>
              </w:rPr>
              <w:t>47%</w:t>
            </w:r>
          </w:p>
        </w:tc>
        <w:tc>
          <w:tcPr>
            <w:tcW w:w="0" w:type="auto"/>
            <w:tcBorders>
              <w:top w:val="nil"/>
              <w:left w:val="nil"/>
              <w:bottom w:val="single" w:sz="8" w:space="0" w:color="auto"/>
              <w:right w:val="single" w:sz="8" w:space="0" w:color="auto"/>
            </w:tcBorders>
            <w:noWrap/>
            <w:vAlign w:val="center"/>
            <w:hideMark/>
          </w:tcPr>
          <w:p w14:paraId="77D46348" w14:textId="77777777" w:rsidR="002A39A3" w:rsidRDefault="002A39A3">
            <w:pPr>
              <w:jc w:val="center"/>
              <w:rPr>
                <w:rFonts w:ascii="Arial" w:hAnsi="Arial" w:cs="Arial"/>
                <w:b/>
                <w:bCs/>
                <w:color w:val="000000"/>
                <w:sz w:val="16"/>
                <w:szCs w:val="16"/>
              </w:rPr>
            </w:pPr>
            <w:r>
              <w:rPr>
                <w:rFonts w:ascii="Arial" w:hAnsi="Arial" w:cs="Arial"/>
                <w:b/>
                <w:bCs/>
                <w:sz w:val="16"/>
                <w:szCs w:val="16"/>
              </w:rPr>
              <w:t>58%</w:t>
            </w:r>
          </w:p>
        </w:tc>
        <w:tc>
          <w:tcPr>
            <w:tcW w:w="0" w:type="auto"/>
            <w:tcBorders>
              <w:top w:val="nil"/>
              <w:left w:val="nil"/>
              <w:bottom w:val="single" w:sz="8" w:space="0" w:color="auto"/>
              <w:right w:val="single" w:sz="8" w:space="0" w:color="auto"/>
            </w:tcBorders>
            <w:noWrap/>
            <w:vAlign w:val="center"/>
            <w:hideMark/>
          </w:tcPr>
          <w:p w14:paraId="29F1B958" w14:textId="77777777" w:rsidR="002A39A3" w:rsidRDefault="002A39A3">
            <w:pPr>
              <w:jc w:val="center"/>
              <w:rPr>
                <w:rFonts w:ascii="Arial" w:hAnsi="Arial" w:cs="Arial"/>
                <w:b/>
                <w:bCs/>
                <w:color w:val="000000"/>
                <w:sz w:val="16"/>
                <w:szCs w:val="16"/>
              </w:rPr>
            </w:pPr>
            <w:r>
              <w:rPr>
                <w:rFonts w:ascii="Arial" w:hAnsi="Arial" w:cs="Arial"/>
                <w:b/>
                <w:bCs/>
                <w:sz w:val="16"/>
                <w:szCs w:val="16"/>
              </w:rPr>
              <w:t>10%</w:t>
            </w:r>
          </w:p>
        </w:tc>
        <w:tc>
          <w:tcPr>
            <w:tcW w:w="0" w:type="auto"/>
            <w:tcBorders>
              <w:top w:val="nil"/>
              <w:left w:val="nil"/>
              <w:bottom w:val="single" w:sz="8" w:space="0" w:color="auto"/>
              <w:right w:val="single" w:sz="8" w:space="0" w:color="auto"/>
            </w:tcBorders>
            <w:noWrap/>
            <w:vAlign w:val="center"/>
            <w:hideMark/>
          </w:tcPr>
          <w:p w14:paraId="396025EF" w14:textId="77777777" w:rsidR="002A39A3" w:rsidRDefault="002A39A3">
            <w:pPr>
              <w:jc w:val="center"/>
              <w:rPr>
                <w:rFonts w:ascii="Arial" w:hAnsi="Arial" w:cs="Arial"/>
                <w:b/>
                <w:bCs/>
                <w:color w:val="000000"/>
                <w:sz w:val="16"/>
                <w:szCs w:val="16"/>
              </w:rPr>
            </w:pPr>
            <w:r>
              <w:rPr>
                <w:rFonts w:ascii="Arial" w:hAnsi="Arial" w:cs="Arial"/>
                <w:b/>
                <w:bCs/>
                <w:sz w:val="16"/>
                <w:szCs w:val="16"/>
              </w:rPr>
              <w:t>27%</w:t>
            </w:r>
          </w:p>
        </w:tc>
        <w:tc>
          <w:tcPr>
            <w:tcW w:w="0" w:type="auto"/>
            <w:tcBorders>
              <w:top w:val="nil"/>
              <w:left w:val="nil"/>
              <w:bottom w:val="single" w:sz="8" w:space="0" w:color="auto"/>
              <w:right w:val="single" w:sz="8" w:space="0" w:color="auto"/>
            </w:tcBorders>
            <w:noWrap/>
            <w:vAlign w:val="center"/>
            <w:hideMark/>
          </w:tcPr>
          <w:p w14:paraId="389C07CF" w14:textId="77777777" w:rsidR="002A39A3" w:rsidRDefault="002A39A3">
            <w:pPr>
              <w:jc w:val="center"/>
              <w:rPr>
                <w:rFonts w:ascii="Arial" w:hAnsi="Arial" w:cs="Arial"/>
                <w:b/>
                <w:bCs/>
                <w:color w:val="000000"/>
                <w:sz w:val="16"/>
                <w:szCs w:val="16"/>
              </w:rPr>
            </w:pPr>
            <w:r>
              <w:rPr>
                <w:rFonts w:ascii="Arial" w:hAnsi="Arial" w:cs="Arial"/>
                <w:b/>
                <w:bCs/>
                <w:sz w:val="16"/>
                <w:szCs w:val="16"/>
              </w:rPr>
              <w:t>10%</w:t>
            </w:r>
          </w:p>
        </w:tc>
        <w:tc>
          <w:tcPr>
            <w:tcW w:w="0" w:type="auto"/>
            <w:tcBorders>
              <w:top w:val="nil"/>
              <w:left w:val="nil"/>
              <w:bottom w:val="single" w:sz="8" w:space="0" w:color="auto"/>
              <w:right w:val="single" w:sz="8" w:space="0" w:color="auto"/>
            </w:tcBorders>
            <w:noWrap/>
            <w:vAlign w:val="center"/>
            <w:hideMark/>
          </w:tcPr>
          <w:p w14:paraId="54E45CB3" w14:textId="77777777" w:rsidR="002A39A3" w:rsidRDefault="002A39A3">
            <w:pPr>
              <w:jc w:val="center"/>
              <w:rPr>
                <w:rFonts w:ascii="Arial" w:hAnsi="Arial" w:cs="Arial"/>
                <w:b/>
                <w:bCs/>
                <w:color w:val="000000"/>
                <w:sz w:val="16"/>
                <w:szCs w:val="16"/>
              </w:rPr>
            </w:pPr>
            <w:r>
              <w:rPr>
                <w:rFonts w:ascii="Arial" w:hAnsi="Arial" w:cs="Arial"/>
                <w:b/>
                <w:bCs/>
                <w:sz w:val="16"/>
                <w:szCs w:val="16"/>
              </w:rPr>
              <w:t>25%</w:t>
            </w:r>
          </w:p>
        </w:tc>
      </w:tr>
      <w:tr w:rsidR="002A39A3" w14:paraId="1D4211B2" w14:textId="77777777" w:rsidTr="002A39A3">
        <w:trPr>
          <w:trHeight w:val="308"/>
        </w:trPr>
        <w:tc>
          <w:tcPr>
            <w:tcW w:w="2870" w:type="dxa"/>
            <w:tcBorders>
              <w:top w:val="nil"/>
              <w:left w:val="single" w:sz="8" w:space="0" w:color="auto"/>
              <w:bottom w:val="single" w:sz="8" w:space="0" w:color="auto"/>
              <w:right w:val="single" w:sz="8" w:space="0" w:color="auto"/>
            </w:tcBorders>
            <w:noWrap/>
            <w:vAlign w:val="center"/>
            <w:hideMark/>
          </w:tcPr>
          <w:p w14:paraId="41F59030" w14:textId="77777777" w:rsidR="002A39A3" w:rsidRDefault="002A39A3">
            <w:pPr>
              <w:rPr>
                <w:rFonts w:ascii="Arial" w:hAnsi="Arial" w:cs="Arial"/>
                <w:color w:val="000000"/>
                <w:sz w:val="16"/>
                <w:szCs w:val="16"/>
              </w:rPr>
            </w:pPr>
            <w:r>
              <w:rPr>
                <w:rFonts w:ascii="Arial" w:hAnsi="Arial" w:cs="Arial"/>
                <w:sz w:val="16"/>
                <w:szCs w:val="16"/>
              </w:rPr>
              <w:t>Transferencias Corrientes</w:t>
            </w:r>
          </w:p>
        </w:tc>
        <w:tc>
          <w:tcPr>
            <w:tcW w:w="713" w:type="dxa"/>
            <w:tcBorders>
              <w:top w:val="nil"/>
              <w:left w:val="nil"/>
              <w:bottom w:val="single" w:sz="8" w:space="0" w:color="auto"/>
              <w:right w:val="single" w:sz="8" w:space="0" w:color="auto"/>
            </w:tcBorders>
            <w:noWrap/>
            <w:vAlign w:val="center"/>
            <w:hideMark/>
          </w:tcPr>
          <w:p w14:paraId="04A959B5" w14:textId="77777777" w:rsidR="002A39A3" w:rsidRDefault="002A39A3">
            <w:pPr>
              <w:jc w:val="center"/>
              <w:rPr>
                <w:rFonts w:ascii="Arial" w:hAnsi="Arial" w:cs="Arial"/>
                <w:color w:val="000000"/>
                <w:sz w:val="16"/>
                <w:szCs w:val="16"/>
              </w:rPr>
            </w:pPr>
            <w:r>
              <w:rPr>
                <w:rFonts w:ascii="Arial" w:hAnsi="Arial" w:cs="Arial"/>
                <w:sz w:val="16"/>
                <w:szCs w:val="16"/>
              </w:rPr>
              <w:t>98%</w:t>
            </w:r>
          </w:p>
        </w:tc>
        <w:tc>
          <w:tcPr>
            <w:tcW w:w="0" w:type="auto"/>
            <w:tcBorders>
              <w:top w:val="nil"/>
              <w:left w:val="nil"/>
              <w:bottom w:val="single" w:sz="8" w:space="0" w:color="auto"/>
              <w:right w:val="single" w:sz="8" w:space="0" w:color="auto"/>
            </w:tcBorders>
            <w:noWrap/>
            <w:vAlign w:val="center"/>
            <w:hideMark/>
          </w:tcPr>
          <w:p w14:paraId="6FE3272E"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c>
          <w:tcPr>
            <w:tcW w:w="0" w:type="auto"/>
            <w:tcBorders>
              <w:top w:val="nil"/>
              <w:left w:val="nil"/>
              <w:bottom w:val="single" w:sz="8" w:space="0" w:color="auto"/>
              <w:right w:val="single" w:sz="8" w:space="0" w:color="auto"/>
            </w:tcBorders>
            <w:noWrap/>
            <w:vAlign w:val="center"/>
            <w:hideMark/>
          </w:tcPr>
          <w:p w14:paraId="7862F2EA"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c>
          <w:tcPr>
            <w:tcW w:w="0" w:type="auto"/>
            <w:tcBorders>
              <w:top w:val="nil"/>
              <w:left w:val="nil"/>
              <w:bottom w:val="single" w:sz="8" w:space="0" w:color="auto"/>
              <w:right w:val="single" w:sz="8" w:space="0" w:color="auto"/>
            </w:tcBorders>
            <w:noWrap/>
            <w:vAlign w:val="center"/>
            <w:hideMark/>
          </w:tcPr>
          <w:p w14:paraId="070DE7BC"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c>
          <w:tcPr>
            <w:tcW w:w="0" w:type="auto"/>
            <w:tcBorders>
              <w:top w:val="nil"/>
              <w:left w:val="nil"/>
              <w:bottom w:val="single" w:sz="8" w:space="0" w:color="auto"/>
              <w:right w:val="single" w:sz="8" w:space="0" w:color="auto"/>
            </w:tcBorders>
            <w:noWrap/>
            <w:vAlign w:val="center"/>
            <w:hideMark/>
          </w:tcPr>
          <w:p w14:paraId="3B7FB9FD"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c>
          <w:tcPr>
            <w:tcW w:w="0" w:type="auto"/>
            <w:tcBorders>
              <w:top w:val="nil"/>
              <w:left w:val="nil"/>
              <w:bottom w:val="single" w:sz="8" w:space="0" w:color="auto"/>
              <w:right w:val="single" w:sz="8" w:space="0" w:color="auto"/>
            </w:tcBorders>
            <w:noWrap/>
            <w:vAlign w:val="center"/>
            <w:hideMark/>
          </w:tcPr>
          <w:p w14:paraId="2E0EFC92"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c>
          <w:tcPr>
            <w:tcW w:w="0" w:type="auto"/>
            <w:tcBorders>
              <w:top w:val="nil"/>
              <w:left w:val="nil"/>
              <w:bottom w:val="single" w:sz="8" w:space="0" w:color="auto"/>
              <w:right w:val="single" w:sz="8" w:space="0" w:color="auto"/>
            </w:tcBorders>
            <w:noWrap/>
            <w:vAlign w:val="center"/>
            <w:hideMark/>
          </w:tcPr>
          <w:p w14:paraId="0FFC48D4"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c>
          <w:tcPr>
            <w:tcW w:w="0" w:type="auto"/>
            <w:tcBorders>
              <w:top w:val="nil"/>
              <w:left w:val="nil"/>
              <w:bottom w:val="single" w:sz="8" w:space="0" w:color="auto"/>
              <w:right w:val="single" w:sz="8" w:space="0" w:color="auto"/>
            </w:tcBorders>
            <w:noWrap/>
            <w:vAlign w:val="center"/>
            <w:hideMark/>
          </w:tcPr>
          <w:p w14:paraId="5C82B40C" w14:textId="77777777" w:rsidR="002A39A3" w:rsidRDefault="002A39A3">
            <w:pPr>
              <w:jc w:val="center"/>
              <w:rPr>
                <w:rFonts w:ascii="Arial" w:hAnsi="Arial" w:cs="Arial"/>
                <w:b/>
                <w:bCs/>
                <w:color w:val="000000"/>
                <w:sz w:val="16"/>
                <w:szCs w:val="16"/>
              </w:rPr>
            </w:pPr>
            <w:r>
              <w:rPr>
                <w:rFonts w:ascii="Arial" w:hAnsi="Arial" w:cs="Arial"/>
                <w:b/>
                <w:bCs/>
                <w:sz w:val="16"/>
                <w:szCs w:val="16"/>
              </w:rPr>
              <w:t>98%</w:t>
            </w:r>
          </w:p>
        </w:tc>
      </w:tr>
      <w:tr w:rsidR="002A39A3" w14:paraId="5FBEA75E" w14:textId="77777777" w:rsidTr="002A39A3">
        <w:trPr>
          <w:trHeight w:val="308"/>
        </w:trPr>
        <w:tc>
          <w:tcPr>
            <w:tcW w:w="2870" w:type="dxa"/>
            <w:tcBorders>
              <w:top w:val="nil"/>
              <w:left w:val="single" w:sz="8" w:space="0" w:color="auto"/>
              <w:bottom w:val="single" w:sz="8" w:space="0" w:color="auto"/>
              <w:right w:val="single" w:sz="8" w:space="0" w:color="auto"/>
            </w:tcBorders>
            <w:noWrap/>
            <w:vAlign w:val="center"/>
            <w:hideMark/>
          </w:tcPr>
          <w:p w14:paraId="0AAD8B45" w14:textId="77777777" w:rsidR="002A39A3" w:rsidRDefault="002A39A3">
            <w:pPr>
              <w:rPr>
                <w:rFonts w:ascii="Arial" w:hAnsi="Arial" w:cs="Arial"/>
                <w:color w:val="000000"/>
                <w:sz w:val="16"/>
                <w:szCs w:val="16"/>
              </w:rPr>
            </w:pPr>
            <w:r>
              <w:rPr>
                <w:rFonts w:ascii="Arial" w:hAnsi="Arial" w:cs="Arial"/>
                <w:sz w:val="16"/>
                <w:szCs w:val="16"/>
              </w:rPr>
              <w:t>Gastos de Comercialización</w:t>
            </w:r>
          </w:p>
        </w:tc>
        <w:tc>
          <w:tcPr>
            <w:tcW w:w="713" w:type="dxa"/>
            <w:tcBorders>
              <w:top w:val="nil"/>
              <w:left w:val="nil"/>
              <w:bottom w:val="single" w:sz="8" w:space="0" w:color="auto"/>
              <w:right w:val="single" w:sz="8" w:space="0" w:color="auto"/>
            </w:tcBorders>
            <w:noWrap/>
            <w:vAlign w:val="center"/>
            <w:hideMark/>
          </w:tcPr>
          <w:p w14:paraId="3EC492FC" w14:textId="77777777" w:rsidR="002A39A3" w:rsidRDefault="002A39A3">
            <w:pPr>
              <w:jc w:val="center"/>
              <w:rPr>
                <w:rFonts w:ascii="Arial" w:hAnsi="Arial" w:cs="Arial"/>
                <w:color w:val="000000"/>
                <w:sz w:val="16"/>
                <w:szCs w:val="16"/>
              </w:rPr>
            </w:pPr>
            <w:r>
              <w:rPr>
                <w:rFonts w:ascii="Arial" w:hAnsi="Arial" w:cs="Arial"/>
                <w:sz w:val="16"/>
                <w:szCs w:val="16"/>
              </w:rPr>
              <w:t>77%</w:t>
            </w:r>
          </w:p>
        </w:tc>
        <w:tc>
          <w:tcPr>
            <w:tcW w:w="0" w:type="auto"/>
            <w:tcBorders>
              <w:top w:val="nil"/>
              <w:left w:val="nil"/>
              <w:bottom w:val="single" w:sz="8" w:space="0" w:color="auto"/>
              <w:right w:val="single" w:sz="8" w:space="0" w:color="auto"/>
            </w:tcBorders>
            <w:noWrap/>
            <w:vAlign w:val="center"/>
            <w:hideMark/>
          </w:tcPr>
          <w:p w14:paraId="16479AE0" w14:textId="77777777" w:rsidR="002A39A3" w:rsidRDefault="002A39A3">
            <w:pPr>
              <w:jc w:val="center"/>
              <w:rPr>
                <w:rFonts w:ascii="Arial" w:hAnsi="Arial" w:cs="Arial"/>
                <w:b/>
                <w:bCs/>
                <w:color w:val="000000"/>
                <w:sz w:val="16"/>
                <w:szCs w:val="16"/>
              </w:rPr>
            </w:pPr>
            <w:r>
              <w:rPr>
                <w:rFonts w:ascii="Arial" w:hAnsi="Arial" w:cs="Arial"/>
                <w:b/>
                <w:bCs/>
                <w:sz w:val="16"/>
                <w:szCs w:val="16"/>
              </w:rPr>
              <w:t>84%</w:t>
            </w:r>
          </w:p>
        </w:tc>
        <w:tc>
          <w:tcPr>
            <w:tcW w:w="0" w:type="auto"/>
            <w:tcBorders>
              <w:top w:val="nil"/>
              <w:left w:val="nil"/>
              <w:bottom w:val="single" w:sz="8" w:space="0" w:color="auto"/>
              <w:right w:val="single" w:sz="8" w:space="0" w:color="auto"/>
            </w:tcBorders>
            <w:noWrap/>
            <w:vAlign w:val="center"/>
            <w:hideMark/>
          </w:tcPr>
          <w:p w14:paraId="540D483C" w14:textId="77777777" w:rsidR="002A39A3" w:rsidRDefault="002A39A3">
            <w:pPr>
              <w:jc w:val="center"/>
              <w:rPr>
                <w:rFonts w:ascii="Arial" w:hAnsi="Arial" w:cs="Arial"/>
                <w:b/>
                <w:bCs/>
                <w:color w:val="000000"/>
                <w:sz w:val="16"/>
                <w:szCs w:val="16"/>
              </w:rPr>
            </w:pPr>
            <w:r>
              <w:rPr>
                <w:rFonts w:ascii="Arial" w:hAnsi="Arial" w:cs="Arial"/>
                <w:b/>
                <w:bCs/>
                <w:sz w:val="16"/>
                <w:szCs w:val="16"/>
              </w:rPr>
              <w:t>76%</w:t>
            </w:r>
          </w:p>
        </w:tc>
        <w:tc>
          <w:tcPr>
            <w:tcW w:w="0" w:type="auto"/>
            <w:tcBorders>
              <w:top w:val="nil"/>
              <w:left w:val="nil"/>
              <w:bottom w:val="single" w:sz="8" w:space="0" w:color="auto"/>
              <w:right w:val="single" w:sz="8" w:space="0" w:color="auto"/>
            </w:tcBorders>
            <w:noWrap/>
            <w:vAlign w:val="center"/>
            <w:hideMark/>
          </w:tcPr>
          <w:p w14:paraId="1C98FCDE" w14:textId="77777777" w:rsidR="002A39A3" w:rsidRDefault="002A39A3">
            <w:pPr>
              <w:jc w:val="center"/>
              <w:rPr>
                <w:rFonts w:ascii="Arial" w:hAnsi="Arial" w:cs="Arial"/>
                <w:b/>
                <w:bCs/>
                <w:color w:val="000000"/>
                <w:sz w:val="16"/>
                <w:szCs w:val="16"/>
              </w:rPr>
            </w:pPr>
            <w:r>
              <w:rPr>
                <w:rFonts w:ascii="Arial" w:hAnsi="Arial" w:cs="Arial"/>
                <w:b/>
                <w:bCs/>
                <w:sz w:val="16"/>
                <w:szCs w:val="16"/>
              </w:rPr>
              <w:t>82%</w:t>
            </w:r>
          </w:p>
        </w:tc>
        <w:tc>
          <w:tcPr>
            <w:tcW w:w="0" w:type="auto"/>
            <w:tcBorders>
              <w:top w:val="nil"/>
              <w:left w:val="nil"/>
              <w:bottom w:val="single" w:sz="8" w:space="0" w:color="auto"/>
              <w:right w:val="single" w:sz="8" w:space="0" w:color="auto"/>
            </w:tcBorders>
            <w:noWrap/>
            <w:vAlign w:val="center"/>
            <w:hideMark/>
          </w:tcPr>
          <w:p w14:paraId="342986AC" w14:textId="77777777" w:rsidR="002A39A3" w:rsidRDefault="002A39A3">
            <w:pPr>
              <w:jc w:val="center"/>
              <w:rPr>
                <w:rFonts w:ascii="Arial" w:hAnsi="Arial" w:cs="Arial"/>
                <w:b/>
                <w:bCs/>
                <w:color w:val="000000"/>
                <w:sz w:val="16"/>
                <w:szCs w:val="16"/>
              </w:rPr>
            </w:pPr>
            <w:r>
              <w:rPr>
                <w:rFonts w:ascii="Arial" w:hAnsi="Arial" w:cs="Arial"/>
                <w:b/>
                <w:bCs/>
                <w:sz w:val="16"/>
                <w:szCs w:val="16"/>
              </w:rPr>
              <w:t>9%</w:t>
            </w:r>
          </w:p>
        </w:tc>
        <w:tc>
          <w:tcPr>
            <w:tcW w:w="0" w:type="auto"/>
            <w:tcBorders>
              <w:top w:val="nil"/>
              <w:left w:val="nil"/>
              <w:bottom w:val="single" w:sz="8" w:space="0" w:color="auto"/>
              <w:right w:val="single" w:sz="8" w:space="0" w:color="auto"/>
            </w:tcBorders>
            <w:noWrap/>
            <w:vAlign w:val="center"/>
            <w:hideMark/>
          </w:tcPr>
          <w:p w14:paraId="38204CE7" w14:textId="77777777" w:rsidR="002A39A3" w:rsidRDefault="002A39A3">
            <w:pPr>
              <w:jc w:val="center"/>
              <w:rPr>
                <w:rFonts w:ascii="Arial" w:hAnsi="Arial" w:cs="Arial"/>
                <w:b/>
                <w:bCs/>
                <w:color w:val="000000"/>
                <w:sz w:val="16"/>
                <w:szCs w:val="16"/>
              </w:rPr>
            </w:pPr>
            <w:r>
              <w:rPr>
                <w:rFonts w:ascii="Arial" w:hAnsi="Arial" w:cs="Arial"/>
                <w:b/>
                <w:bCs/>
                <w:sz w:val="16"/>
                <w:szCs w:val="16"/>
              </w:rPr>
              <w:t>37%</w:t>
            </w:r>
          </w:p>
        </w:tc>
        <w:tc>
          <w:tcPr>
            <w:tcW w:w="0" w:type="auto"/>
            <w:tcBorders>
              <w:top w:val="nil"/>
              <w:left w:val="nil"/>
              <w:bottom w:val="single" w:sz="8" w:space="0" w:color="auto"/>
              <w:right w:val="single" w:sz="8" w:space="0" w:color="auto"/>
            </w:tcBorders>
            <w:noWrap/>
            <w:vAlign w:val="center"/>
            <w:hideMark/>
          </w:tcPr>
          <w:p w14:paraId="4A32FA48" w14:textId="77777777" w:rsidR="002A39A3" w:rsidRDefault="002A39A3">
            <w:pPr>
              <w:jc w:val="center"/>
              <w:rPr>
                <w:rFonts w:ascii="Arial" w:hAnsi="Arial" w:cs="Arial"/>
                <w:b/>
                <w:bCs/>
                <w:color w:val="000000"/>
                <w:sz w:val="16"/>
                <w:szCs w:val="16"/>
              </w:rPr>
            </w:pPr>
            <w:r>
              <w:rPr>
                <w:rFonts w:ascii="Arial" w:hAnsi="Arial" w:cs="Arial"/>
                <w:b/>
                <w:bCs/>
                <w:sz w:val="16"/>
                <w:szCs w:val="16"/>
              </w:rPr>
              <w:t>9%</w:t>
            </w:r>
          </w:p>
        </w:tc>
        <w:tc>
          <w:tcPr>
            <w:tcW w:w="0" w:type="auto"/>
            <w:tcBorders>
              <w:top w:val="nil"/>
              <w:left w:val="nil"/>
              <w:bottom w:val="single" w:sz="8" w:space="0" w:color="auto"/>
              <w:right w:val="single" w:sz="8" w:space="0" w:color="auto"/>
            </w:tcBorders>
            <w:noWrap/>
            <w:vAlign w:val="center"/>
            <w:hideMark/>
          </w:tcPr>
          <w:p w14:paraId="20B8771F" w14:textId="77777777" w:rsidR="002A39A3" w:rsidRDefault="002A39A3">
            <w:pPr>
              <w:jc w:val="center"/>
              <w:rPr>
                <w:rFonts w:ascii="Arial" w:hAnsi="Arial" w:cs="Arial"/>
                <w:b/>
                <w:bCs/>
                <w:color w:val="000000"/>
                <w:sz w:val="16"/>
                <w:szCs w:val="16"/>
              </w:rPr>
            </w:pPr>
            <w:r>
              <w:rPr>
                <w:rFonts w:ascii="Arial" w:hAnsi="Arial" w:cs="Arial"/>
                <w:b/>
                <w:bCs/>
                <w:sz w:val="16"/>
                <w:szCs w:val="16"/>
              </w:rPr>
              <w:t>37%</w:t>
            </w:r>
          </w:p>
        </w:tc>
      </w:tr>
      <w:tr w:rsidR="002A39A3" w14:paraId="7D1BB22A" w14:textId="77777777" w:rsidTr="002A39A3">
        <w:trPr>
          <w:trHeight w:val="308"/>
        </w:trPr>
        <w:tc>
          <w:tcPr>
            <w:tcW w:w="2870" w:type="dxa"/>
            <w:tcBorders>
              <w:top w:val="nil"/>
              <w:left w:val="single" w:sz="8" w:space="0" w:color="auto"/>
              <w:bottom w:val="single" w:sz="8" w:space="0" w:color="auto"/>
              <w:right w:val="single" w:sz="8" w:space="0" w:color="auto"/>
            </w:tcBorders>
            <w:noWrap/>
            <w:vAlign w:val="center"/>
            <w:hideMark/>
          </w:tcPr>
          <w:p w14:paraId="3027A973" w14:textId="77777777" w:rsidR="002A39A3" w:rsidRDefault="002A39A3">
            <w:pPr>
              <w:rPr>
                <w:rFonts w:ascii="Arial" w:hAnsi="Arial" w:cs="Arial"/>
                <w:b/>
                <w:bCs/>
                <w:color w:val="000000"/>
                <w:sz w:val="16"/>
                <w:szCs w:val="16"/>
              </w:rPr>
            </w:pPr>
            <w:r>
              <w:rPr>
                <w:rFonts w:ascii="Arial" w:hAnsi="Arial" w:cs="Arial"/>
                <w:b/>
                <w:bCs/>
                <w:sz w:val="16"/>
                <w:szCs w:val="16"/>
              </w:rPr>
              <w:t>Gastos de Inversión</w:t>
            </w:r>
          </w:p>
        </w:tc>
        <w:tc>
          <w:tcPr>
            <w:tcW w:w="713" w:type="dxa"/>
            <w:tcBorders>
              <w:top w:val="nil"/>
              <w:left w:val="nil"/>
              <w:bottom w:val="single" w:sz="8" w:space="0" w:color="auto"/>
              <w:right w:val="single" w:sz="8" w:space="0" w:color="auto"/>
            </w:tcBorders>
            <w:noWrap/>
            <w:vAlign w:val="center"/>
            <w:hideMark/>
          </w:tcPr>
          <w:p w14:paraId="7C9C749E" w14:textId="77777777" w:rsidR="002A39A3" w:rsidRDefault="002A39A3">
            <w:pPr>
              <w:jc w:val="center"/>
              <w:rPr>
                <w:rFonts w:ascii="Arial" w:hAnsi="Arial" w:cs="Arial"/>
                <w:b/>
                <w:bCs/>
                <w:color w:val="000000"/>
                <w:sz w:val="16"/>
                <w:szCs w:val="16"/>
              </w:rPr>
            </w:pPr>
            <w:r>
              <w:rPr>
                <w:rFonts w:ascii="Arial" w:hAnsi="Arial" w:cs="Arial"/>
                <w:b/>
                <w:bCs/>
                <w:sz w:val="16"/>
                <w:szCs w:val="16"/>
              </w:rPr>
              <w:t>73%</w:t>
            </w:r>
          </w:p>
        </w:tc>
        <w:tc>
          <w:tcPr>
            <w:tcW w:w="0" w:type="auto"/>
            <w:tcBorders>
              <w:top w:val="nil"/>
              <w:left w:val="nil"/>
              <w:bottom w:val="single" w:sz="8" w:space="0" w:color="auto"/>
              <w:right w:val="single" w:sz="8" w:space="0" w:color="auto"/>
            </w:tcBorders>
            <w:noWrap/>
            <w:vAlign w:val="center"/>
            <w:hideMark/>
          </w:tcPr>
          <w:p w14:paraId="1932DB6B" w14:textId="77777777" w:rsidR="002A39A3" w:rsidRDefault="002A39A3">
            <w:pPr>
              <w:jc w:val="center"/>
              <w:rPr>
                <w:rFonts w:ascii="Arial" w:hAnsi="Arial" w:cs="Arial"/>
                <w:b/>
                <w:bCs/>
                <w:color w:val="000000"/>
                <w:sz w:val="16"/>
                <w:szCs w:val="16"/>
              </w:rPr>
            </w:pPr>
            <w:r>
              <w:rPr>
                <w:rFonts w:ascii="Arial" w:hAnsi="Arial" w:cs="Arial"/>
                <w:b/>
                <w:bCs/>
                <w:sz w:val="16"/>
                <w:szCs w:val="16"/>
              </w:rPr>
              <w:t>92%</w:t>
            </w:r>
          </w:p>
        </w:tc>
        <w:tc>
          <w:tcPr>
            <w:tcW w:w="0" w:type="auto"/>
            <w:tcBorders>
              <w:top w:val="nil"/>
              <w:left w:val="nil"/>
              <w:bottom w:val="single" w:sz="8" w:space="0" w:color="auto"/>
              <w:right w:val="single" w:sz="8" w:space="0" w:color="auto"/>
            </w:tcBorders>
            <w:noWrap/>
            <w:vAlign w:val="center"/>
            <w:hideMark/>
          </w:tcPr>
          <w:p w14:paraId="4F1861AD" w14:textId="77777777" w:rsidR="002A39A3" w:rsidRDefault="002A39A3">
            <w:pPr>
              <w:jc w:val="center"/>
              <w:rPr>
                <w:rFonts w:ascii="Arial" w:hAnsi="Arial" w:cs="Arial"/>
                <w:b/>
                <w:bCs/>
                <w:color w:val="000000"/>
                <w:sz w:val="16"/>
                <w:szCs w:val="16"/>
              </w:rPr>
            </w:pPr>
            <w:r>
              <w:rPr>
                <w:rFonts w:ascii="Arial" w:hAnsi="Arial" w:cs="Arial"/>
                <w:b/>
                <w:bCs/>
                <w:sz w:val="16"/>
                <w:szCs w:val="16"/>
              </w:rPr>
              <w:t>45%</w:t>
            </w:r>
          </w:p>
        </w:tc>
        <w:tc>
          <w:tcPr>
            <w:tcW w:w="0" w:type="auto"/>
            <w:tcBorders>
              <w:top w:val="nil"/>
              <w:left w:val="nil"/>
              <w:bottom w:val="single" w:sz="8" w:space="0" w:color="auto"/>
              <w:right w:val="single" w:sz="8" w:space="0" w:color="auto"/>
            </w:tcBorders>
            <w:noWrap/>
            <w:vAlign w:val="center"/>
            <w:hideMark/>
          </w:tcPr>
          <w:p w14:paraId="75680076" w14:textId="77777777" w:rsidR="002A39A3" w:rsidRDefault="002A39A3">
            <w:pPr>
              <w:jc w:val="center"/>
              <w:rPr>
                <w:rFonts w:ascii="Arial" w:hAnsi="Arial" w:cs="Arial"/>
                <w:b/>
                <w:bCs/>
                <w:color w:val="000000"/>
                <w:sz w:val="16"/>
                <w:szCs w:val="16"/>
              </w:rPr>
            </w:pPr>
            <w:r>
              <w:rPr>
                <w:rFonts w:ascii="Arial" w:hAnsi="Arial" w:cs="Arial"/>
                <w:b/>
                <w:bCs/>
                <w:sz w:val="16"/>
                <w:szCs w:val="16"/>
              </w:rPr>
              <w:t>45%</w:t>
            </w:r>
          </w:p>
        </w:tc>
        <w:tc>
          <w:tcPr>
            <w:tcW w:w="0" w:type="auto"/>
            <w:tcBorders>
              <w:top w:val="nil"/>
              <w:left w:val="nil"/>
              <w:bottom w:val="single" w:sz="8" w:space="0" w:color="auto"/>
              <w:right w:val="single" w:sz="8" w:space="0" w:color="auto"/>
            </w:tcBorders>
            <w:noWrap/>
            <w:vAlign w:val="center"/>
            <w:hideMark/>
          </w:tcPr>
          <w:p w14:paraId="31E6AE2C" w14:textId="77777777" w:rsidR="002A39A3" w:rsidRDefault="002A39A3">
            <w:pPr>
              <w:jc w:val="center"/>
              <w:rPr>
                <w:rFonts w:ascii="Arial" w:hAnsi="Arial" w:cs="Arial"/>
                <w:b/>
                <w:bCs/>
                <w:color w:val="000000"/>
                <w:sz w:val="16"/>
                <w:szCs w:val="16"/>
              </w:rPr>
            </w:pPr>
            <w:r>
              <w:rPr>
                <w:rFonts w:ascii="Arial" w:hAnsi="Arial" w:cs="Arial"/>
                <w:b/>
                <w:bCs/>
                <w:sz w:val="16"/>
                <w:szCs w:val="16"/>
              </w:rPr>
              <w:t>1%</w:t>
            </w:r>
          </w:p>
        </w:tc>
        <w:tc>
          <w:tcPr>
            <w:tcW w:w="0" w:type="auto"/>
            <w:tcBorders>
              <w:top w:val="nil"/>
              <w:left w:val="nil"/>
              <w:bottom w:val="single" w:sz="8" w:space="0" w:color="auto"/>
              <w:right w:val="single" w:sz="8" w:space="0" w:color="auto"/>
            </w:tcBorders>
            <w:noWrap/>
            <w:vAlign w:val="center"/>
            <w:hideMark/>
          </w:tcPr>
          <w:p w14:paraId="79B498D6" w14:textId="77777777" w:rsidR="002A39A3" w:rsidRDefault="002A39A3">
            <w:pPr>
              <w:jc w:val="center"/>
              <w:rPr>
                <w:rFonts w:ascii="Arial" w:hAnsi="Arial" w:cs="Arial"/>
                <w:b/>
                <w:bCs/>
                <w:color w:val="000000"/>
                <w:sz w:val="16"/>
                <w:szCs w:val="16"/>
              </w:rPr>
            </w:pPr>
            <w:r>
              <w:rPr>
                <w:rFonts w:ascii="Arial" w:hAnsi="Arial" w:cs="Arial"/>
                <w:b/>
                <w:bCs/>
                <w:sz w:val="16"/>
                <w:szCs w:val="16"/>
              </w:rPr>
              <w:t>10%</w:t>
            </w:r>
          </w:p>
        </w:tc>
        <w:tc>
          <w:tcPr>
            <w:tcW w:w="0" w:type="auto"/>
            <w:tcBorders>
              <w:top w:val="nil"/>
              <w:left w:val="nil"/>
              <w:bottom w:val="single" w:sz="8" w:space="0" w:color="auto"/>
              <w:right w:val="single" w:sz="8" w:space="0" w:color="auto"/>
            </w:tcBorders>
            <w:noWrap/>
            <w:vAlign w:val="center"/>
            <w:hideMark/>
          </w:tcPr>
          <w:p w14:paraId="20583531" w14:textId="77777777" w:rsidR="002A39A3" w:rsidRDefault="002A39A3">
            <w:pPr>
              <w:jc w:val="center"/>
              <w:rPr>
                <w:rFonts w:ascii="Arial" w:hAnsi="Arial" w:cs="Arial"/>
                <w:b/>
                <w:bCs/>
                <w:color w:val="000000"/>
                <w:sz w:val="16"/>
                <w:szCs w:val="16"/>
              </w:rPr>
            </w:pPr>
            <w:r>
              <w:rPr>
                <w:rFonts w:ascii="Arial" w:hAnsi="Arial" w:cs="Arial"/>
                <w:b/>
                <w:bCs/>
                <w:sz w:val="16"/>
                <w:szCs w:val="16"/>
              </w:rPr>
              <w:t>1%</w:t>
            </w:r>
          </w:p>
        </w:tc>
        <w:tc>
          <w:tcPr>
            <w:tcW w:w="0" w:type="auto"/>
            <w:tcBorders>
              <w:top w:val="nil"/>
              <w:left w:val="nil"/>
              <w:bottom w:val="single" w:sz="8" w:space="0" w:color="auto"/>
              <w:right w:val="single" w:sz="8" w:space="0" w:color="auto"/>
            </w:tcBorders>
            <w:noWrap/>
            <w:vAlign w:val="center"/>
            <w:hideMark/>
          </w:tcPr>
          <w:p w14:paraId="72FD5E68" w14:textId="77777777" w:rsidR="002A39A3" w:rsidRDefault="002A39A3">
            <w:pPr>
              <w:jc w:val="center"/>
              <w:rPr>
                <w:rFonts w:ascii="Arial" w:hAnsi="Arial" w:cs="Arial"/>
                <w:b/>
                <w:bCs/>
                <w:color w:val="000000"/>
                <w:sz w:val="16"/>
                <w:szCs w:val="16"/>
              </w:rPr>
            </w:pPr>
            <w:r>
              <w:rPr>
                <w:rFonts w:ascii="Arial" w:hAnsi="Arial" w:cs="Arial"/>
                <w:b/>
                <w:bCs/>
                <w:sz w:val="16"/>
                <w:szCs w:val="16"/>
              </w:rPr>
              <w:t>10%</w:t>
            </w:r>
          </w:p>
        </w:tc>
      </w:tr>
      <w:tr w:rsidR="002A39A3" w14:paraId="2C52A35D" w14:textId="77777777" w:rsidTr="002A39A3">
        <w:trPr>
          <w:trHeight w:val="308"/>
        </w:trPr>
        <w:tc>
          <w:tcPr>
            <w:tcW w:w="2870" w:type="dxa"/>
            <w:tcBorders>
              <w:top w:val="nil"/>
              <w:left w:val="single" w:sz="8" w:space="0" w:color="auto"/>
              <w:bottom w:val="single" w:sz="8" w:space="0" w:color="auto"/>
              <w:right w:val="single" w:sz="8" w:space="0" w:color="auto"/>
            </w:tcBorders>
            <w:shd w:val="clear" w:color="auto" w:fill="4F81BD" w:themeFill="accent1"/>
            <w:noWrap/>
            <w:vAlign w:val="center"/>
            <w:hideMark/>
          </w:tcPr>
          <w:p w14:paraId="2A8EF529" w14:textId="77777777" w:rsidR="002A39A3" w:rsidRDefault="002A39A3">
            <w:pPr>
              <w:rPr>
                <w:rFonts w:ascii="Arial" w:hAnsi="Arial" w:cs="Arial"/>
                <w:b/>
                <w:bCs/>
                <w:color w:val="000000"/>
                <w:sz w:val="16"/>
                <w:szCs w:val="16"/>
              </w:rPr>
            </w:pPr>
            <w:r>
              <w:rPr>
                <w:rFonts w:ascii="Arial" w:hAnsi="Arial" w:cs="Arial"/>
                <w:b/>
                <w:bCs/>
                <w:sz w:val="16"/>
                <w:szCs w:val="16"/>
              </w:rPr>
              <w:t>Total, Recursos Propios</w:t>
            </w:r>
          </w:p>
        </w:tc>
        <w:tc>
          <w:tcPr>
            <w:tcW w:w="713" w:type="dxa"/>
            <w:tcBorders>
              <w:top w:val="nil"/>
              <w:left w:val="nil"/>
              <w:bottom w:val="single" w:sz="8" w:space="0" w:color="auto"/>
              <w:right w:val="single" w:sz="8" w:space="0" w:color="auto"/>
            </w:tcBorders>
            <w:shd w:val="clear" w:color="auto" w:fill="4F81BD" w:themeFill="accent1"/>
            <w:noWrap/>
            <w:vAlign w:val="center"/>
            <w:hideMark/>
          </w:tcPr>
          <w:p w14:paraId="49600222" w14:textId="77777777" w:rsidR="002A39A3" w:rsidRDefault="002A39A3">
            <w:pPr>
              <w:jc w:val="center"/>
              <w:rPr>
                <w:rFonts w:ascii="Arial" w:hAnsi="Arial" w:cs="Arial"/>
                <w:b/>
                <w:bCs/>
                <w:color w:val="000000"/>
                <w:sz w:val="16"/>
                <w:szCs w:val="16"/>
              </w:rPr>
            </w:pPr>
            <w:r>
              <w:rPr>
                <w:rFonts w:ascii="Arial" w:hAnsi="Arial" w:cs="Arial"/>
                <w:b/>
                <w:bCs/>
                <w:sz w:val="16"/>
                <w:szCs w:val="16"/>
              </w:rPr>
              <w:t>84%</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033E9CD6" w14:textId="77777777" w:rsidR="002A39A3" w:rsidRDefault="002A39A3">
            <w:pPr>
              <w:jc w:val="center"/>
              <w:rPr>
                <w:rFonts w:ascii="Arial" w:hAnsi="Arial" w:cs="Arial"/>
                <w:b/>
                <w:bCs/>
                <w:color w:val="000000"/>
                <w:sz w:val="16"/>
                <w:szCs w:val="16"/>
              </w:rPr>
            </w:pPr>
            <w:r>
              <w:rPr>
                <w:rFonts w:ascii="Arial" w:hAnsi="Arial" w:cs="Arial"/>
                <w:b/>
                <w:bCs/>
                <w:sz w:val="16"/>
                <w:szCs w:val="16"/>
              </w:rPr>
              <w:t>93%</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4135FFD" w14:textId="77777777" w:rsidR="002A39A3" w:rsidRDefault="002A39A3">
            <w:pPr>
              <w:jc w:val="center"/>
              <w:rPr>
                <w:rFonts w:ascii="Arial" w:hAnsi="Arial" w:cs="Arial"/>
                <w:b/>
                <w:bCs/>
                <w:color w:val="000000"/>
                <w:sz w:val="16"/>
                <w:szCs w:val="16"/>
              </w:rPr>
            </w:pPr>
            <w:r>
              <w:rPr>
                <w:rFonts w:ascii="Arial" w:hAnsi="Arial" w:cs="Arial"/>
                <w:b/>
                <w:bCs/>
                <w:sz w:val="16"/>
                <w:szCs w:val="16"/>
              </w:rPr>
              <w:t>70%</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465620C3" w14:textId="77777777" w:rsidR="002A39A3" w:rsidRDefault="002A39A3">
            <w:pPr>
              <w:jc w:val="center"/>
              <w:rPr>
                <w:rFonts w:ascii="Arial" w:hAnsi="Arial" w:cs="Arial"/>
                <w:b/>
                <w:bCs/>
                <w:color w:val="000000"/>
                <w:sz w:val="16"/>
                <w:szCs w:val="16"/>
              </w:rPr>
            </w:pPr>
            <w:r>
              <w:rPr>
                <w:rFonts w:ascii="Arial" w:hAnsi="Arial" w:cs="Arial"/>
                <w:b/>
                <w:bCs/>
                <w:sz w:val="16"/>
                <w:szCs w:val="16"/>
              </w:rPr>
              <w:t>71%</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7133BDFE" w14:textId="77777777" w:rsidR="002A39A3" w:rsidRDefault="002A39A3">
            <w:pPr>
              <w:jc w:val="center"/>
              <w:rPr>
                <w:rFonts w:ascii="Arial" w:hAnsi="Arial" w:cs="Arial"/>
                <w:b/>
                <w:bCs/>
                <w:color w:val="000000"/>
                <w:sz w:val="16"/>
                <w:szCs w:val="16"/>
              </w:rPr>
            </w:pPr>
            <w:r>
              <w:rPr>
                <w:rFonts w:ascii="Arial" w:hAnsi="Arial" w:cs="Arial"/>
                <w:b/>
                <w:bCs/>
                <w:sz w:val="16"/>
                <w:szCs w:val="16"/>
              </w:rPr>
              <w:t>45%</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690C9B5A" w14:textId="77777777" w:rsidR="002A39A3" w:rsidRDefault="002A39A3">
            <w:pPr>
              <w:jc w:val="center"/>
              <w:rPr>
                <w:rFonts w:ascii="Arial" w:hAnsi="Arial" w:cs="Arial"/>
                <w:b/>
                <w:bCs/>
                <w:color w:val="000000"/>
                <w:sz w:val="16"/>
                <w:szCs w:val="16"/>
              </w:rPr>
            </w:pPr>
            <w:r>
              <w:rPr>
                <w:rFonts w:ascii="Arial" w:hAnsi="Arial" w:cs="Arial"/>
                <w:b/>
                <w:bCs/>
                <w:sz w:val="16"/>
                <w:szCs w:val="16"/>
              </w:rPr>
              <w:t>52%</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23B0C30F" w14:textId="77777777" w:rsidR="002A39A3" w:rsidRDefault="002A39A3">
            <w:pPr>
              <w:jc w:val="center"/>
              <w:rPr>
                <w:rFonts w:ascii="Arial" w:hAnsi="Arial" w:cs="Arial"/>
                <w:b/>
                <w:bCs/>
                <w:color w:val="000000"/>
                <w:sz w:val="16"/>
                <w:szCs w:val="16"/>
              </w:rPr>
            </w:pPr>
            <w:r>
              <w:rPr>
                <w:rFonts w:ascii="Arial" w:hAnsi="Arial" w:cs="Arial"/>
                <w:b/>
                <w:bCs/>
                <w:sz w:val="16"/>
                <w:szCs w:val="16"/>
              </w:rPr>
              <w:t>45%</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4F37D77D" w14:textId="77777777" w:rsidR="002A39A3" w:rsidRDefault="002A39A3">
            <w:pPr>
              <w:jc w:val="center"/>
              <w:rPr>
                <w:rFonts w:ascii="Arial" w:hAnsi="Arial" w:cs="Arial"/>
                <w:b/>
                <w:bCs/>
                <w:color w:val="000000"/>
                <w:sz w:val="16"/>
                <w:szCs w:val="16"/>
              </w:rPr>
            </w:pPr>
            <w:r>
              <w:rPr>
                <w:rFonts w:ascii="Arial" w:hAnsi="Arial" w:cs="Arial"/>
                <w:b/>
                <w:bCs/>
                <w:sz w:val="16"/>
                <w:szCs w:val="16"/>
              </w:rPr>
              <w:t>52%</w:t>
            </w:r>
          </w:p>
        </w:tc>
      </w:tr>
    </w:tbl>
    <w:p w14:paraId="61BD2D17" w14:textId="77777777" w:rsidR="00C02282" w:rsidRPr="002A39A3" w:rsidRDefault="00C02282" w:rsidP="00C02282">
      <w:pPr>
        <w:spacing w:after="0" w:line="240" w:lineRule="auto"/>
        <w:jc w:val="center"/>
        <w:rPr>
          <w:rFonts w:ascii="Arial" w:eastAsia="Calibri" w:hAnsi="Arial" w:cs="Arial"/>
          <w:sz w:val="16"/>
          <w:szCs w:val="16"/>
        </w:rPr>
      </w:pPr>
      <w:r w:rsidRPr="002A39A3">
        <w:rPr>
          <w:rFonts w:ascii="Arial" w:hAnsi="Arial" w:cs="Arial"/>
          <w:sz w:val="16"/>
          <w:szCs w:val="16"/>
          <w:lang w:eastAsia="es-ES"/>
        </w:rPr>
        <w:t>Millones de pesos</w:t>
      </w:r>
    </w:p>
    <w:p w14:paraId="3177B3A8" w14:textId="4A66AA80" w:rsidR="00C02282" w:rsidRDefault="00C02282" w:rsidP="00C02282">
      <w:pPr>
        <w:jc w:val="center"/>
        <w:rPr>
          <w:rFonts w:ascii="Arial" w:hAnsi="Arial" w:cs="Arial"/>
          <w:bCs/>
          <w:sz w:val="16"/>
          <w:szCs w:val="16"/>
          <w:lang w:val="es-ES" w:eastAsia="es-ES"/>
        </w:rPr>
      </w:pPr>
      <w:r w:rsidRPr="002A39A3">
        <w:rPr>
          <w:rFonts w:ascii="Arial" w:hAnsi="Arial" w:cs="Arial"/>
          <w:bCs/>
          <w:sz w:val="16"/>
          <w:szCs w:val="16"/>
          <w:lang w:val="es-ES" w:eastAsia="es-ES"/>
        </w:rPr>
        <w:t>Fuente SIIF</w:t>
      </w:r>
    </w:p>
    <w:p w14:paraId="5FA7DB0C" w14:textId="0E63CCF5" w:rsidR="00E95757" w:rsidRDefault="00E95757" w:rsidP="00C02282">
      <w:pPr>
        <w:jc w:val="center"/>
        <w:rPr>
          <w:rFonts w:ascii="Arial" w:hAnsi="Arial" w:cs="Arial"/>
          <w:bCs/>
          <w:sz w:val="16"/>
          <w:szCs w:val="16"/>
          <w:lang w:val="es-ES" w:eastAsia="es-ES"/>
        </w:rPr>
      </w:pPr>
    </w:p>
    <w:p w14:paraId="25BA91B9" w14:textId="77777777" w:rsidR="00E95757" w:rsidRPr="002A39A3" w:rsidRDefault="00E95757" w:rsidP="00C02282">
      <w:pPr>
        <w:jc w:val="center"/>
        <w:rPr>
          <w:rFonts w:ascii="Arial" w:hAnsi="Arial" w:cs="Arial"/>
          <w:sz w:val="16"/>
          <w:szCs w:val="16"/>
          <w:lang w:eastAsia="es-ES"/>
        </w:rPr>
      </w:pPr>
    </w:p>
    <w:p w14:paraId="583407E0" w14:textId="77777777" w:rsidR="00C02282" w:rsidRPr="002A39A3" w:rsidRDefault="00C02282" w:rsidP="00C02282">
      <w:pPr>
        <w:jc w:val="both"/>
        <w:rPr>
          <w:rFonts w:ascii="Arial" w:eastAsia="Calibri" w:hAnsi="Arial" w:cs="Arial"/>
          <w:b/>
          <w:lang w:eastAsia="es-ES"/>
        </w:rPr>
      </w:pPr>
      <w:r w:rsidRPr="002A39A3">
        <w:rPr>
          <w:rFonts w:ascii="Arial" w:eastAsia="Calibri" w:hAnsi="Arial" w:cs="Arial"/>
          <w:b/>
          <w:lang w:eastAsia="es-ES"/>
        </w:rPr>
        <w:t>Gastos de Funcionamiento ANH</w:t>
      </w:r>
    </w:p>
    <w:p w14:paraId="5F1F0007" w14:textId="77777777" w:rsidR="00C02282" w:rsidRPr="002A39A3" w:rsidRDefault="00C02282" w:rsidP="00055F7C">
      <w:pPr>
        <w:pStyle w:val="Prrafodelista"/>
        <w:numPr>
          <w:ilvl w:val="0"/>
          <w:numId w:val="8"/>
        </w:numPr>
        <w:suppressAutoHyphens/>
        <w:autoSpaceDN w:val="0"/>
        <w:ind w:left="0" w:firstLine="0"/>
        <w:jc w:val="both"/>
        <w:textAlignment w:val="baseline"/>
        <w:rPr>
          <w:rFonts w:eastAsia="Calibri" w:cs="Arial"/>
          <w:b/>
        </w:rPr>
      </w:pPr>
      <w:bookmarkStart w:id="120" w:name="_Hlk504469663"/>
      <w:r w:rsidRPr="002A39A3">
        <w:rPr>
          <w:rFonts w:eastAsia="Calibri" w:cs="Arial"/>
          <w:b/>
        </w:rPr>
        <w:t>Gastos de Personal</w:t>
      </w:r>
    </w:p>
    <w:bookmarkEnd w:id="120"/>
    <w:p w14:paraId="11B57423" w14:textId="77777777" w:rsidR="002A39A3" w:rsidRDefault="002A39A3" w:rsidP="002A39A3">
      <w:pPr>
        <w:pStyle w:val="Prrafodelista"/>
        <w:widowControl w:val="0"/>
        <w:ind w:left="720"/>
        <w:jc w:val="both"/>
        <w:rPr>
          <w:rFonts w:cs="Arial"/>
          <w:lang w:val="es-ES"/>
        </w:rPr>
      </w:pPr>
      <w:r>
        <w:rPr>
          <w:rFonts w:cs="Arial"/>
          <w:lang w:val="es-ES"/>
        </w:rPr>
        <w:t xml:space="preserve">De conformidad con los Decretos 766, 1128 y 2584 de 2012 se modificó la planta de </w:t>
      </w:r>
      <w:r>
        <w:rPr>
          <w:rFonts w:cs="Arial"/>
          <w:lang w:val="es-ES"/>
        </w:rPr>
        <w:lastRenderedPageBreak/>
        <w:t xml:space="preserve">personal de la Agencia Nacional de Hidrocarburos, estableciéndose una planta de 147 cargos, distribuida como se muestra a continuación. A 30 de junio de 2018, el nivel de ocupación es de 132 funcionarios, que corresponde al 89.80% del total de la planta.  </w:t>
      </w:r>
    </w:p>
    <w:p w14:paraId="14FBA8BD" w14:textId="6CF6D88C" w:rsidR="00C02282" w:rsidRPr="002A39A3" w:rsidRDefault="00C02282" w:rsidP="00C02282">
      <w:pPr>
        <w:pStyle w:val="Descripcin"/>
        <w:keepNext/>
        <w:jc w:val="center"/>
      </w:pPr>
      <w:bookmarkStart w:id="121" w:name="_Toc525652495"/>
      <w:r w:rsidRPr="002A39A3">
        <w:t xml:space="preserve">Tabla </w:t>
      </w:r>
      <w:r w:rsidRPr="002A39A3">
        <w:fldChar w:fldCharType="begin"/>
      </w:r>
      <w:r w:rsidRPr="002A39A3">
        <w:instrText xml:space="preserve"> SEQ Tabla \* ARABIC </w:instrText>
      </w:r>
      <w:r w:rsidRPr="002A39A3">
        <w:fldChar w:fldCharType="separate"/>
      </w:r>
      <w:r w:rsidR="008B4625">
        <w:rPr>
          <w:noProof/>
        </w:rPr>
        <w:t>50</w:t>
      </w:r>
      <w:r w:rsidRPr="002A39A3">
        <w:fldChar w:fldCharType="end"/>
      </w:r>
      <w:r w:rsidR="002A39A3" w:rsidRPr="002A39A3">
        <w:t xml:space="preserve"> </w:t>
      </w:r>
      <w:r w:rsidRPr="002A39A3">
        <w:t>Numero De Cargos Asignados A 3</w:t>
      </w:r>
      <w:r w:rsidR="002A39A3" w:rsidRPr="002A39A3">
        <w:t>0</w:t>
      </w:r>
      <w:r w:rsidRPr="002A39A3">
        <w:t xml:space="preserve"> de</w:t>
      </w:r>
      <w:r w:rsidR="002A39A3" w:rsidRPr="002A39A3">
        <w:t xml:space="preserve"> junio </w:t>
      </w:r>
      <w:r w:rsidR="002A39A3">
        <w:t>d</w:t>
      </w:r>
      <w:r w:rsidRPr="002A39A3">
        <w:t>e 2018 ANH</w:t>
      </w:r>
      <w:bookmarkEnd w:id="121"/>
    </w:p>
    <w:tbl>
      <w:tblPr>
        <w:tblW w:w="7439" w:type="dxa"/>
        <w:jc w:val="center"/>
        <w:tblCellMar>
          <w:left w:w="70" w:type="dxa"/>
          <w:right w:w="70" w:type="dxa"/>
        </w:tblCellMar>
        <w:tblLook w:val="04A0" w:firstRow="1" w:lastRow="0" w:firstColumn="1" w:lastColumn="0" w:noHBand="0" w:noVBand="1"/>
      </w:tblPr>
      <w:tblGrid>
        <w:gridCol w:w="2849"/>
        <w:gridCol w:w="1820"/>
        <w:gridCol w:w="2770"/>
      </w:tblGrid>
      <w:tr w:rsidR="002A39A3" w:rsidRPr="002A39A3" w14:paraId="5A935D37" w14:textId="77777777" w:rsidTr="002A39A3">
        <w:trPr>
          <w:trHeight w:val="562"/>
          <w:jc w:val="center"/>
        </w:trPr>
        <w:tc>
          <w:tcPr>
            <w:tcW w:w="2849" w:type="dxa"/>
            <w:tcBorders>
              <w:top w:val="single" w:sz="8" w:space="0" w:color="auto"/>
              <w:left w:val="single" w:sz="8" w:space="0" w:color="auto"/>
              <w:bottom w:val="single" w:sz="8" w:space="0" w:color="auto"/>
              <w:right w:val="single" w:sz="4" w:space="0" w:color="auto"/>
            </w:tcBorders>
            <w:shd w:val="clear" w:color="auto" w:fill="4F81BD" w:themeFill="accent1"/>
            <w:vAlign w:val="center"/>
            <w:hideMark/>
          </w:tcPr>
          <w:p w14:paraId="7DFC5ECE" w14:textId="77777777" w:rsidR="002A39A3" w:rsidRPr="002A39A3" w:rsidRDefault="002A39A3">
            <w:pPr>
              <w:suppressAutoHyphens/>
              <w:autoSpaceDN w:val="0"/>
              <w:jc w:val="center"/>
              <w:textAlignment w:val="baseline"/>
              <w:rPr>
                <w:rFonts w:ascii="Arial" w:eastAsia="Calibri" w:hAnsi="Arial" w:cs="Arial"/>
                <w:b/>
                <w:bCs/>
                <w:color w:val="000000"/>
                <w:sz w:val="20"/>
                <w:szCs w:val="20"/>
                <w:lang w:val="es-ES"/>
              </w:rPr>
            </w:pPr>
            <w:r w:rsidRPr="002A39A3">
              <w:rPr>
                <w:rFonts w:ascii="Arial" w:hAnsi="Arial" w:cs="Arial"/>
                <w:b/>
                <w:bCs/>
                <w:sz w:val="20"/>
                <w:szCs w:val="20"/>
                <w:lang w:val="es-ES"/>
              </w:rPr>
              <w:t>NIVEL</w:t>
            </w:r>
          </w:p>
        </w:tc>
        <w:tc>
          <w:tcPr>
            <w:tcW w:w="1820" w:type="dxa"/>
            <w:tcBorders>
              <w:top w:val="single" w:sz="8" w:space="0" w:color="auto"/>
              <w:left w:val="nil"/>
              <w:bottom w:val="single" w:sz="8" w:space="0" w:color="auto"/>
              <w:right w:val="single" w:sz="4" w:space="0" w:color="auto"/>
            </w:tcBorders>
            <w:shd w:val="clear" w:color="auto" w:fill="4F81BD" w:themeFill="accent1"/>
            <w:vAlign w:val="center"/>
            <w:hideMark/>
          </w:tcPr>
          <w:p w14:paraId="55CDFE72" w14:textId="77777777" w:rsidR="002A39A3" w:rsidRPr="002A39A3" w:rsidRDefault="002A39A3">
            <w:pPr>
              <w:suppressAutoHyphens/>
              <w:autoSpaceDN w:val="0"/>
              <w:jc w:val="center"/>
              <w:textAlignment w:val="baseline"/>
              <w:rPr>
                <w:rFonts w:ascii="Arial" w:eastAsia="Calibri" w:hAnsi="Arial" w:cs="Arial"/>
                <w:b/>
                <w:bCs/>
                <w:color w:val="000000"/>
                <w:sz w:val="20"/>
                <w:szCs w:val="20"/>
                <w:lang w:val="es-ES"/>
              </w:rPr>
            </w:pPr>
            <w:r w:rsidRPr="002A39A3">
              <w:rPr>
                <w:rFonts w:ascii="Arial" w:hAnsi="Arial" w:cs="Arial"/>
                <w:b/>
                <w:bCs/>
                <w:sz w:val="20"/>
                <w:szCs w:val="20"/>
                <w:lang w:val="es-ES"/>
              </w:rPr>
              <w:t>No DE CARGOS APROBADOS</w:t>
            </w:r>
          </w:p>
        </w:tc>
        <w:tc>
          <w:tcPr>
            <w:tcW w:w="2770" w:type="dxa"/>
            <w:tcBorders>
              <w:top w:val="single" w:sz="8" w:space="0" w:color="auto"/>
              <w:left w:val="nil"/>
              <w:bottom w:val="single" w:sz="8" w:space="0" w:color="auto"/>
              <w:right w:val="single" w:sz="8" w:space="0" w:color="auto"/>
            </w:tcBorders>
            <w:shd w:val="clear" w:color="auto" w:fill="4F81BD" w:themeFill="accent1"/>
            <w:hideMark/>
          </w:tcPr>
          <w:p w14:paraId="5AA72DC2" w14:textId="77777777" w:rsidR="002A39A3" w:rsidRPr="002A39A3" w:rsidRDefault="002A39A3">
            <w:pPr>
              <w:suppressAutoHyphens/>
              <w:autoSpaceDN w:val="0"/>
              <w:jc w:val="center"/>
              <w:textAlignment w:val="baseline"/>
              <w:rPr>
                <w:rFonts w:ascii="Arial" w:hAnsi="Arial" w:cs="Arial"/>
                <w:b/>
                <w:bCs/>
                <w:color w:val="000000"/>
                <w:sz w:val="20"/>
                <w:szCs w:val="20"/>
                <w:lang w:val="es-ES"/>
              </w:rPr>
            </w:pPr>
            <w:r w:rsidRPr="002A39A3">
              <w:rPr>
                <w:rFonts w:ascii="Arial" w:hAnsi="Arial" w:cs="Arial"/>
                <w:b/>
                <w:bCs/>
                <w:sz w:val="20"/>
                <w:szCs w:val="20"/>
                <w:lang w:val="es-ES"/>
              </w:rPr>
              <w:t>No CARGOS OCUPADOS A 30 DE JUNIO 2018</w:t>
            </w:r>
          </w:p>
        </w:tc>
      </w:tr>
      <w:tr w:rsidR="002A39A3" w:rsidRPr="002A39A3" w14:paraId="007FDB8A" w14:textId="77777777" w:rsidTr="002A39A3">
        <w:trPr>
          <w:trHeight w:val="230"/>
          <w:jc w:val="center"/>
        </w:trPr>
        <w:tc>
          <w:tcPr>
            <w:tcW w:w="2849" w:type="dxa"/>
            <w:tcBorders>
              <w:top w:val="nil"/>
              <w:left w:val="single" w:sz="8" w:space="0" w:color="auto"/>
              <w:bottom w:val="single" w:sz="4" w:space="0" w:color="auto"/>
              <w:right w:val="single" w:sz="4" w:space="0" w:color="auto"/>
            </w:tcBorders>
            <w:noWrap/>
            <w:vAlign w:val="center"/>
            <w:hideMark/>
          </w:tcPr>
          <w:p w14:paraId="626BFCD7" w14:textId="77777777" w:rsidR="002A39A3" w:rsidRPr="002A39A3" w:rsidRDefault="002A39A3">
            <w:pPr>
              <w:suppressAutoHyphens/>
              <w:autoSpaceDN w:val="0"/>
              <w:textAlignment w:val="baseline"/>
              <w:rPr>
                <w:rFonts w:ascii="Arial" w:eastAsia="Calibri" w:hAnsi="Arial" w:cs="Arial"/>
                <w:color w:val="000000"/>
                <w:sz w:val="20"/>
                <w:szCs w:val="20"/>
                <w:lang w:val="es-ES"/>
              </w:rPr>
            </w:pPr>
            <w:r w:rsidRPr="002A39A3">
              <w:rPr>
                <w:rFonts w:ascii="Arial" w:hAnsi="Arial" w:cs="Arial"/>
                <w:sz w:val="20"/>
                <w:szCs w:val="20"/>
                <w:lang w:val="es-ES"/>
              </w:rPr>
              <w:t>DIRECTIVOS</w:t>
            </w:r>
          </w:p>
        </w:tc>
        <w:tc>
          <w:tcPr>
            <w:tcW w:w="1820" w:type="dxa"/>
            <w:tcBorders>
              <w:top w:val="nil"/>
              <w:left w:val="nil"/>
              <w:bottom w:val="single" w:sz="4" w:space="0" w:color="auto"/>
              <w:right w:val="single" w:sz="4" w:space="0" w:color="auto"/>
            </w:tcBorders>
            <w:noWrap/>
            <w:vAlign w:val="center"/>
            <w:hideMark/>
          </w:tcPr>
          <w:p w14:paraId="63CFB997" w14:textId="77777777" w:rsidR="002A39A3" w:rsidRPr="002A39A3" w:rsidRDefault="002A39A3">
            <w:pPr>
              <w:suppressAutoHyphens/>
              <w:autoSpaceDN w:val="0"/>
              <w:jc w:val="center"/>
              <w:textAlignment w:val="baseline"/>
              <w:rPr>
                <w:rFonts w:ascii="Arial" w:eastAsia="Calibri" w:hAnsi="Arial" w:cs="Arial"/>
                <w:color w:val="000000"/>
                <w:sz w:val="20"/>
                <w:szCs w:val="20"/>
                <w:lang w:val="es-ES"/>
              </w:rPr>
            </w:pPr>
            <w:r w:rsidRPr="002A39A3">
              <w:rPr>
                <w:rFonts w:ascii="Arial" w:hAnsi="Arial" w:cs="Arial"/>
                <w:sz w:val="20"/>
                <w:szCs w:val="20"/>
                <w:lang w:val="es-ES"/>
              </w:rPr>
              <w:t>6</w:t>
            </w:r>
          </w:p>
        </w:tc>
        <w:tc>
          <w:tcPr>
            <w:tcW w:w="2770" w:type="dxa"/>
            <w:tcBorders>
              <w:top w:val="nil"/>
              <w:left w:val="nil"/>
              <w:bottom w:val="single" w:sz="4" w:space="0" w:color="auto"/>
              <w:right w:val="single" w:sz="8" w:space="0" w:color="auto"/>
            </w:tcBorders>
            <w:noWrap/>
            <w:vAlign w:val="center"/>
            <w:hideMark/>
          </w:tcPr>
          <w:p w14:paraId="330FCEDE" w14:textId="77777777" w:rsidR="002A39A3" w:rsidRPr="002A39A3" w:rsidRDefault="002A39A3">
            <w:pPr>
              <w:jc w:val="center"/>
              <w:rPr>
                <w:rFonts w:ascii="Arial" w:hAnsi="Arial" w:cs="Arial"/>
                <w:b/>
                <w:bCs/>
                <w:color w:val="000000"/>
                <w:sz w:val="20"/>
                <w:szCs w:val="20"/>
              </w:rPr>
            </w:pPr>
            <w:r w:rsidRPr="002A39A3">
              <w:rPr>
                <w:rFonts w:ascii="Arial" w:hAnsi="Arial" w:cs="Arial"/>
                <w:b/>
                <w:bCs/>
                <w:sz w:val="20"/>
                <w:szCs w:val="20"/>
              </w:rPr>
              <w:t>4</w:t>
            </w:r>
          </w:p>
        </w:tc>
      </w:tr>
      <w:tr w:rsidR="002A39A3" w:rsidRPr="002A39A3" w14:paraId="6CC8DA15" w14:textId="77777777" w:rsidTr="002A39A3">
        <w:trPr>
          <w:trHeight w:val="184"/>
          <w:jc w:val="center"/>
        </w:trPr>
        <w:tc>
          <w:tcPr>
            <w:tcW w:w="2849" w:type="dxa"/>
            <w:tcBorders>
              <w:top w:val="nil"/>
              <w:left w:val="single" w:sz="8" w:space="0" w:color="auto"/>
              <w:bottom w:val="single" w:sz="4" w:space="0" w:color="auto"/>
              <w:right w:val="single" w:sz="4" w:space="0" w:color="auto"/>
            </w:tcBorders>
            <w:noWrap/>
            <w:vAlign w:val="center"/>
            <w:hideMark/>
          </w:tcPr>
          <w:p w14:paraId="4415FC26" w14:textId="77777777" w:rsidR="002A39A3" w:rsidRPr="002A39A3" w:rsidRDefault="002A39A3">
            <w:pPr>
              <w:suppressAutoHyphens/>
              <w:autoSpaceDN w:val="0"/>
              <w:textAlignment w:val="baseline"/>
              <w:rPr>
                <w:rFonts w:ascii="Arial" w:eastAsia="Calibri" w:hAnsi="Arial" w:cs="Arial"/>
                <w:color w:val="000000"/>
                <w:sz w:val="20"/>
                <w:szCs w:val="20"/>
                <w:lang w:val="es-ES"/>
              </w:rPr>
            </w:pPr>
            <w:r w:rsidRPr="002A39A3">
              <w:rPr>
                <w:rFonts w:ascii="Arial" w:hAnsi="Arial" w:cs="Arial"/>
                <w:sz w:val="20"/>
                <w:szCs w:val="20"/>
                <w:lang w:val="es-ES"/>
              </w:rPr>
              <w:t>ASESOR</w:t>
            </w:r>
          </w:p>
        </w:tc>
        <w:tc>
          <w:tcPr>
            <w:tcW w:w="1820" w:type="dxa"/>
            <w:tcBorders>
              <w:top w:val="nil"/>
              <w:left w:val="nil"/>
              <w:bottom w:val="single" w:sz="4" w:space="0" w:color="auto"/>
              <w:right w:val="single" w:sz="4" w:space="0" w:color="auto"/>
            </w:tcBorders>
            <w:noWrap/>
            <w:vAlign w:val="center"/>
            <w:hideMark/>
          </w:tcPr>
          <w:p w14:paraId="1A770E6E" w14:textId="77777777" w:rsidR="002A39A3" w:rsidRPr="002A39A3" w:rsidRDefault="002A39A3">
            <w:pPr>
              <w:suppressAutoHyphens/>
              <w:autoSpaceDN w:val="0"/>
              <w:jc w:val="center"/>
              <w:textAlignment w:val="baseline"/>
              <w:rPr>
                <w:rFonts w:ascii="Arial" w:eastAsia="Calibri" w:hAnsi="Arial" w:cs="Arial"/>
                <w:color w:val="000000"/>
                <w:sz w:val="20"/>
                <w:szCs w:val="20"/>
                <w:lang w:val="es-ES"/>
              </w:rPr>
            </w:pPr>
            <w:r w:rsidRPr="002A39A3">
              <w:rPr>
                <w:rFonts w:ascii="Arial" w:hAnsi="Arial" w:cs="Arial"/>
                <w:sz w:val="20"/>
                <w:szCs w:val="20"/>
                <w:lang w:val="es-ES"/>
              </w:rPr>
              <w:t>75</w:t>
            </w:r>
          </w:p>
        </w:tc>
        <w:tc>
          <w:tcPr>
            <w:tcW w:w="2770" w:type="dxa"/>
            <w:tcBorders>
              <w:top w:val="nil"/>
              <w:left w:val="nil"/>
              <w:bottom w:val="single" w:sz="4" w:space="0" w:color="auto"/>
              <w:right w:val="single" w:sz="8" w:space="0" w:color="auto"/>
            </w:tcBorders>
            <w:noWrap/>
            <w:vAlign w:val="center"/>
            <w:hideMark/>
          </w:tcPr>
          <w:p w14:paraId="647161FC" w14:textId="77777777" w:rsidR="002A39A3" w:rsidRPr="002A39A3" w:rsidRDefault="002A39A3">
            <w:pPr>
              <w:jc w:val="center"/>
              <w:rPr>
                <w:rFonts w:ascii="Arial" w:hAnsi="Arial" w:cs="Arial"/>
                <w:b/>
                <w:bCs/>
                <w:color w:val="000000"/>
                <w:sz w:val="20"/>
                <w:szCs w:val="20"/>
              </w:rPr>
            </w:pPr>
            <w:r w:rsidRPr="002A39A3">
              <w:rPr>
                <w:rFonts w:ascii="Arial" w:hAnsi="Arial" w:cs="Arial"/>
                <w:b/>
                <w:bCs/>
                <w:sz w:val="20"/>
                <w:szCs w:val="20"/>
              </w:rPr>
              <w:t>64</w:t>
            </w:r>
          </w:p>
        </w:tc>
      </w:tr>
      <w:tr w:rsidR="002A39A3" w:rsidRPr="002A39A3" w14:paraId="6B8BF0EA" w14:textId="77777777" w:rsidTr="002A39A3">
        <w:trPr>
          <w:trHeight w:val="184"/>
          <w:jc w:val="center"/>
        </w:trPr>
        <w:tc>
          <w:tcPr>
            <w:tcW w:w="2849" w:type="dxa"/>
            <w:tcBorders>
              <w:top w:val="nil"/>
              <w:left w:val="single" w:sz="8" w:space="0" w:color="auto"/>
              <w:bottom w:val="single" w:sz="4" w:space="0" w:color="auto"/>
              <w:right w:val="single" w:sz="4" w:space="0" w:color="auto"/>
            </w:tcBorders>
            <w:noWrap/>
            <w:vAlign w:val="center"/>
            <w:hideMark/>
          </w:tcPr>
          <w:p w14:paraId="70635A27" w14:textId="77777777" w:rsidR="002A39A3" w:rsidRPr="002A39A3" w:rsidRDefault="002A39A3">
            <w:pPr>
              <w:suppressAutoHyphens/>
              <w:autoSpaceDN w:val="0"/>
              <w:textAlignment w:val="baseline"/>
              <w:rPr>
                <w:rFonts w:ascii="Arial" w:eastAsia="Calibri" w:hAnsi="Arial" w:cs="Arial"/>
                <w:color w:val="000000"/>
                <w:sz w:val="20"/>
                <w:szCs w:val="20"/>
                <w:lang w:val="es-ES"/>
              </w:rPr>
            </w:pPr>
            <w:r w:rsidRPr="002A39A3">
              <w:rPr>
                <w:rFonts w:ascii="Arial" w:hAnsi="Arial" w:cs="Arial"/>
                <w:sz w:val="20"/>
                <w:szCs w:val="20"/>
                <w:lang w:val="es-ES"/>
              </w:rPr>
              <w:t>PROFESIONAL</w:t>
            </w:r>
          </w:p>
        </w:tc>
        <w:tc>
          <w:tcPr>
            <w:tcW w:w="1820" w:type="dxa"/>
            <w:tcBorders>
              <w:top w:val="nil"/>
              <w:left w:val="nil"/>
              <w:bottom w:val="single" w:sz="4" w:space="0" w:color="auto"/>
              <w:right w:val="single" w:sz="4" w:space="0" w:color="auto"/>
            </w:tcBorders>
            <w:noWrap/>
            <w:vAlign w:val="center"/>
            <w:hideMark/>
          </w:tcPr>
          <w:p w14:paraId="2E86740B" w14:textId="77777777" w:rsidR="002A39A3" w:rsidRPr="002A39A3" w:rsidRDefault="002A39A3">
            <w:pPr>
              <w:suppressAutoHyphens/>
              <w:autoSpaceDN w:val="0"/>
              <w:jc w:val="center"/>
              <w:textAlignment w:val="baseline"/>
              <w:rPr>
                <w:rFonts w:ascii="Arial" w:eastAsia="Calibri" w:hAnsi="Arial" w:cs="Arial"/>
                <w:color w:val="000000"/>
                <w:sz w:val="20"/>
                <w:szCs w:val="20"/>
                <w:lang w:val="es-ES"/>
              </w:rPr>
            </w:pPr>
            <w:r w:rsidRPr="002A39A3">
              <w:rPr>
                <w:rFonts w:ascii="Arial" w:hAnsi="Arial" w:cs="Arial"/>
                <w:sz w:val="20"/>
                <w:szCs w:val="20"/>
                <w:lang w:val="es-ES"/>
              </w:rPr>
              <w:t>42</w:t>
            </w:r>
          </w:p>
        </w:tc>
        <w:tc>
          <w:tcPr>
            <w:tcW w:w="2770" w:type="dxa"/>
            <w:tcBorders>
              <w:top w:val="nil"/>
              <w:left w:val="nil"/>
              <w:bottom w:val="single" w:sz="4" w:space="0" w:color="auto"/>
              <w:right w:val="single" w:sz="8" w:space="0" w:color="auto"/>
            </w:tcBorders>
            <w:noWrap/>
            <w:vAlign w:val="center"/>
            <w:hideMark/>
          </w:tcPr>
          <w:p w14:paraId="771E96CB" w14:textId="77777777" w:rsidR="002A39A3" w:rsidRPr="002A39A3" w:rsidRDefault="002A39A3">
            <w:pPr>
              <w:jc w:val="center"/>
              <w:rPr>
                <w:rFonts w:ascii="Arial" w:hAnsi="Arial" w:cs="Arial"/>
                <w:b/>
                <w:bCs/>
                <w:color w:val="000000"/>
                <w:sz w:val="20"/>
                <w:szCs w:val="20"/>
              </w:rPr>
            </w:pPr>
            <w:r w:rsidRPr="002A39A3">
              <w:rPr>
                <w:rFonts w:ascii="Arial" w:hAnsi="Arial" w:cs="Arial"/>
                <w:b/>
                <w:bCs/>
                <w:sz w:val="20"/>
                <w:szCs w:val="20"/>
              </w:rPr>
              <w:t>40</w:t>
            </w:r>
          </w:p>
        </w:tc>
      </w:tr>
      <w:tr w:rsidR="002A39A3" w:rsidRPr="002A39A3" w14:paraId="0F469A3E" w14:textId="77777777" w:rsidTr="002A39A3">
        <w:trPr>
          <w:trHeight w:val="195"/>
          <w:jc w:val="center"/>
        </w:trPr>
        <w:tc>
          <w:tcPr>
            <w:tcW w:w="2849" w:type="dxa"/>
            <w:tcBorders>
              <w:top w:val="nil"/>
              <w:left w:val="single" w:sz="8" w:space="0" w:color="auto"/>
              <w:bottom w:val="nil"/>
              <w:right w:val="single" w:sz="4" w:space="0" w:color="auto"/>
            </w:tcBorders>
            <w:noWrap/>
            <w:vAlign w:val="center"/>
            <w:hideMark/>
          </w:tcPr>
          <w:p w14:paraId="72A634EB" w14:textId="77777777" w:rsidR="002A39A3" w:rsidRPr="002A39A3" w:rsidRDefault="002A39A3">
            <w:pPr>
              <w:suppressAutoHyphens/>
              <w:autoSpaceDN w:val="0"/>
              <w:textAlignment w:val="baseline"/>
              <w:rPr>
                <w:rFonts w:ascii="Arial" w:eastAsia="Calibri" w:hAnsi="Arial" w:cs="Arial"/>
                <w:color w:val="000000"/>
                <w:sz w:val="20"/>
                <w:szCs w:val="20"/>
                <w:lang w:val="es-ES"/>
              </w:rPr>
            </w:pPr>
            <w:r w:rsidRPr="002A39A3">
              <w:rPr>
                <w:rFonts w:ascii="Arial" w:hAnsi="Arial" w:cs="Arial"/>
                <w:sz w:val="20"/>
                <w:szCs w:val="20"/>
                <w:lang w:val="es-ES"/>
              </w:rPr>
              <w:t>TECNICO</w:t>
            </w:r>
          </w:p>
        </w:tc>
        <w:tc>
          <w:tcPr>
            <w:tcW w:w="1820" w:type="dxa"/>
            <w:tcBorders>
              <w:top w:val="nil"/>
              <w:left w:val="nil"/>
              <w:bottom w:val="nil"/>
              <w:right w:val="single" w:sz="4" w:space="0" w:color="auto"/>
            </w:tcBorders>
            <w:noWrap/>
            <w:vAlign w:val="center"/>
            <w:hideMark/>
          </w:tcPr>
          <w:p w14:paraId="6D491B92" w14:textId="77777777" w:rsidR="002A39A3" w:rsidRPr="002A39A3" w:rsidRDefault="002A39A3">
            <w:pPr>
              <w:suppressAutoHyphens/>
              <w:autoSpaceDN w:val="0"/>
              <w:jc w:val="center"/>
              <w:textAlignment w:val="baseline"/>
              <w:rPr>
                <w:rFonts w:ascii="Arial" w:eastAsia="Calibri" w:hAnsi="Arial" w:cs="Arial"/>
                <w:color w:val="000000"/>
                <w:sz w:val="20"/>
                <w:szCs w:val="20"/>
                <w:lang w:val="es-ES"/>
              </w:rPr>
            </w:pPr>
            <w:r w:rsidRPr="002A39A3">
              <w:rPr>
                <w:rFonts w:ascii="Arial" w:hAnsi="Arial" w:cs="Arial"/>
                <w:sz w:val="20"/>
                <w:szCs w:val="20"/>
                <w:lang w:val="es-ES"/>
              </w:rPr>
              <w:t>24</w:t>
            </w:r>
          </w:p>
        </w:tc>
        <w:tc>
          <w:tcPr>
            <w:tcW w:w="2770" w:type="dxa"/>
            <w:tcBorders>
              <w:top w:val="nil"/>
              <w:left w:val="nil"/>
              <w:bottom w:val="nil"/>
              <w:right w:val="single" w:sz="8" w:space="0" w:color="auto"/>
            </w:tcBorders>
            <w:noWrap/>
            <w:vAlign w:val="center"/>
            <w:hideMark/>
          </w:tcPr>
          <w:p w14:paraId="28B3A827" w14:textId="77777777" w:rsidR="002A39A3" w:rsidRPr="002A39A3" w:rsidRDefault="002A39A3">
            <w:pPr>
              <w:jc w:val="center"/>
              <w:rPr>
                <w:rFonts w:ascii="Arial" w:hAnsi="Arial" w:cs="Arial"/>
                <w:b/>
                <w:bCs/>
                <w:color w:val="000000"/>
                <w:sz w:val="20"/>
                <w:szCs w:val="20"/>
              </w:rPr>
            </w:pPr>
            <w:r w:rsidRPr="002A39A3">
              <w:rPr>
                <w:rFonts w:ascii="Arial" w:hAnsi="Arial" w:cs="Arial"/>
                <w:b/>
                <w:bCs/>
                <w:sz w:val="20"/>
                <w:szCs w:val="20"/>
              </w:rPr>
              <w:t>24</w:t>
            </w:r>
          </w:p>
        </w:tc>
      </w:tr>
      <w:tr w:rsidR="002A39A3" w:rsidRPr="002A39A3" w14:paraId="04C443E1" w14:textId="77777777" w:rsidTr="002A39A3">
        <w:trPr>
          <w:trHeight w:val="195"/>
          <w:jc w:val="center"/>
        </w:trPr>
        <w:tc>
          <w:tcPr>
            <w:tcW w:w="2849" w:type="dxa"/>
            <w:tcBorders>
              <w:top w:val="single" w:sz="8" w:space="0" w:color="auto"/>
              <w:left w:val="single" w:sz="8" w:space="0" w:color="auto"/>
              <w:bottom w:val="single" w:sz="8" w:space="0" w:color="auto"/>
              <w:right w:val="single" w:sz="4" w:space="0" w:color="auto"/>
            </w:tcBorders>
            <w:shd w:val="clear" w:color="auto" w:fill="4F81BD" w:themeFill="accent1"/>
            <w:noWrap/>
            <w:vAlign w:val="center"/>
            <w:hideMark/>
          </w:tcPr>
          <w:p w14:paraId="2297E73C" w14:textId="77777777" w:rsidR="002A39A3" w:rsidRPr="002A39A3" w:rsidRDefault="002A39A3">
            <w:pPr>
              <w:suppressAutoHyphens/>
              <w:autoSpaceDN w:val="0"/>
              <w:textAlignment w:val="baseline"/>
              <w:rPr>
                <w:rFonts w:ascii="Arial" w:eastAsia="Calibri" w:hAnsi="Arial" w:cs="Arial"/>
                <w:b/>
                <w:bCs/>
                <w:color w:val="000000"/>
                <w:sz w:val="20"/>
                <w:szCs w:val="20"/>
                <w:lang w:val="es-ES"/>
              </w:rPr>
            </w:pPr>
            <w:r w:rsidRPr="002A39A3">
              <w:rPr>
                <w:rFonts w:ascii="Arial" w:hAnsi="Arial" w:cs="Arial"/>
                <w:b/>
                <w:bCs/>
                <w:sz w:val="20"/>
                <w:szCs w:val="20"/>
                <w:lang w:val="es-ES"/>
              </w:rPr>
              <w:t>TOTAL</w:t>
            </w:r>
          </w:p>
        </w:tc>
        <w:tc>
          <w:tcPr>
            <w:tcW w:w="1820" w:type="dxa"/>
            <w:tcBorders>
              <w:top w:val="single" w:sz="8" w:space="0" w:color="auto"/>
              <w:left w:val="nil"/>
              <w:bottom w:val="single" w:sz="8" w:space="0" w:color="auto"/>
              <w:right w:val="single" w:sz="4" w:space="0" w:color="auto"/>
            </w:tcBorders>
            <w:shd w:val="clear" w:color="auto" w:fill="4F81BD" w:themeFill="accent1"/>
            <w:noWrap/>
            <w:vAlign w:val="center"/>
            <w:hideMark/>
          </w:tcPr>
          <w:p w14:paraId="388EB0CE" w14:textId="77777777" w:rsidR="002A39A3" w:rsidRPr="002A39A3" w:rsidRDefault="002A39A3">
            <w:pPr>
              <w:suppressAutoHyphens/>
              <w:autoSpaceDN w:val="0"/>
              <w:jc w:val="center"/>
              <w:textAlignment w:val="baseline"/>
              <w:rPr>
                <w:rFonts w:ascii="Arial" w:eastAsia="Calibri" w:hAnsi="Arial" w:cs="Arial"/>
                <w:b/>
                <w:bCs/>
                <w:color w:val="000000"/>
                <w:sz w:val="20"/>
                <w:szCs w:val="20"/>
                <w:lang w:val="es-ES"/>
              </w:rPr>
            </w:pPr>
            <w:r w:rsidRPr="002A39A3">
              <w:rPr>
                <w:rFonts w:ascii="Arial" w:hAnsi="Arial" w:cs="Arial"/>
                <w:b/>
                <w:bCs/>
                <w:sz w:val="20"/>
                <w:szCs w:val="20"/>
                <w:lang w:val="es-ES"/>
              </w:rPr>
              <w:t>147</w:t>
            </w:r>
          </w:p>
        </w:tc>
        <w:tc>
          <w:tcPr>
            <w:tcW w:w="2770"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552197AA" w14:textId="77777777" w:rsidR="002A39A3" w:rsidRPr="002A39A3" w:rsidRDefault="002A39A3">
            <w:pPr>
              <w:jc w:val="center"/>
              <w:rPr>
                <w:rFonts w:ascii="Arial" w:hAnsi="Arial" w:cs="Arial"/>
                <w:b/>
                <w:bCs/>
                <w:color w:val="000000"/>
                <w:sz w:val="20"/>
                <w:szCs w:val="20"/>
              </w:rPr>
            </w:pPr>
            <w:r w:rsidRPr="002A39A3">
              <w:rPr>
                <w:rFonts w:ascii="Arial" w:hAnsi="Arial" w:cs="Arial"/>
                <w:b/>
                <w:bCs/>
                <w:sz w:val="20"/>
                <w:szCs w:val="20"/>
              </w:rPr>
              <w:t>132</w:t>
            </w:r>
          </w:p>
        </w:tc>
      </w:tr>
    </w:tbl>
    <w:p w14:paraId="34357AC0" w14:textId="77777777" w:rsidR="00C02282" w:rsidRPr="002A39A3" w:rsidRDefault="00C02282" w:rsidP="00C02282">
      <w:pPr>
        <w:spacing w:after="0" w:line="240" w:lineRule="auto"/>
        <w:jc w:val="center"/>
        <w:rPr>
          <w:rFonts w:ascii="Arial" w:eastAsia="Calibri" w:hAnsi="Arial" w:cs="Arial"/>
          <w:sz w:val="16"/>
          <w:szCs w:val="16"/>
        </w:rPr>
      </w:pPr>
      <w:r w:rsidRPr="002A39A3">
        <w:rPr>
          <w:rFonts w:ascii="Arial" w:hAnsi="Arial" w:cs="Arial"/>
          <w:sz w:val="16"/>
          <w:szCs w:val="16"/>
          <w:lang w:eastAsia="es-ES"/>
        </w:rPr>
        <w:t>Millones de pesos</w:t>
      </w:r>
    </w:p>
    <w:p w14:paraId="02B2E3A8" w14:textId="77777777" w:rsidR="00C02282" w:rsidRPr="002A39A3" w:rsidRDefault="00C02282" w:rsidP="00C02282">
      <w:pPr>
        <w:jc w:val="center"/>
        <w:rPr>
          <w:rFonts w:ascii="Arial" w:hAnsi="Arial" w:cs="Arial"/>
          <w:bCs/>
          <w:color w:val="262626"/>
        </w:rPr>
      </w:pPr>
      <w:r w:rsidRPr="002A39A3">
        <w:rPr>
          <w:rFonts w:ascii="Arial" w:hAnsi="Arial" w:cs="Arial"/>
          <w:bCs/>
          <w:sz w:val="16"/>
          <w:szCs w:val="16"/>
          <w:lang w:val="es-ES" w:eastAsia="es-ES"/>
        </w:rPr>
        <w:t>Fuente ANH</w:t>
      </w:r>
    </w:p>
    <w:p w14:paraId="222D5930" w14:textId="02C62DC9" w:rsidR="001C75A2" w:rsidRDefault="00C02282" w:rsidP="002A39A3">
      <w:pPr>
        <w:pStyle w:val="Descripcin"/>
        <w:keepNext/>
        <w:jc w:val="center"/>
      </w:pPr>
      <w:bookmarkStart w:id="122" w:name="_Toc525652427"/>
      <w:r w:rsidRPr="002A39A3">
        <w:t xml:space="preserve">Gráfica </w:t>
      </w:r>
      <w:r w:rsidR="00B6251B">
        <w:fldChar w:fldCharType="begin"/>
      </w:r>
      <w:r w:rsidR="00B6251B">
        <w:instrText xml:space="preserve"> SEQ Gráfica \* ARABIC </w:instrText>
      </w:r>
      <w:r w:rsidR="00B6251B">
        <w:fldChar w:fldCharType="separate"/>
      </w:r>
      <w:r w:rsidR="00B6251B">
        <w:rPr>
          <w:noProof/>
        </w:rPr>
        <w:t>14</w:t>
      </w:r>
      <w:r w:rsidR="00B6251B">
        <w:fldChar w:fldCharType="end"/>
      </w:r>
      <w:r w:rsidRPr="002A39A3">
        <w:t>Numero de Cargos a 3</w:t>
      </w:r>
      <w:r w:rsidR="002A39A3" w:rsidRPr="002A39A3">
        <w:t xml:space="preserve">0 de junio </w:t>
      </w:r>
      <w:r w:rsidRPr="002A39A3">
        <w:t xml:space="preserve"> de 2018 ANH</w:t>
      </w:r>
      <w:bookmarkEnd w:id="122"/>
    </w:p>
    <w:p w14:paraId="2430C7C6" w14:textId="7B1DA7E6" w:rsidR="00C02282" w:rsidRPr="002A39A3" w:rsidRDefault="001C75A2" w:rsidP="002A39A3">
      <w:pPr>
        <w:pStyle w:val="Descripcin"/>
        <w:keepNext/>
        <w:jc w:val="center"/>
        <w:rPr>
          <w:rFonts w:ascii="Arial" w:hAnsi="Arial" w:cs="Arial"/>
          <w:noProof/>
          <w:color w:val="FF0000"/>
        </w:rPr>
      </w:pPr>
      <w:r w:rsidRPr="002A39A3">
        <w:rPr>
          <w:noProof/>
          <w:lang w:val="es-CO" w:eastAsia="es-CO"/>
        </w:rPr>
        <w:drawing>
          <wp:inline distT="0" distB="0" distL="0" distR="0" wp14:anchorId="3BBF2F32" wp14:editId="76EBE79A">
            <wp:extent cx="4325169" cy="2479539"/>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5409" cy="2485409"/>
                    </a:xfrm>
                    <a:prstGeom prst="rect">
                      <a:avLst/>
                    </a:prstGeom>
                    <a:noFill/>
                    <a:ln>
                      <a:noFill/>
                    </a:ln>
                  </pic:spPr>
                </pic:pic>
              </a:graphicData>
            </a:graphic>
          </wp:inline>
        </w:drawing>
      </w:r>
    </w:p>
    <w:p w14:paraId="7E6CBCD6" w14:textId="77777777" w:rsidR="00C02282" w:rsidRPr="002A39A3" w:rsidRDefault="00C02282" w:rsidP="002A39A3">
      <w:pPr>
        <w:widowControl w:val="0"/>
        <w:spacing w:after="0"/>
        <w:jc w:val="center"/>
        <w:rPr>
          <w:rFonts w:ascii="Arial" w:hAnsi="Arial" w:cs="Arial"/>
          <w:bCs/>
          <w:color w:val="262626"/>
          <w:sz w:val="16"/>
          <w:szCs w:val="16"/>
        </w:rPr>
      </w:pPr>
      <w:r w:rsidRPr="002A39A3">
        <w:rPr>
          <w:rFonts w:ascii="Arial" w:hAnsi="Arial" w:cs="Arial"/>
          <w:bCs/>
          <w:color w:val="262626"/>
          <w:sz w:val="16"/>
          <w:szCs w:val="16"/>
        </w:rPr>
        <w:t>Fuente: Elaboración propia de la ANH</w:t>
      </w:r>
    </w:p>
    <w:p w14:paraId="2C9549A4" w14:textId="77777777" w:rsidR="00C02282" w:rsidRPr="006A67B4" w:rsidRDefault="00C02282" w:rsidP="00C02282">
      <w:pPr>
        <w:widowControl w:val="0"/>
        <w:spacing w:after="0"/>
        <w:ind w:left="708" w:firstLine="708"/>
        <w:jc w:val="center"/>
        <w:rPr>
          <w:rFonts w:ascii="Arial" w:hAnsi="Arial" w:cs="Arial"/>
          <w:bCs/>
          <w:color w:val="262626"/>
          <w:sz w:val="16"/>
          <w:szCs w:val="16"/>
          <w:highlight w:val="yellow"/>
        </w:rPr>
      </w:pPr>
    </w:p>
    <w:p w14:paraId="32AE9288" w14:textId="77777777" w:rsidR="002A39A3" w:rsidRDefault="002A39A3" w:rsidP="002A39A3">
      <w:pPr>
        <w:jc w:val="both"/>
        <w:rPr>
          <w:rFonts w:ascii="Arial" w:hAnsi="Arial" w:cs="Arial"/>
          <w:lang w:val="es-ES" w:eastAsia="es-ES"/>
        </w:rPr>
      </w:pPr>
      <w:r>
        <w:rPr>
          <w:rFonts w:ascii="Arial" w:hAnsi="Arial" w:cs="Arial"/>
          <w:bCs/>
          <w:lang w:val="es-ES" w:eastAsia="es-ES"/>
        </w:rPr>
        <w:t>Al cierre del segundo trimestre de 2018, los gastos de personal</w:t>
      </w:r>
      <w:r>
        <w:rPr>
          <w:rFonts w:ascii="Arial" w:hAnsi="Arial" w:cs="Arial"/>
          <w:lang w:val="es-ES" w:eastAsia="es-ES"/>
        </w:rPr>
        <w:t xml:space="preserve"> presentaron una ejecución acumulada en compromisos del 45%, </w:t>
      </w:r>
      <w:r>
        <w:rPr>
          <w:rFonts w:ascii="Arial" w:hAnsi="Arial" w:cs="Arial"/>
          <w:lang w:val="es-MX" w:eastAsia="es-ES"/>
        </w:rPr>
        <w:t xml:space="preserve">obligaciones del 42% y pagos del 42%, sobre la apropiación vigente, </w:t>
      </w:r>
      <w:r>
        <w:rPr>
          <w:rFonts w:ascii="Arial" w:hAnsi="Arial" w:cs="Arial"/>
          <w:lang w:val="es-ES" w:eastAsia="es-ES"/>
        </w:rPr>
        <w:t xml:space="preserve">cómo se detalla a continuación: </w:t>
      </w:r>
    </w:p>
    <w:p w14:paraId="327AE183" w14:textId="351FCD4B" w:rsidR="00C02282" w:rsidRPr="003914D2" w:rsidRDefault="00C02282" w:rsidP="00C02282">
      <w:pPr>
        <w:pStyle w:val="Descripcin"/>
        <w:keepNext/>
        <w:jc w:val="center"/>
      </w:pPr>
      <w:bookmarkStart w:id="123" w:name="_Toc525652496"/>
      <w:r w:rsidRPr="003914D2">
        <w:lastRenderedPageBreak/>
        <w:t xml:space="preserve">Tabla </w:t>
      </w:r>
      <w:r w:rsidRPr="003914D2">
        <w:fldChar w:fldCharType="begin"/>
      </w:r>
      <w:r w:rsidRPr="003914D2">
        <w:instrText xml:space="preserve"> SEQ Tabla \* ARABIC </w:instrText>
      </w:r>
      <w:r w:rsidRPr="003914D2">
        <w:fldChar w:fldCharType="separate"/>
      </w:r>
      <w:r w:rsidR="008B4625">
        <w:rPr>
          <w:noProof/>
        </w:rPr>
        <w:t>51</w:t>
      </w:r>
      <w:r w:rsidRPr="003914D2">
        <w:fldChar w:fldCharType="end"/>
      </w:r>
      <w:r w:rsidRPr="003914D2">
        <w:t>Ejecución Gastos de Pers</w:t>
      </w:r>
      <w:r w:rsidR="002A39A3" w:rsidRPr="003914D2">
        <w:t xml:space="preserve">onal A 30 de junio </w:t>
      </w:r>
      <w:proofErr w:type="spellStart"/>
      <w:r w:rsidRPr="003914D2">
        <w:t>e</w:t>
      </w:r>
      <w:proofErr w:type="spellEnd"/>
      <w:r w:rsidRPr="003914D2">
        <w:t xml:space="preserve"> 2018 ANH</w:t>
      </w:r>
      <w:bookmarkEnd w:id="123"/>
    </w:p>
    <w:tbl>
      <w:tblPr>
        <w:tblW w:w="0" w:type="auto"/>
        <w:tblCellMar>
          <w:left w:w="70" w:type="dxa"/>
          <w:right w:w="70" w:type="dxa"/>
        </w:tblCellMar>
        <w:tblLook w:val="04A0" w:firstRow="1" w:lastRow="0" w:firstColumn="1" w:lastColumn="0" w:noHBand="0" w:noVBand="1"/>
      </w:tblPr>
      <w:tblGrid>
        <w:gridCol w:w="2016"/>
        <w:gridCol w:w="971"/>
        <w:gridCol w:w="1076"/>
        <w:gridCol w:w="971"/>
        <w:gridCol w:w="1259"/>
        <w:gridCol w:w="1050"/>
        <w:gridCol w:w="1050"/>
        <w:gridCol w:w="991"/>
      </w:tblGrid>
      <w:tr w:rsidR="003914D2" w14:paraId="1D0A6AE2" w14:textId="77777777" w:rsidTr="008B5E15">
        <w:trPr>
          <w:trHeight w:val="735"/>
          <w:tblHeader/>
        </w:trPr>
        <w:tc>
          <w:tcPr>
            <w:tcW w:w="0" w:type="auto"/>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6E39F6F9" w14:textId="77777777" w:rsidR="003914D2" w:rsidRDefault="003914D2">
            <w:pPr>
              <w:jc w:val="center"/>
              <w:rPr>
                <w:rFonts w:ascii="Arial" w:hAnsi="Arial" w:cs="Arial"/>
                <w:b/>
                <w:bCs/>
                <w:color w:val="000000"/>
                <w:sz w:val="14"/>
                <w:szCs w:val="14"/>
              </w:rPr>
            </w:pPr>
            <w:r>
              <w:rPr>
                <w:rFonts w:ascii="Arial" w:hAnsi="Arial" w:cs="Arial"/>
                <w:b/>
                <w:bCs/>
                <w:sz w:val="14"/>
                <w:szCs w:val="14"/>
              </w:rPr>
              <w:t>DESCRIPCIÓN</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40C4A093" w14:textId="77777777" w:rsidR="003914D2" w:rsidRDefault="003914D2">
            <w:pPr>
              <w:jc w:val="center"/>
              <w:rPr>
                <w:rFonts w:ascii="Arial" w:hAnsi="Arial" w:cs="Arial"/>
                <w:b/>
                <w:bCs/>
                <w:color w:val="000000"/>
                <w:sz w:val="14"/>
                <w:szCs w:val="14"/>
              </w:rPr>
            </w:pPr>
            <w:r>
              <w:rPr>
                <w:rFonts w:ascii="Arial" w:hAnsi="Arial" w:cs="Arial"/>
                <w:b/>
                <w:bCs/>
                <w:sz w:val="14"/>
                <w:szCs w:val="14"/>
              </w:rPr>
              <w:t>APROPIACION INICIAL</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5250F374" w14:textId="77777777" w:rsidR="003914D2" w:rsidRDefault="003914D2">
            <w:pPr>
              <w:jc w:val="center"/>
              <w:rPr>
                <w:rFonts w:ascii="Arial" w:hAnsi="Arial" w:cs="Arial"/>
                <w:b/>
                <w:bCs/>
                <w:color w:val="000000"/>
                <w:sz w:val="14"/>
                <w:szCs w:val="14"/>
              </w:rPr>
            </w:pPr>
            <w:r>
              <w:rPr>
                <w:rFonts w:ascii="Arial" w:hAnsi="Arial" w:cs="Arial"/>
                <w:b/>
                <w:bCs/>
                <w:sz w:val="14"/>
                <w:szCs w:val="14"/>
              </w:rPr>
              <w:t>APLAZAMIENTO</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069890FF" w14:textId="77777777" w:rsidR="003914D2" w:rsidRDefault="003914D2">
            <w:pPr>
              <w:jc w:val="center"/>
              <w:rPr>
                <w:rFonts w:ascii="Arial" w:hAnsi="Arial" w:cs="Arial"/>
                <w:b/>
                <w:bCs/>
                <w:color w:val="000000"/>
                <w:sz w:val="14"/>
                <w:szCs w:val="14"/>
              </w:rPr>
            </w:pPr>
            <w:r>
              <w:rPr>
                <w:rFonts w:ascii="Arial" w:hAnsi="Arial" w:cs="Arial"/>
                <w:b/>
                <w:bCs/>
                <w:sz w:val="14"/>
                <w:szCs w:val="14"/>
              </w:rPr>
              <w:t>APROPIACIÓN DEFINITIVA</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25FF30AC" w14:textId="77777777" w:rsidR="003914D2" w:rsidRDefault="003914D2">
            <w:pPr>
              <w:jc w:val="center"/>
              <w:rPr>
                <w:rFonts w:ascii="Arial" w:hAnsi="Arial" w:cs="Arial"/>
                <w:b/>
                <w:bCs/>
                <w:color w:val="000000"/>
                <w:sz w:val="14"/>
                <w:szCs w:val="14"/>
              </w:rPr>
            </w:pPr>
            <w:r>
              <w:rPr>
                <w:rFonts w:ascii="Arial" w:hAnsi="Arial" w:cs="Arial"/>
                <w:b/>
                <w:bCs/>
                <w:sz w:val="14"/>
                <w:szCs w:val="14"/>
              </w:rPr>
              <w:t>DISPONIBILIDADES ACUMULADAS</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49FB0C80" w14:textId="77777777" w:rsidR="003914D2" w:rsidRDefault="003914D2">
            <w:pPr>
              <w:jc w:val="center"/>
              <w:rPr>
                <w:rFonts w:ascii="Arial" w:hAnsi="Arial" w:cs="Arial"/>
                <w:b/>
                <w:bCs/>
                <w:color w:val="000000"/>
                <w:sz w:val="14"/>
                <w:szCs w:val="14"/>
              </w:rPr>
            </w:pPr>
            <w:r>
              <w:rPr>
                <w:rFonts w:ascii="Arial" w:hAnsi="Arial" w:cs="Arial"/>
                <w:b/>
                <w:bCs/>
                <w:sz w:val="14"/>
                <w:szCs w:val="14"/>
              </w:rPr>
              <w:t>COMPROMISOS ACUMULADOS</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3F1B786C" w14:textId="77777777" w:rsidR="003914D2" w:rsidRDefault="003914D2">
            <w:pPr>
              <w:jc w:val="center"/>
              <w:rPr>
                <w:rFonts w:ascii="Arial" w:hAnsi="Arial" w:cs="Arial"/>
                <w:b/>
                <w:bCs/>
                <w:color w:val="000000"/>
                <w:sz w:val="14"/>
                <w:szCs w:val="14"/>
              </w:rPr>
            </w:pPr>
            <w:r>
              <w:rPr>
                <w:rFonts w:ascii="Arial" w:hAnsi="Arial" w:cs="Arial"/>
                <w:b/>
                <w:bCs/>
                <w:sz w:val="14"/>
                <w:szCs w:val="14"/>
              </w:rPr>
              <w:t>OBLIGACIONES ACUMULADAS</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1BE78C9F" w14:textId="77777777" w:rsidR="003914D2" w:rsidRDefault="003914D2">
            <w:pPr>
              <w:jc w:val="center"/>
              <w:rPr>
                <w:rFonts w:ascii="Arial" w:hAnsi="Arial" w:cs="Arial"/>
                <w:b/>
                <w:bCs/>
                <w:color w:val="000000"/>
                <w:sz w:val="14"/>
                <w:szCs w:val="14"/>
              </w:rPr>
            </w:pPr>
            <w:r>
              <w:rPr>
                <w:rFonts w:ascii="Arial" w:hAnsi="Arial" w:cs="Arial"/>
                <w:b/>
                <w:bCs/>
                <w:sz w:val="14"/>
                <w:szCs w:val="14"/>
              </w:rPr>
              <w:t>PAGOS ACUMULADOS</w:t>
            </w:r>
          </w:p>
        </w:tc>
      </w:tr>
      <w:tr w:rsidR="003914D2" w14:paraId="1DB05153"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33B31FA4" w14:textId="77777777" w:rsidR="003914D2" w:rsidRDefault="003914D2">
            <w:pPr>
              <w:rPr>
                <w:rFonts w:ascii="Arial" w:hAnsi="Arial" w:cs="Arial"/>
                <w:color w:val="000000"/>
                <w:sz w:val="16"/>
                <w:szCs w:val="16"/>
              </w:rPr>
            </w:pPr>
            <w:r>
              <w:rPr>
                <w:rFonts w:ascii="Arial" w:hAnsi="Arial" w:cs="Arial"/>
                <w:sz w:val="16"/>
                <w:szCs w:val="16"/>
              </w:rPr>
              <w:t>Sueldo Personal de Nómina</w:t>
            </w:r>
          </w:p>
        </w:tc>
        <w:tc>
          <w:tcPr>
            <w:tcW w:w="0" w:type="auto"/>
            <w:tcBorders>
              <w:top w:val="nil"/>
              <w:left w:val="nil"/>
              <w:bottom w:val="single" w:sz="8" w:space="0" w:color="auto"/>
              <w:right w:val="single" w:sz="8" w:space="0" w:color="auto"/>
            </w:tcBorders>
            <w:noWrap/>
            <w:vAlign w:val="center"/>
            <w:hideMark/>
          </w:tcPr>
          <w:p w14:paraId="79D1B19D" w14:textId="77777777" w:rsidR="003914D2" w:rsidRDefault="003914D2">
            <w:pPr>
              <w:jc w:val="right"/>
              <w:rPr>
                <w:rFonts w:ascii="Arial" w:hAnsi="Arial" w:cs="Arial"/>
                <w:color w:val="000000"/>
                <w:sz w:val="16"/>
                <w:szCs w:val="16"/>
              </w:rPr>
            </w:pPr>
            <w:r>
              <w:rPr>
                <w:rFonts w:ascii="Arial" w:hAnsi="Arial" w:cs="Arial"/>
                <w:sz w:val="16"/>
                <w:szCs w:val="16"/>
              </w:rPr>
              <w:t>11.059</w:t>
            </w:r>
          </w:p>
        </w:tc>
        <w:tc>
          <w:tcPr>
            <w:tcW w:w="0" w:type="auto"/>
            <w:tcBorders>
              <w:top w:val="nil"/>
              <w:left w:val="nil"/>
              <w:bottom w:val="single" w:sz="8" w:space="0" w:color="auto"/>
              <w:right w:val="single" w:sz="8" w:space="0" w:color="auto"/>
            </w:tcBorders>
            <w:noWrap/>
            <w:vAlign w:val="center"/>
            <w:hideMark/>
          </w:tcPr>
          <w:p w14:paraId="7C97C878"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65F2AE22" w14:textId="77777777" w:rsidR="003914D2" w:rsidRDefault="003914D2">
            <w:pPr>
              <w:jc w:val="right"/>
              <w:rPr>
                <w:rFonts w:ascii="Arial" w:hAnsi="Arial" w:cs="Arial"/>
                <w:color w:val="000000"/>
                <w:sz w:val="16"/>
                <w:szCs w:val="16"/>
              </w:rPr>
            </w:pPr>
            <w:r>
              <w:rPr>
                <w:rFonts w:ascii="Arial" w:hAnsi="Arial" w:cs="Arial"/>
                <w:sz w:val="16"/>
                <w:szCs w:val="16"/>
              </w:rPr>
              <w:t>11.059</w:t>
            </w:r>
          </w:p>
        </w:tc>
        <w:tc>
          <w:tcPr>
            <w:tcW w:w="0" w:type="auto"/>
            <w:tcBorders>
              <w:top w:val="nil"/>
              <w:left w:val="nil"/>
              <w:bottom w:val="single" w:sz="8" w:space="0" w:color="auto"/>
              <w:right w:val="single" w:sz="8" w:space="0" w:color="auto"/>
            </w:tcBorders>
            <w:noWrap/>
            <w:vAlign w:val="center"/>
            <w:hideMark/>
          </w:tcPr>
          <w:p w14:paraId="2A0F4903" w14:textId="77777777" w:rsidR="003914D2" w:rsidRDefault="003914D2">
            <w:pPr>
              <w:jc w:val="right"/>
              <w:rPr>
                <w:rFonts w:ascii="Arial" w:hAnsi="Arial" w:cs="Arial"/>
                <w:color w:val="000000"/>
                <w:sz w:val="16"/>
                <w:szCs w:val="16"/>
              </w:rPr>
            </w:pPr>
            <w:r>
              <w:rPr>
                <w:rFonts w:ascii="Arial" w:hAnsi="Arial" w:cs="Arial"/>
                <w:sz w:val="16"/>
                <w:szCs w:val="16"/>
              </w:rPr>
              <w:t>8.416</w:t>
            </w:r>
          </w:p>
        </w:tc>
        <w:tc>
          <w:tcPr>
            <w:tcW w:w="0" w:type="auto"/>
            <w:tcBorders>
              <w:top w:val="nil"/>
              <w:left w:val="nil"/>
              <w:bottom w:val="single" w:sz="8" w:space="0" w:color="auto"/>
              <w:right w:val="single" w:sz="8" w:space="0" w:color="auto"/>
            </w:tcBorders>
            <w:noWrap/>
            <w:vAlign w:val="center"/>
            <w:hideMark/>
          </w:tcPr>
          <w:p w14:paraId="2770B8D4" w14:textId="77777777" w:rsidR="003914D2" w:rsidRDefault="003914D2">
            <w:pPr>
              <w:jc w:val="right"/>
              <w:rPr>
                <w:rFonts w:ascii="Arial" w:hAnsi="Arial" w:cs="Arial"/>
                <w:color w:val="000000"/>
                <w:sz w:val="16"/>
                <w:szCs w:val="16"/>
              </w:rPr>
            </w:pPr>
            <w:r>
              <w:rPr>
                <w:rFonts w:ascii="Arial" w:hAnsi="Arial" w:cs="Arial"/>
                <w:sz w:val="16"/>
                <w:szCs w:val="16"/>
              </w:rPr>
              <w:t>5.825</w:t>
            </w:r>
          </w:p>
        </w:tc>
        <w:tc>
          <w:tcPr>
            <w:tcW w:w="0" w:type="auto"/>
            <w:tcBorders>
              <w:top w:val="nil"/>
              <w:left w:val="nil"/>
              <w:bottom w:val="single" w:sz="8" w:space="0" w:color="auto"/>
              <w:right w:val="single" w:sz="8" w:space="0" w:color="auto"/>
            </w:tcBorders>
            <w:noWrap/>
            <w:vAlign w:val="center"/>
            <w:hideMark/>
          </w:tcPr>
          <w:p w14:paraId="2A6F7475" w14:textId="77777777" w:rsidR="003914D2" w:rsidRDefault="003914D2">
            <w:pPr>
              <w:jc w:val="right"/>
              <w:rPr>
                <w:rFonts w:ascii="Arial" w:hAnsi="Arial" w:cs="Arial"/>
                <w:color w:val="000000"/>
                <w:sz w:val="16"/>
                <w:szCs w:val="16"/>
              </w:rPr>
            </w:pPr>
            <w:r>
              <w:rPr>
                <w:rFonts w:ascii="Arial" w:hAnsi="Arial" w:cs="Arial"/>
                <w:sz w:val="16"/>
                <w:szCs w:val="16"/>
              </w:rPr>
              <w:t>5.803</w:t>
            </w:r>
          </w:p>
        </w:tc>
        <w:tc>
          <w:tcPr>
            <w:tcW w:w="0" w:type="auto"/>
            <w:tcBorders>
              <w:top w:val="nil"/>
              <w:left w:val="nil"/>
              <w:bottom w:val="single" w:sz="8" w:space="0" w:color="auto"/>
              <w:right w:val="single" w:sz="8" w:space="0" w:color="auto"/>
            </w:tcBorders>
            <w:noWrap/>
            <w:vAlign w:val="center"/>
            <w:hideMark/>
          </w:tcPr>
          <w:p w14:paraId="10D3855F" w14:textId="77777777" w:rsidR="003914D2" w:rsidRDefault="003914D2">
            <w:pPr>
              <w:jc w:val="right"/>
              <w:rPr>
                <w:rFonts w:ascii="Arial" w:hAnsi="Arial" w:cs="Arial"/>
                <w:color w:val="000000"/>
                <w:sz w:val="16"/>
                <w:szCs w:val="16"/>
              </w:rPr>
            </w:pPr>
            <w:r>
              <w:rPr>
                <w:rFonts w:ascii="Arial" w:hAnsi="Arial" w:cs="Arial"/>
                <w:sz w:val="16"/>
                <w:szCs w:val="16"/>
              </w:rPr>
              <w:t>5.803</w:t>
            </w:r>
          </w:p>
        </w:tc>
      </w:tr>
      <w:tr w:rsidR="003914D2" w14:paraId="3A8F67DA"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102C9F64" w14:textId="77777777" w:rsidR="003914D2" w:rsidRDefault="003914D2">
            <w:pPr>
              <w:rPr>
                <w:rFonts w:ascii="Arial" w:hAnsi="Arial" w:cs="Arial"/>
                <w:color w:val="000000"/>
                <w:sz w:val="16"/>
                <w:szCs w:val="16"/>
              </w:rPr>
            </w:pPr>
            <w:r>
              <w:rPr>
                <w:rFonts w:ascii="Arial" w:hAnsi="Arial" w:cs="Arial"/>
                <w:sz w:val="16"/>
                <w:szCs w:val="16"/>
              </w:rPr>
              <w:t>Horas Extras y Días Festivos</w:t>
            </w:r>
          </w:p>
        </w:tc>
        <w:tc>
          <w:tcPr>
            <w:tcW w:w="0" w:type="auto"/>
            <w:tcBorders>
              <w:top w:val="nil"/>
              <w:left w:val="nil"/>
              <w:bottom w:val="single" w:sz="8" w:space="0" w:color="auto"/>
              <w:right w:val="single" w:sz="8" w:space="0" w:color="auto"/>
            </w:tcBorders>
            <w:noWrap/>
            <w:vAlign w:val="center"/>
            <w:hideMark/>
          </w:tcPr>
          <w:p w14:paraId="1AEB88AF" w14:textId="77777777" w:rsidR="003914D2" w:rsidRDefault="003914D2">
            <w:pPr>
              <w:jc w:val="right"/>
              <w:rPr>
                <w:rFonts w:ascii="Arial" w:hAnsi="Arial" w:cs="Arial"/>
                <w:color w:val="000000"/>
                <w:sz w:val="16"/>
                <w:szCs w:val="16"/>
              </w:rPr>
            </w:pPr>
            <w:r>
              <w:rPr>
                <w:rFonts w:ascii="Arial" w:hAnsi="Arial" w:cs="Arial"/>
                <w:sz w:val="16"/>
                <w:szCs w:val="16"/>
              </w:rPr>
              <w:t>23</w:t>
            </w:r>
          </w:p>
        </w:tc>
        <w:tc>
          <w:tcPr>
            <w:tcW w:w="0" w:type="auto"/>
            <w:tcBorders>
              <w:top w:val="nil"/>
              <w:left w:val="nil"/>
              <w:bottom w:val="single" w:sz="8" w:space="0" w:color="auto"/>
              <w:right w:val="single" w:sz="8" w:space="0" w:color="auto"/>
            </w:tcBorders>
            <w:noWrap/>
            <w:vAlign w:val="center"/>
            <w:hideMark/>
          </w:tcPr>
          <w:p w14:paraId="58E774BE"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42768EB1" w14:textId="77777777" w:rsidR="003914D2" w:rsidRDefault="003914D2">
            <w:pPr>
              <w:jc w:val="right"/>
              <w:rPr>
                <w:rFonts w:ascii="Arial" w:hAnsi="Arial" w:cs="Arial"/>
                <w:color w:val="000000"/>
                <w:sz w:val="16"/>
                <w:szCs w:val="16"/>
              </w:rPr>
            </w:pPr>
            <w:r>
              <w:rPr>
                <w:rFonts w:ascii="Arial" w:hAnsi="Arial" w:cs="Arial"/>
                <w:sz w:val="16"/>
                <w:szCs w:val="16"/>
              </w:rPr>
              <w:t>23</w:t>
            </w:r>
          </w:p>
        </w:tc>
        <w:tc>
          <w:tcPr>
            <w:tcW w:w="0" w:type="auto"/>
            <w:tcBorders>
              <w:top w:val="nil"/>
              <w:left w:val="nil"/>
              <w:bottom w:val="single" w:sz="8" w:space="0" w:color="auto"/>
              <w:right w:val="single" w:sz="8" w:space="0" w:color="auto"/>
            </w:tcBorders>
            <w:noWrap/>
            <w:vAlign w:val="center"/>
            <w:hideMark/>
          </w:tcPr>
          <w:p w14:paraId="594CE4D5" w14:textId="77777777" w:rsidR="003914D2" w:rsidRDefault="003914D2">
            <w:pPr>
              <w:jc w:val="right"/>
              <w:rPr>
                <w:rFonts w:ascii="Arial" w:hAnsi="Arial" w:cs="Arial"/>
                <w:color w:val="000000"/>
                <w:sz w:val="16"/>
                <w:szCs w:val="16"/>
              </w:rPr>
            </w:pPr>
            <w:r>
              <w:rPr>
                <w:rFonts w:ascii="Arial" w:hAnsi="Arial" w:cs="Arial"/>
                <w:sz w:val="16"/>
                <w:szCs w:val="16"/>
              </w:rPr>
              <w:t>23</w:t>
            </w:r>
          </w:p>
        </w:tc>
        <w:tc>
          <w:tcPr>
            <w:tcW w:w="0" w:type="auto"/>
            <w:tcBorders>
              <w:top w:val="nil"/>
              <w:left w:val="nil"/>
              <w:bottom w:val="single" w:sz="8" w:space="0" w:color="auto"/>
              <w:right w:val="single" w:sz="8" w:space="0" w:color="auto"/>
            </w:tcBorders>
            <w:noWrap/>
            <w:vAlign w:val="center"/>
            <w:hideMark/>
          </w:tcPr>
          <w:p w14:paraId="75F3929F" w14:textId="77777777" w:rsidR="003914D2" w:rsidRDefault="003914D2">
            <w:pPr>
              <w:jc w:val="right"/>
              <w:rPr>
                <w:rFonts w:ascii="Arial" w:hAnsi="Arial" w:cs="Arial"/>
                <w:color w:val="000000"/>
                <w:sz w:val="16"/>
                <w:szCs w:val="16"/>
              </w:rPr>
            </w:pPr>
            <w:r>
              <w:rPr>
                <w:rFonts w:ascii="Arial" w:hAnsi="Arial" w:cs="Arial"/>
                <w:sz w:val="16"/>
                <w:szCs w:val="16"/>
              </w:rPr>
              <w:t>23</w:t>
            </w:r>
          </w:p>
        </w:tc>
        <w:tc>
          <w:tcPr>
            <w:tcW w:w="0" w:type="auto"/>
            <w:tcBorders>
              <w:top w:val="nil"/>
              <w:left w:val="nil"/>
              <w:bottom w:val="single" w:sz="8" w:space="0" w:color="auto"/>
              <w:right w:val="single" w:sz="8" w:space="0" w:color="auto"/>
            </w:tcBorders>
            <w:noWrap/>
            <w:vAlign w:val="center"/>
            <w:hideMark/>
          </w:tcPr>
          <w:p w14:paraId="1C4CD666" w14:textId="77777777" w:rsidR="003914D2" w:rsidRDefault="003914D2">
            <w:pPr>
              <w:jc w:val="right"/>
              <w:rPr>
                <w:rFonts w:ascii="Arial" w:hAnsi="Arial" w:cs="Arial"/>
                <w:color w:val="000000"/>
                <w:sz w:val="16"/>
                <w:szCs w:val="16"/>
              </w:rPr>
            </w:pPr>
            <w:r>
              <w:rPr>
                <w:rFonts w:ascii="Arial" w:hAnsi="Arial" w:cs="Arial"/>
                <w:sz w:val="16"/>
                <w:szCs w:val="16"/>
              </w:rPr>
              <w:t>19</w:t>
            </w:r>
          </w:p>
        </w:tc>
        <w:tc>
          <w:tcPr>
            <w:tcW w:w="0" w:type="auto"/>
            <w:tcBorders>
              <w:top w:val="nil"/>
              <w:left w:val="nil"/>
              <w:bottom w:val="single" w:sz="8" w:space="0" w:color="auto"/>
              <w:right w:val="single" w:sz="8" w:space="0" w:color="auto"/>
            </w:tcBorders>
            <w:noWrap/>
            <w:vAlign w:val="center"/>
            <w:hideMark/>
          </w:tcPr>
          <w:p w14:paraId="4AC9CB77" w14:textId="77777777" w:rsidR="003914D2" w:rsidRDefault="003914D2">
            <w:pPr>
              <w:jc w:val="right"/>
              <w:rPr>
                <w:rFonts w:ascii="Arial" w:hAnsi="Arial" w:cs="Arial"/>
                <w:color w:val="000000"/>
                <w:sz w:val="16"/>
                <w:szCs w:val="16"/>
              </w:rPr>
            </w:pPr>
            <w:r>
              <w:rPr>
                <w:rFonts w:ascii="Arial" w:hAnsi="Arial" w:cs="Arial"/>
                <w:sz w:val="16"/>
                <w:szCs w:val="16"/>
              </w:rPr>
              <w:t>19</w:t>
            </w:r>
          </w:p>
        </w:tc>
      </w:tr>
      <w:tr w:rsidR="003914D2" w14:paraId="61EABAEA"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2A8FE4F2" w14:textId="77777777" w:rsidR="003914D2" w:rsidRDefault="003914D2">
            <w:pPr>
              <w:rPr>
                <w:rFonts w:ascii="Arial" w:hAnsi="Arial" w:cs="Arial"/>
                <w:color w:val="000000"/>
                <w:sz w:val="16"/>
                <w:szCs w:val="16"/>
              </w:rPr>
            </w:pPr>
            <w:r>
              <w:rPr>
                <w:rFonts w:ascii="Arial" w:hAnsi="Arial" w:cs="Arial"/>
                <w:sz w:val="16"/>
                <w:szCs w:val="16"/>
              </w:rPr>
              <w:t>Indemnización por Vacaciones</w:t>
            </w:r>
          </w:p>
        </w:tc>
        <w:tc>
          <w:tcPr>
            <w:tcW w:w="0" w:type="auto"/>
            <w:tcBorders>
              <w:top w:val="nil"/>
              <w:left w:val="nil"/>
              <w:bottom w:val="single" w:sz="8" w:space="0" w:color="auto"/>
              <w:right w:val="single" w:sz="8" w:space="0" w:color="auto"/>
            </w:tcBorders>
            <w:noWrap/>
            <w:vAlign w:val="center"/>
            <w:hideMark/>
          </w:tcPr>
          <w:p w14:paraId="6D4EEE14" w14:textId="77777777" w:rsidR="003914D2" w:rsidRDefault="003914D2">
            <w:pPr>
              <w:jc w:val="right"/>
              <w:rPr>
                <w:rFonts w:ascii="Arial" w:hAnsi="Arial" w:cs="Arial"/>
                <w:color w:val="000000"/>
                <w:sz w:val="16"/>
                <w:szCs w:val="16"/>
              </w:rPr>
            </w:pPr>
            <w:r>
              <w:rPr>
                <w:rFonts w:ascii="Arial" w:hAnsi="Arial" w:cs="Arial"/>
                <w:sz w:val="16"/>
                <w:szCs w:val="16"/>
              </w:rPr>
              <w:t>92</w:t>
            </w:r>
          </w:p>
        </w:tc>
        <w:tc>
          <w:tcPr>
            <w:tcW w:w="0" w:type="auto"/>
            <w:tcBorders>
              <w:top w:val="nil"/>
              <w:left w:val="nil"/>
              <w:bottom w:val="single" w:sz="8" w:space="0" w:color="auto"/>
              <w:right w:val="single" w:sz="8" w:space="0" w:color="auto"/>
            </w:tcBorders>
            <w:noWrap/>
            <w:vAlign w:val="center"/>
            <w:hideMark/>
          </w:tcPr>
          <w:p w14:paraId="08107120"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79D095D7" w14:textId="77777777" w:rsidR="003914D2" w:rsidRDefault="003914D2">
            <w:pPr>
              <w:jc w:val="right"/>
              <w:rPr>
                <w:rFonts w:ascii="Arial" w:hAnsi="Arial" w:cs="Arial"/>
                <w:color w:val="000000"/>
                <w:sz w:val="16"/>
                <w:szCs w:val="16"/>
              </w:rPr>
            </w:pPr>
            <w:r>
              <w:rPr>
                <w:rFonts w:ascii="Arial" w:hAnsi="Arial" w:cs="Arial"/>
                <w:sz w:val="16"/>
                <w:szCs w:val="16"/>
              </w:rPr>
              <w:t>92</w:t>
            </w:r>
          </w:p>
        </w:tc>
        <w:tc>
          <w:tcPr>
            <w:tcW w:w="0" w:type="auto"/>
            <w:tcBorders>
              <w:top w:val="nil"/>
              <w:left w:val="nil"/>
              <w:bottom w:val="single" w:sz="8" w:space="0" w:color="auto"/>
              <w:right w:val="single" w:sz="8" w:space="0" w:color="auto"/>
            </w:tcBorders>
            <w:noWrap/>
            <w:vAlign w:val="center"/>
            <w:hideMark/>
          </w:tcPr>
          <w:p w14:paraId="5211424E" w14:textId="77777777" w:rsidR="003914D2" w:rsidRDefault="003914D2">
            <w:pPr>
              <w:jc w:val="right"/>
              <w:rPr>
                <w:rFonts w:ascii="Arial" w:hAnsi="Arial" w:cs="Arial"/>
                <w:color w:val="000000"/>
                <w:sz w:val="16"/>
                <w:szCs w:val="16"/>
              </w:rPr>
            </w:pPr>
            <w:r>
              <w:rPr>
                <w:rFonts w:ascii="Arial" w:hAnsi="Arial" w:cs="Arial"/>
                <w:sz w:val="16"/>
                <w:szCs w:val="16"/>
              </w:rPr>
              <w:t>92</w:t>
            </w:r>
          </w:p>
        </w:tc>
        <w:tc>
          <w:tcPr>
            <w:tcW w:w="0" w:type="auto"/>
            <w:tcBorders>
              <w:top w:val="nil"/>
              <w:left w:val="nil"/>
              <w:bottom w:val="single" w:sz="8" w:space="0" w:color="auto"/>
              <w:right w:val="single" w:sz="8" w:space="0" w:color="auto"/>
            </w:tcBorders>
            <w:noWrap/>
            <w:vAlign w:val="center"/>
            <w:hideMark/>
          </w:tcPr>
          <w:p w14:paraId="7B298512" w14:textId="77777777" w:rsidR="003914D2" w:rsidRDefault="003914D2">
            <w:pPr>
              <w:jc w:val="right"/>
              <w:rPr>
                <w:rFonts w:ascii="Arial" w:hAnsi="Arial" w:cs="Arial"/>
                <w:color w:val="000000"/>
                <w:sz w:val="16"/>
                <w:szCs w:val="16"/>
              </w:rPr>
            </w:pPr>
            <w:r>
              <w:rPr>
                <w:rFonts w:ascii="Arial" w:hAnsi="Arial" w:cs="Arial"/>
                <w:sz w:val="16"/>
                <w:szCs w:val="16"/>
              </w:rPr>
              <w:t>86</w:t>
            </w:r>
          </w:p>
        </w:tc>
        <w:tc>
          <w:tcPr>
            <w:tcW w:w="0" w:type="auto"/>
            <w:tcBorders>
              <w:top w:val="nil"/>
              <w:left w:val="nil"/>
              <w:bottom w:val="single" w:sz="8" w:space="0" w:color="auto"/>
              <w:right w:val="single" w:sz="8" w:space="0" w:color="auto"/>
            </w:tcBorders>
            <w:noWrap/>
            <w:vAlign w:val="center"/>
            <w:hideMark/>
          </w:tcPr>
          <w:p w14:paraId="02E30279" w14:textId="77777777" w:rsidR="003914D2" w:rsidRDefault="003914D2">
            <w:pPr>
              <w:jc w:val="right"/>
              <w:rPr>
                <w:rFonts w:ascii="Arial" w:hAnsi="Arial" w:cs="Arial"/>
                <w:color w:val="000000"/>
                <w:sz w:val="16"/>
                <w:szCs w:val="16"/>
              </w:rPr>
            </w:pPr>
            <w:r>
              <w:rPr>
                <w:rFonts w:ascii="Arial" w:hAnsi="Arial" w:cs="Arial"/>
                <w:sz w:val="16"/>
                <w:szCs w:val="16"/>
              </w:rPr>
              <w:t>86</w:t>
            </w:r>
          </w:p>
        </w:tc>
        <w:tc>
          <w:tcPr>
            <w:tcW w:w="0" w:type="auto"/>
            <w:tcBorders>
              <w:top w:val="nil"/>
              <w:left w:val="nil"/>
              <w:bottom w:val="single" w:sz="8" w:space="0" w:color="auto"/>
              <w:right w:val="single" w:sz="8" w:space="0" w:color="auto"/>
            </w:tcBorders>
            <w:noWrap/>
            <w:vAlign w:val="center"/>
            <w:hideMark/>
          </w:tcPr>
          <w:p w14:paraId="59E283E4" w14:textId="77777777" w:rsidR="003914D2" w:rsidRDefault="003914D2">
            <w:pPr>
              <w:jc w:val="right"/>
              <w:rPr>
                <w:rFonts w:ascii="Arial" w:hAnsi="Arial" w:cs="Arial"/>
                <w:color w:val="000000"/>
                <w:sz w:val="16"/>
                <w:szCs w:val="16"/>
              </w:rPr>
            </w:pPr>
            <w:r>
              <w:rPr>
                <w:rFonts w:ascii="Arial" w:hAnsi="Arial" w:cs="Arial"/>
                <w:sz w:val="16"/>
                <w:szCs w:val="16"/>
              </w:rPr>
              <w:t>86</w:t>
            </w:r>
          </w:p>
        </w:tc>
      </w:tr>
      <w:tr w:rsidR="003914D2" w14:paraId="74C35CB8"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051181DF" w14:textId="77777777" w:rsidR="003914D2" w:rsidRDefault="003914D2">
            <w:pPr>
              <w:rPr>
                <w:rFonts w:ascii="Arial" w:hAnsi="Arial" w:cs="Arial"/>
                <w:color w:val="000000"/>
                <w:sz w:val="16"/>
                <w:szCs w:val="16"/>
              </w:rPr>
            </w:pPr>
            <w:r>
              <w:rPr>
                <w:rFonts w:ascii="Arial" w:hAnsi="Arial" w:cs="Arial"/>
                <w:sz w:val="16"/>
                <w:szCs w:val="16"/>
              </w:rPr>
              <w:t>Prima Técnica</w:t>
            </w:r>
          </w:p>
        </w:tc>
        <w:tc>
          <w:tcPr>
            <w:tcW w:w="0" w:type="auto"/>
            <w:tcBorders>
              <w:top w:val="nil"/>
              <w:left w:val="nil"/>
              <w:bottom w:val="single" w:sz="8" w:space="0" w:color="auto"/>
              <w:right w:val="single" w:sz="8" w:space="0" w:color="auto"/>
            </w:tcBorders>
            <w:noWrap/>
            <w:vAlign w:val="center"/>
            <w:hideMark/>
          </w:tcPr>
          <w:p w14:paraId="0BAFF9D8" w14:textId="77777777" w:rsidR="003914D2" w:rsidRDefault="003914D2">
            <w:pPr>
              <w:jc w:val="right"/>
              <w:rPr>
                <w:rFonts w:ascii="Arial" w:hAnsi="Arial" w:cs="Arial"/>
                <w:color w:val="000000"/>
                <w:sz w:val="16"/>
                <w:szCs w:val="16"/>
              </w:rPr>
            </w:pPr>
            <w:r>
              <w:rPr>
                <w:rFonts w:ascii="Arial" w:hAnsi="Arial" w:cs="Arial"/>
                <w:sz w:val="16"/>
                <w:szCs w:val="16"/>
              </w:rPr>
              <w:t>3.568</w:t>
            </w:r>
          </w:p>
        </w:tc>
        <w:tc>
          <w:tcPr>
            <w:tcW w:w="0" w:type="auto"/>
            <w:tcBorders>
              <w:top w:val="nil"/>
              <w:left w:val="nil"/>
              <w:bottom w:val="single" w:sz="8" w:space="0" w:color="auto"/>
              <w:right w:val="single" w:sz="8" w:space="0" w:color="auto"/>
            </w:tcBorders>
            <w:noWrap/>
            <w:vAlign w:val="center"/>
            <w:hideMark/>
          </w:tcPr>
          <w:p w14:paraId="79107EED"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08E2316D" w14:textId="77777777" w:rsidR="003914D2" w:rsidRDefault="003914D2">
            <w:pPr>
              <w:jc w:val="right"/>
              <w:rPr>
                <w:rFonts w:ascii="Arial" w:hAnsi="Arial" w:cs="Arial"/>
                <w:color w:val="000000"/>
                <w:sz w:val="16"/>
                <w:szCs w:val="16"/>
              </w:rPr>
            </w:pPr>
            <w:r>
              <w:rPr>
                <w:rFonts w:ascii="Arial" w:hAnsi="Arial" w:cs="Arial"/>
                <w:sz w:val="16"/>
                <w:szCs w:val="16"/>
              </w:rPr>
              <w:t>3.568</w:t>
            </w:r>
          </w:p>
        </w:tc>
        <w:tc>
          <w:tcPr>
            <w:tcW w:w="0" w:type="auto"/>
            <w:tcBorders>
              <w:top w:val="nil"/>
              <w:left w:val="nil"/>
              <w:bottom w:val="single" w:sz="8" w:space="0" w:color="auto"/>
              <w:right w:val="single" w:sz="8" w:space="0" w:color="auto"/>
            </w:tcBorders>
            <w:noWrap/>
            <w:vAlign w:val="center"/>
            <w:hideMark/>
          </w:tcPr>
          <w:p w14:paraId="688EE8A7" w14:textId="77777777" w:rsidR="003914D2" w:rsidRDefault="003914D2">
            <w:pPr>
              <w:jc w:val="right"/>
              <w:rPr>
                <w:rFonts w:ascii="Arial" w:hAnsi="Arial" w:cs="Arial"/>
                <w:color w:val="000000"/>
                <w:sz w:val="16"/>
                <w:szCs w:val="16"/>
              </w:rPr>
            </w:pPr>
            <w:r>
              <w:rPr>
                <w:rFonts w:ascii="Arial" w:hAnsi="Arial" w:cs="Arial"/>
                <w:sz w:val="16"/>
                <w:szCs w:val="16"/>
              </w:rPr>
              <w:t>2.712</w:t>
            </w:r>
          </w:p>
        </w:tc>
        <w:tc>
          <w:tcPr>
            <w:tcW w:w="0" w:type="auto"/>
            <w:tcBorders>
              <w:top w:val="nil"/>
              <w:left w:val="nil"/>
              <w:bottom w:val="single" w:sz="8" w:space="0" w:color="auto"/>
              <w:right w:val="single" w:sz="8" w:space="0" w:color="auto"/>
            </w:tcBorders>
            <w:noWrap/>
            <w:vAlign w:val="center"/>
            <w:hideMark/>
          </w:tcPr>
          <w:p w14:paraId="4D804880" w14:textId="77777777" w:rsidR="003914D2" w:rsidRDefault="003914D2">
            <w:pPr>
              <w:jc w:val="right"/>
              <w:rPr>
                <w:rFonts w:ascii="Arial" w:hAnsi="Arial" w:cs="Arial"/>
                <w:color w:val="000000"/>
                <w:sz w:val="16"/>
                <w:szCs w:val="16"/>
              </w:rPr>
            </w:pPr>
            <w:r>
              <w:rPr>
                <w:rFonts w:ascii="Arial" w:hAnsi="Arial" w:cs="Arial"/>
                <w:sz w:val="16"/>
                <w:szCs w:val="16"/>
              </w:rPr>
              <w:t>994</w:t>
            </w:r>
          </w:p>
        </w:tc>
        <w:tc>
          <w:tcPr>
            <w:tcW w:w="0" w:type="auto"/>
            <w:tcBorders>
              <w:top w:val="nil"/>
              <w:left w:val="nil"/>
              <w:bottom w:val="single" w:sz="8" w:space="0" w:color="auto"/>
              <w:right w:val="single" w:sz="8" w:space="0" w:color="auto"/>
            </w:tcBorders>
            <w:noWrap/>
            <w:vAlign w:val="center"/>
            <w:hideMark/>
          </w:tcPr>
          <w:p w14:paraId="4D6A3DAD" w14:textId="77777777" w:rsidR="003914D2" w:rsidRDefault="003914D2">
            <w:pPr>
              <w:jc w:val="right"/>
              <w:rPr>
                <w:rFonts w:ascii="Arial" w:hAnsi="Arial" w:cs="Arial"/>
                <w:color w:val="000000"/>
                <w:sz w:val="16"/>
                <w:szCs w:val="16"/>
              </w:rPr>
            </w:pPr>
            <w:r>
              <w:rPr>
                <w:rFonts w:ascii="Arial" w:hAnsi="Arial" w:cs="Arial"/>
                <w:sz w:val="16"/>
                <w:szCs w:val="16"/>
              </w:rPr>
              <w:t>991</w:t>
            </w:r>
          </w:p>
        </w:tc>
        <w:tc>
          <w:tcPr>
            <w:tcW w:w="0" w:type="auto"/>
            <w:tcBorders>
              <w:top w:val="nil"/>
              <w:left w:val="nil"/>
              <w:bottom w:val="single" w:sz="8" w:space="0" w:color="auto"/>
              <w:right w:val="single" w:sz="8" w:space="0" w:color="auto"/>
            </w:tcBorders>
            <w:noWrap/>
            <w:vAlign w:val="center"/>
            <w:hideMark/>
          </w:tcPr>
          <w:p w14:paraId="7FCCF441" w14:textId="77777777" w:rsidR="003914D2" w:rsidRDefault="003914D2">
            <w:pPr>
              <w:jc w:val="right"/>
              <w:rPr>
                <w:rFonts w:ascii="Arial" w:hAnsi="Arial" w:cs="Arial"/>
                <w:color w:val="000000"/>
                <w:sz w:val="16"/>
                <w:szCs w:val="16"/>
              </w:rPr>
            </w:pPr>
            <w:r>
              <w:rPr>
                <w:rFonts w:ascii="Arial" w:hAnsi="Arial" w:cs="Arial"/>
                <w:sz w:val="16"/>
                <w:szCs w:val="16"/>
              </w:rPr>
              <w:t>991</w:t>
            </w:r>
          </w:p>
        </w:tc>
      </w:tr>
      <w:tr w:rsidR="003914D2" w14:paraId="2A5E7232"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05C8E978" w14:textId="77777777" w:rsidR="003914D2" w:rsidRDefault="003914D2">
            <w:pPr>
              <w:rPr>
                <w:rFonts w:ascii="Arial" w:hAnsi="Arial" w:cs="Arial"/>
                <w:color w:val="000000"/>
                <w:sz w:val="16"/>
                <w:szCs w:val="16"/>
              </w:rPr>
            </w:pPr>
            <w:r>
              <w:rPr>
                <w:rFonts w:ascii="Arial" w:hAnsi="Arial" w:cs="Arial"/>
                <w:sz w:val="16"/>
                <w:szCs w:val="16"/>
              </w:rPr>
              <w:t>Otros</w:t>
            </w:r>
          </w:p>
        </w:tc>
        <w:tc>
          <w:tcPr>
            <w:tcW w:w="0" w:type="auto"/>
            <w:tcBorders>
              <w:top w:val="nil"/>
              <w:left w:val="nil"/>
              <w:bottom w:val="single" w:sz="8" w:space="0" w:color="auto"/>
              <w:right w:val="single" w:sz="8" w:space="0" w:color="auto"/>
            </w:tcBorders>
            <w:noWrap/>
            <w:vAlign w:val="center"/>
            <w:hideMark/>
          </w:tcPr>
          <w:p w14:paraId="07B1665B" w14:textId="77777777" w:rsidR="003914D2" w:rsidRDefault="003914D2">
            <w:pPr>
              <w:jc w:val="right"/>
              <w:rPr>
                <w:rFonts w:ascii="Arial" w:hAnsi="Arial" w:cs="Arial"/>
                <w:color w:val="000000"/>
                <w:sz w:val="16"/>
                <w:szCs w:val="16"/>
              </w:rPr>
            </w:pPr>
            <w:r>
              <w:rPr>
                <w:rFonts w:ascii="Arial" w:hAnsi="Arial" w:cs="Arial"/>
                <w:sz w:val="16"/>
                <w:szCs w:val="16"/>
              </w:rPr>
              <w:t>3.406</w:t>
            </w:r>
          </w:p>
        </w:tc>
        <w:tc>
          <w:tcPr>
            <w:tcW w:w="0" w:type="auto"/>
            <w:tcBorders>
              <w:top w:val="nil"/>
              <w:left w:val="nil"/>
              <w:bottom w:val="single" w:sz="8" w:space="0" w:color="auto"/>
              <w:right w:val="single" w:sz="8" w:space="0" w:color="auto"/>
            </w:tcBorders>
            <w:noWrap/>
            <w:vAlign w:val="center"/>
            <w:hideMark/>
          </w:tcPr>
          <w:p w14:paraId="3BB068A8"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79ABC653" w14:textId="77777777" w:rsidR="003914D2" w:rsidRDefault="003914D2">
            <w:pPr>
              <w:jc w:val="right"/>
              <w:rPr>
                <w:rFonts w:ascii="Arial" w:hAnsi="Arial" w:cs="Arial"/>
                <w:color w:val="000000"/>
                <w:sz w:val="16"/>
                <w:szCs w:val="16"/>
              </w:rPr>
            </w:pPr>
            <w:r>
              <w:rPr>
                <w:rFonts w:ascii="Arial" w:hAnsi="Arial" w:cs="Arial"/>
                <w:sz w:val="16"/>
                <w:szCs w:val="16"/>
              </w:rPr>
              <w:t>3.406</w:t>
            </w:r>
          </w:p>
        </w:tc>
        <w:tc>
          <w:tcPr>
            <w:tcW w:w="0" w:type="auto"/>
            <w:tcBorders>
              <w:top w:val="nil"/>
              <w:left w:val="nil"/>
              <w:bottom w:val="single" w:sz="8" w:space="0" w:color="auto"/>
              <w:right w:val="single" w:sz="8" w:space="0" w:color="auto"/>
            </w:tcBorders>
            <w:noWrap/>
            <w:vAlign w:val="center"/>
            <w:hideMark/>
          </w:tcPr>
          <w:p w14:paraId="4DE4616D" w14:textId="77777777" w:rsidR="003914D2" w:rsidRDefault="003914D2">
            <w:pPr>
              <w:jc w:val="right"/>
              <w:rPr>
                <w:rFonts w:ascii="Arial" w:hAnsi="Arial" w:cs="Arial"/>
                <w:color w:val="000000"/>
                <w:sz w:val="16"/>
                <w:szCs w:val="16"/>
              </w:rPr>
            </w:pPr>
            <w:r>
              <w:rPr>
                <w:rFonts w:ascii="Arial" w:hAnsi="Arial" w:cs="Arial"/>
                <w:sz w:val="16"/>
                <w:szCs w:val="16"/>
              </w:rPr>
              <w:t>2.464</w:t>
            </w:r>
          </w:p>
        </w:tc>
        <w:tc>
          <w:tcPr>
            <w:tcW w:w="0" w:type="auto"/>
            <w:tcBorders>
              <w:top w:val="nil"/>
              <w:left w:val="nil"/>
              <w:bottom w:val="single" w:sz="8" w:space="0" w:color="auto"/>
              <w:right w:val="single" w:sz="8" w:space="0" w:color="auto"/>
            </w:tcBorders>
            <w:noWrap/>
            <w:vAlign w:val="center"/>
            <w:hideMark/>
          </w:tcPr>
          <w:p w14:paraId="4D7A756D" w14:textId="77777777" w:rsidR="003914D2" w:rsidRDefault="003914D2">
            <w:pPr>
              <w:jc w:val="right"/>
              <w:rPr>
                <w:rFonts w:ascii="Arial" w:hAnsi="Arial" w:cs="Arial"/>
                <w:color w:val="000000"/>
                <w:sz w:val="16"/>
                <w:szCs w:val="16"/>
              </w:rPr>
            </w:pPr>
            <w:r>
              <w:rPr>
                <w:rFonts w:ascii="Arial" w:hAnsi="Arial" w:cs="Arial"/>
                <w:sz w:val="16"/>
                <w:szCs w:val="16"/>
              </w:rPr>
              <w:t>506</w:t>
            </w:r>
          </w:p>
        </w:tc>
        <w:tc>
          <w:tcPr>
            <w:tcW w:w="0" w:type="auto"/>
            <w:tcBorders>
              <w:top w:val="nil"/>
              <w:left w:val="nil"/>
              <w:bottom w:val="single" w:sz="8" w:space="0" w:color="auto"/>
              <w:right w:val="single" w:sz="8" w:space="0" w:color="auto"/>
            </w:tcBorders>
            <w:noWrap/>
            <w:vAlign w:val="center"/>
            <w:hideMark/>
          </w:tcPr>
          <w:p w14:paraId="6DF7C6D6" w14:textId="77777777" w:rsidR="003914D2" w:rsidRDefault="003914D2">
            <w:pPr>
              <w:jc w:val="right"/>
              <w:rPr>
                <w:rFonts w:ascii="Arial" w:hAnsi="Arial" w:cs="Arial"/>
                <w:color w:val="000000"/>
                <w:sz w:val="16"/>
                <w:szCs w:val="16"/>
              </w:rPr>
            </w:pPr>
            <w:r>
              <w:rPr>
                <w:rFonts w:ascii="Arial" w:hAnsi="Arial" w:cs="Arial"/>
                <w:sz w:val="16"/>
                <w:szCs w:val="16"/>
              </w:rPr>
              <w:t>499</w:t>
            </w:r>
          </w:p>
        </w:tc>
        <w:tc>
          <w:tcPr>
            <w:tcW w:w="0" w:type="auto"/>
            <w:tcBorders>
              <w:top w:val="nil"/>
              <w:left w:val="nil"/>
              <w:bottom w:val="single" w:sz="8" w:space="0" w:color="auto"/>
              <w:right w:val="single" w:sz="8" w:space="0" w:color="auto"/>
            </w:tcBorders>
            <w:noWrap/>
            <w:vAlign w:val="center"/>
            <w:hideMark/>
          </w:tcPr>
          <w:p w14:paraId="559403B1" w14:textId="77777777" w:rsidR="003914D2" w:rsidRDefault="003914D2">
            <w:pPr>
              <w:jc w:val="right"/>
              <w:rPr>
                <w:rFonts w:ascii="Arial" w:hAnsi="Arial" w:cs="Arial"/>
                <w:color w:val="000000"/>
                <w:sz w:val="16"/>
                <w:szCs w:val="16"/>
              </w:rPr>
            </w:pPr>
            <w:r>
              <w:rPr>
                <w:rFonts w:ascii="Arial" w:hAnsi="Arial" w:cs="Arial"/>
                <w:sz w:val="16"/>
                <w:szCs w:val="16"/>
              </w:rPr>
              <w:t>499</w:t>
            </w:r>
          </w:p>
        </w:tc>
      </w:tr>
      <w:tr w:rsidR="003914D2" w14:paraId="24C31A64"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044FBA4A" w14:textId="77777777" w:rsidR="003914D2" w:rsidRDefault="003914D2">
            <w:pPr>
              <w:rPr>
                <w:rFonts w:ascii="Arial" w:hAnsi="Arial" w:cs="Arial"/>
                <w:color w:val="000000"/>
                <w:sz w:val="16"/>
                <w:szCs w:val="16"/>
              </w:rPr>
            </w:pPr>
            <w:r>
              <w:rPr>
                <w:rFonts w:ascii="Arial" w:hAnsi="Arial" w:cs="Arial"/>
                <w:sz w:val="16"/>
                <w:szCs w:val="16"/>
              </w:rPr>
              <w:t>Otros Gastos Personales</w:t>
            </w:r>
          </w:p>
        </w:tc>
        <w:tc>
          <w:tcPr>
            <w:tcW w:w="0" w:type="auto"/>
            <w:tcBorders>
              <w:top w:val="nil"/>
              <w:left w:val="nil"/>
              <w:bottom w:val="single" w:sz="8" w:space="0" w:color="auto"/>
              <w:right w:val="single" w:sz="8" w:space="0" w:color="auto"/>
            </w:tcBorders>
            <w:noWrap/>
            <w:vAlign w:val="center"/>
            <w:hideMark/>
          </w:tcPr>
          <w:p w14:paraId="01AA5F5C" w14:textId="77777777" w:rsidR="003914D2" w:rsidRDefault="003914D2">
            <w:pPr>
              <w:jc w:val="right"/>
              <w:rPr>
                <w:rFonts w:ascii="Arial" w:hAnsi="Arial" w:cs="Arial"/>
                <w:color w:val="000000"/>
                <w:sz w:val="16"/>
                <w:szCs w:val="16"/>
              </w:rPr>
            </w:pPr>
            <w:r>
              <w:rPr>
                <w:rFonts w:ascii="Arial" w:hAnsi="Arial" w:cs="Arial"/>
                <w:sz w:val="16"/>
                <w:szCs w:val="16"/>
              </w:rPr>
              <w:t>1.204</w:t>
            </w:r>
          </w:p>
        </w:tc>
        <w:tc>
          <w:tcPr>
            <w:tcW w:w="0" w:type="auto"/>
            <w:tcBorders>
              <w:top w:val="nil"/>
              <w:left w:val="nil"/>
              <w:bottom w:val="single" w:sz="8" w:space="0" w:color="auto"/>
              <w:right w:val="single" w:sz="8" w:space="0" w:color="auto"/>
            </w:tcBorders>
            <w:noWrap/>
            <w:vAlign w:val="center"/>
            <w:hideMark/>
          </w:tcPr>
          <w:p w14:paraId="001901ED" w14:textId="77777777" w:rsidR="003914D2" w:rsidRDefault="003914D2">
            <w:pPr>
              <w:jc w:val="right"/>
              <w:rPr>
                <w:rFonts w:ascii="Arial" w:hAnsi="Arial" w:cs="Arial"/>
                <w:color w:val="000000"/>
                <w:sz w:val="16"/>
                <w:szCs w:val="16"/>
              </w:rPr>
            </w:pPr>
            <w:r>
              <w:rPr>
                <w:rFonts w:ascii="Arial" w:hAnsi="Arial" w:cs="Arial"/>
                <w:sz w:val="16"/>
                <w:szCs w:val="16"/>
              </w:rPr>
              <w:t>1.204</w:t>
            </w:r>
          </w:p>
        </w:tc>
        <w:tc>
          <w:tcPr>
            <w:tcW w:w="0" w:type="auto"/>
            <w:tcBorders>
              <w:top w:val="nil"/>
              <w:left w:val="nil"/>
              <w:bottom w:val="single" w:sz="8" w:space="0" w:color="auto"/>
              <w:right w:val="single" w:sz="8" w:space="0" w:color="auto"/>
            </w:tcBorders>
            <w:noWrap/>
            <w:vAlign w:val="center"/>
            <w:hideMark/>
          </w:tcPr>
          <w:p w14:paraId="5A6B88BC" w14:textId="77777777" w:rsidR="003914D2" w:rsidRDefault="003914D2">
            <w:pPr>
              <w:jc w:val="right"/>
              <w:rPr>
                <w:rFonts w:ascii="Arial" w:hAnsi="Arial" w:cs="Arial"/>
                <w:color w:val="000000"/>
                <w:sz w:val="16"/>
                <w:szCs w:val="16"/>
              </w:rPr>
            </w:pPr>
            <w:r>
              <w:rPr>
                <w:rFonts w:ascii="Arial" w:hAnsi="Arial" w:cs="Arial"/>
                <w:sz w:val="16"/>
                <w:szCs w:val="16"/>
              </w:rPr>
              <w:t>0</w:t>
            </w:r>
          </w:p>
        </w:tc>
        <w:tc>
          <w:tcPr>
            <w:tcW w:w="0" w:type="auto"/>
            <w:tcBorders>
              <w:top w:val="nil"/>
              <w:left w:val="nil"/>
              <w:bottom w:val="single" w:sz="8" w:space="0" w:color="auto"/>
              <w:right w:val="single" w:sz="8" w:space="0" w:color="auto"/>
            </w:tcBorders>
            <w:noWrap/>
            <w:vAlign w:val="center"/>
            <w:hideMark/>
          </w:tcPr>
          <w:p w14:paraId="6A698881" w14:textId="77777777" w:rsidR="003914D2" w:rsidRDefault="003914D2">
            <w:pPr>
              <w:jc w:val="right"/>
              <w:rPr>
                <w:rFonts w:ascii="Arial" w:hAnsi="Arial" w:cs="Arial"/>
                <w:color w:val="000000"/>
                <w:sz w:val="16"/>
                <w:szCs w:val="16"/>
              </w:rPr>
            </w:pPr>
            <w:r>
              <w:rPr>
                <w:rFonts w:ascii="Arial" w:hAnsi="Arial" w:cs="Arial"/>
                <w:sz w:val="16"/>
                <w:szCs w:val="16"/>
              </w:rPr>
              <w:t>0</w:t>
            </w:r>
          </w:p>
        </w:tc>
        <w:tc>
          <w:tcPr>
            <w:tcW w:w="0" w:type="auto"/>
            <w:tcBorders>
              <w:top w:val="nil"/>
              <w:left w:val="nil"/>
              <w:bottom w:val="single" w:sz="8" w:space="0" w:color="auto"/>
              <w:right w:val="single" w:sz="8" w:space="0" w:color="auto"/>
            </w:tcBorders>
            <w:noWrap/>
            <w:vAlign w:val="center"/>
            <w:hideMark/>
          </w:tcPr>
          <w:p w14:paraId="6DA6A190" w14:textId="77777777" w:rsidR="003914D2" w:rsidRDefault="003914D2">
            <w:pPr>
              <w:jc w:val="right"/>
              <w:rPr>
                <w:rFonts w:ascii="Arial" w:hAnsi="Arial" w:cs="Arial"/>
                <w:color w:val="000000"/>
                <w:sz w:val="16"/>
                <w:szCs w:val="16"/>
              </w:rPr>
            </w:pPr>
            <w:r>
              <w:rPr>
                <w:rFonts w:ascii="Arial" w:hAnsi="Arial" w:cs="Arial"/>
                <w:sz w:val="16"/>
                <w:szCs w:val="16"/>
              </w:rPr>
              <w:t>0</w:t>
            </w:r>
          </w:p>
        </w:tc>
        <w:tc>
          <w:tcPr>
            <w:tcW w:w="0" w:type="auto"/>
            <w:tcBorders>
              <w:top w:val="nil"/>
              <w:left w:val="nil"/>
              <w:bottom w:val="single" w:sz="8" w:space="0" w:color="auto"/>
              <w:right w:val="single" w:sz="8" w:space="0" w:color="auto"/>
            </w:tcBorders>
            <w:noWrap/>
            <w:vAlign w:val="center"/>
            <w:hideMark/>
          </w:tcPr>
          <w:p w14:paraId="2C911650" w14:textId="77777777" w:rsidR="003914D2" w:rsidRDefault="003914D2">
            <w:pPr>
              <w:jc w:val="right"/>
              <w:rPr>
                <w:rFonts w:ascii="Arial" w:hAnsi="Arial" w:cs="Arial"/>
                <w:color w:val="000000"/>
                <w:sz w:val="16"/>
                <w:szCs w:val="16"/>
              </w:rPr>
            </w:pPr>
            <w:r>
              <w:rPr>
                <w:rFonts w:ascii="Arial" w:hAnsi="Arial" w:cs="Arial"/>
                <w:sz w:val="16"/>
                <w:szCs w:val="16"/>
              </w:rPr>
              <w:t>0</w:t>
            </w:r>
          </w:p>
        </w:tc>
        <w:tc>
          <w:tcPr>
            <w:tcW w:w="0" w:type="auto"/>
            <w:tcBorders>
              <w:top w:val="nil"/>
              <w:left w:val="nil"/>
              <w:bottom w:val="single" w:sz="8" w:space="0" w:color="auto"/>
              <w:right w:val="single" w:sz="8" w:space="0" w:color="auto"/>
            </w:tcBorders>
            <w:noWrap/>
            <w:vAlign w:val="center"/>
            <w:hideMark/>
          </w:tcPr>
          <w:p w14:paraId="5511BE6C" w14:textId="77777777" w:rsidR="003914D2" w:rsidRDefault="003914D2">
            <w:pPr>
              <w:jc w:val="right"/>
              <w:rPr>
                <w:rFonts w:ascii="Arial" w:hAnsi="Arial" w:cs="Arial"/>
                <w:color w:val="000000"/>
                <w:sz w:val="16"/>
                <w:szCs w:val="16"/>
              </w:rPr>
            </w:pPr>
            <w:r>
              <w:rPr>
                <w:rFonts w:ascii="Arial" w:hAnsi="Arial" w:cs="Arial"/>
                <w:sz w:val="16"/>
                <w:szCs w:val="16"/>
              </w:rPr>
              <w:t>0</w:t>
            </w:r>
          </w:p>
        </w:tc>
      </w:tr>
      <w:tr w:rsidR="003914D2" w14:paraId="480694BD" w14:textId="77777777" w:rsidTr="003914D2">
        <w:trPr>
          <w:trHeight w:val="315"/>
        </w:trPr>
        <w:tc>
          <w:tcPr>
            <w:tcW w:w="0" w:type="auto"/>
            <w:tcBorders>
              <w:top w:val="nil"/>
              <w:left w:val="single" w:sz="8" w:space="0" w:color="auto"/>
              <w:bottom w:val="single" w:sz="4" w:space="0" w:color="auto"/>
              <w:right w:val="single" w:sz="8" w:space="0" w:color="auto"/>
            </w:tcBorders>
            <w:noWrap/>
            <w:vAlign w:val="center"/>
            <w:hideMark/>
          </w:tcPr>
          <w:p w14:paraId="6BD82A0B" w14:textId="77777777" w:rsidR="003914D2" w:rsidRDefault="003914D2">
            <w:pPr>
              <w:rPr>
                <w:rFonts w:ascii="Arial" w:hAnsi="Arial" w:cs="Arial"/>
                <w:color w:val="000000"/>
                <w:sz w:val="16"/>
                <w:szCs w:val="16"/>
              </w:rPr>
            </w:pPr>
            <w:r>
              <w:rPr>
                <w:rFonts w:ascii="Arial" w:hAnsi="Arial" w:cs="Arial"/>
                <w:sz w:val="16"/>
                <w:szCs w:val="16"/>
              </w:rPr>
              <w:t>Servicios Personales Indirectos</w:t>
            </w:r>
          </w:p>
        </w:tc>
        <w:tc>
          <w:tcPr>
            <w:tcW w:w="0" w:type="auto"/>
            <w:tcBorders>
              <w:top w:val="nil"/>
              <w:left w:val="nil"/>
              <w:bottom w:val="single" w:sz="4" w:space="0" w:color="auto"/>
              <w:right w:val="single" w:sz="8" w:space="0" w:color="auto"/>
            </w:tcBorders>
            <w:noWrap/>
            <w:vAlign w:val="center"/>
            <w:hideMark/>
          </w:tcPr>
          <w:p w14:paraId="5ED1DF48" w14:textId="77777777" w:rsidR="003914D2" w:rsidRDefault="003914D2">
            <w:pPr>
              <w:jc w:val="right"/>
              <w:rPr>
                <w:rFonts w:ascii="Arial" w:hAnsi="Arial" w:cs="Arial"/>
                <w:color w:val="000000"/>
                <w:sz w:val="16"/>
                <w:szCs w:val="16"/>
              </w:rPr>
            </w:pPr>
            <w:r>
              <w:rPr>
                <w:rFonts w:ascii="Arial" w:hAnsi="Arial" w:cs="Arial"/>
                <w:sz w:val="16"/>
                <w:szCs w:val="16"/>
              </w:rPr>
              <w:t>1.621</w:t>
            </w:r>
          </w:p>
        </w:tc>
        <w:tc>
          <w:tcPr>
            <w:tcW w:w="0" w:type="auto"/>
            <w:tcBorders>
              <w:top w:val="nil"/>
              <w:left w:val="nil"/>
              <w:bottom w:val="single" w:sz="4" w:space="0" w:color="auto"/>
              <w:right w:val="single" w:sz="8" w:space="0" w:color="auto"/>
            </w:tcBorders>
            <w:noWrap/>
            <w:vAlign w:val="center"/>
            <w:hideMark/>
          </w:tcPr>
          <w:p w14:paraId="346FAD97"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4" w:space="0" w:color="auto"/>
              <w:right w:val="single" w:sz="8" w:space="0" w:color="auto"/>
            </w:tcBorders>
            <w:noWrap/>
            <w:vAlign w:val="center"/>
            <w:hideMark/>
          </w:tcPr>
          <w:p w14:paraId="3B634AEE" w14:textId="77777777" w:rsidR="003914D2" w:rsidRDefault="003914D2">
            <w:pPr>
              <w:jc w:val="right"/>
              <w:rPr>
                <w:rFonts w:ascii="Arial" w:hAnsi="Arial" w:cs="Arial"/>
                <w:color w:val="000000"/>
                <w:sz w:val="16"/>
                <w:szCs w:val="16"/>
              </w:rPr>
            </w:pPr>
            <w:r>
              <w:rPr>
                <w:rFonts w:ascii="Arial" w:hAnsi="Arial" w:cs="Arial"/>
                <w:sz w:val="16"/>
                <w:szCs w:val="16"/>
              </w:rPr>
              <w:t>1.621</w:t>
            </w:r>
          </w:p>
        </w:tc>
        <w:tc>
          <w:tcPr>
            <w:tcW w:w="0" w:type="auto"/>
            <w:tcBorders>
              <w:top w:val="nil"/>
              <w:left w:val="nil"/>
              <w:bottom w:val="single" w:sz="4" w:space="0" w:color="auto"/>
              <w:right w:val="single" w:sz="8" w:space="0" w:color="auto"/>
            </w:tcBorders>
            <w:noWrap/>
            <w:vAlign w:val="center"/>
            <w:hideMark/>
          </w:tcPr>
          <w:p w14:paraId="6B3E5477" w14:textId="77777777" w:rsidR="003914D2" w:rsidRDefault="003914D2">
            <w:pPr>
              <w:jc w:val="right"/>
              <w:rPr>
                <w:rFonts w:ascii="Arial" w:hAnsi="Arial" w:cs="Arial"/>
                <w:color w:val="000000"/>
                <w:sz w:val="16"/>
                <w:szCs w:val="16"/>
              </w:rPr>
            </w:pPr>
            <w:r>
              <w:rPr>
                <w:rFonts w:ascii="Arial" w:hAnsi="Arial" w:cs="Arial"/>
                <w:sz w:val="16"/>
                <w:szCs w:val="16"/>
              </w:rPr>
              <w:t>1.586</w:t>
            </w:r>
          </w:p>
        </w:tc>
        <w:tc>
          <w:tcPr>
            <w:tcW w:w="0" w:type="auto"/>
            <w:tcBorders>
              <w:top w:val="nil"/>
              <w:left w:val="nil"/>
              <w:bottom w:val="single" w:sz="4" w:space="0" w:color="auto"/>
              <w:right w:val="single" w:sz="8" w:space="0" w:color="auto"/>
            </w:tcBorders>
            <w:noWrap/>
            <w:vAlign w:val="center"/>
            <w:hideMark/>
          </w:tcPr>
          <w:p w14:paraId="513B486C" w14:textId="77777777" w:rsidR="003914D2" w:rsidRDefault="003914D2">
            <w:pPr>
              <w:jc w:val="right"/>
              <w:rPr>
                <w:rFonts w:ascii="Arial" w:hAnsi="Arial" w:cs="Arial"/>
                <w:color w:val="000000"/>
                <w:sz w:val="16"/>
                <w:szCs w:val="16"/>
              </w:rPr>
            </w:pPr>
            <w:r>
              <w:rPr>
                <w:rFonts w:ascii="Arial" w:hAnsi="Arial" w:cs="Arial"/>
                <w:sz w:val="16"/>
                <w:szCs w:val="16"/>
              </w:rPr>
              <w:t>1.552</w:t>
            </w:r>
          </w:p>
        </w:tc>
        <w:tc>
          <w:tcPr>
            <w:tcW w:w="0" w:type="auto"/>
            <w:tcBorders>
              <w:top w:val="nil"/>
              <w:left w:val="nil"/>
              <w:bottom w:val="single" w:sz="4" w:space="0" w:color="auto"/>
              <w:right w:val="single" w:sz="8" w:space="0" w:color="auto"/>
            </w:tcBorders>
            <w:noWrap/>
            <w:vAlign w:val="center"/>
            <w:hideMark/>
          </w:tcPr>
          <w:p w14:paraId="6A56465A" w14:textId="77777777" w:rsidR="003914D2" w:rsidRDefault="003914D2">
            <w:pPr>
              <w:jc w:val="right"/>
              <w:rPr>
                <w:rFonts w:ascii="Arial" w:hAnsi="Arial" w:cs="Arial"/>
                <w:color w:val="000000"/>
                <w:sz w:val="16"/>
                <w:szCs w:val="16"/>
              </w:rPr>
            </w:pPr>
            <w:r>
              <w:rPr>
                <w:rFonts w:ascii="Arial" w:hAnsi="Arial" w:cs="Arial"/>
                <w:sz w:val="16"/>
                <w:szCs w:val="16"/>
              </w:rPr>
              <w:t>620</w:t>
            </w:r>
          </w:p>
        </w:tc>
        <w:tc>
          <w:tcPr>
            <w:tcW w:w="0" w:type="auto"/>
            <w:tcBorders>
              <w:top w:val="nil"/>
              <w:left w:val="nil"/>
              <w:bottom w:val="single" w:sz="4" w:space="0" w:color="auto"/>
              <w:right w:val="single" w:sz="8" w:space="0" w:color="auto"/>
            </w:tcBorders>
            <w:noWrap/>
            <w:vAlign w:val="center"/>
            <w:hideMark/>
          </w:tcPr>
          <w:p w14:paraId="0AD5D2D9" w14:textId="77777777" w:rsidR="003914D2" w:rsidRDefault="003914D2">
            <w:pPr>
              <w:jc w:val="right"/>
              <w:rPr>
                <w:rFonts w:ascii="Arial" w:hAnsi="Arial" w:cs="Arial"/>
                <w:color w:val="000000"/>
                <w:sz w:val="16"/>
                <w:szCs w:val="16"/>
              </w:rPr>
            </w:pPr>
            <w:r>
              <w:rPr>
                <w:rFonts w:ascii="Arial" w:hAnsi="Arial" w:cs="Arial"/>
                <w:sz w:val="16"/>
                <w:szCs w:val="16"/>
              </w:rPr>
              <w:t>620</w:t>
            </w:r>
          </w:p>
        </w:tc>
      </w:tr>
      <w:tr w:rsidR="003914D2" w14:paraId="17865A34" w14:textId="77777777" w:rsidTr="003914D2">
        <w:trPr>
          <w:trHeight w:val="465"/>
        </w:trPr>
        <w:tc>
          <w:tcPr>
            <w:tcW w:w="0" w:type="auto"/>
            <w:tcBorders>
              <w:top w:val="single" w:sz="4" w:space="0" w:color="auto"/>
              <w:left w:val="single" w:sz="8" w:space="0" w:color="auto"/>
              <w:bottom w:val="single" w:sz="4" w:space="0" w:color="auto"/>
              <w:right w:val="single" w:sz="8" w:space="0" w:color="auto"/>
            </w:tcBorders>
            <w:vAlign w:val="center"/>
            <w:hideMark/>
          </w:tcPr>
          <w:p w14:paraId="3F85028F" w14:textId="77777777" w:rsidR="003914D2" w:rsidRDefault="003914D2">
            <w:pPr>
              <w:rPr>
                <w:rFonts w:ascii="Arial" w:hAnsi="Arial" w:cs="Arial"/>
                <w:color w:val="000000"/>
                <w:sz w:val="16"/>
                <w:szCs w:val="16"/>
              </w:rPr>
            </w:pPr>
            <w:r>
              <w:rPr>
                <w:rFonts w:ascii="Arial" w:hAnsi="Arial" w:cs="Arial"/>
                <w:sz w:val="16"/>
                <w:szCs w:val="16"/>
              </w:rPr>
              <w:t xml:space="preserve">Contribuciones Inherentes a la Nómina Sector Publico </w:t>
            </w:r>
          </w:p>
        </w:tc>
        <w:tc>
          <w:tcPr>
            <w:tcW w:w="0" w:type="auto"/>
            <w:tcBorders>
              <w:top w:val="single" w:sz="4" w:space="0" w:color="auto"/>
              <w:left w:val="nil"/>
              <w:bottom w:val="single" w:sz="4" w:space="0" w:color="auto"/>
              <w:right w:val="single" w:sz="8" w:space="0" w:color="auto"/>
            </w:tcBorders>
            <w:noWrap/>
            <w:vAlign w:val="center"/>
            <w:hideMark/>
          </w:tcPr>
          <w:p w14:paraId="6CBFF100" w14:textId="77777777" w:rsidR="003914D2" w:rsidRDefault="003914D2">
            <w:pPr>
              <w:jc w:val="right"/>
              <w:rPr>
                <w:rFonts w:ascii="Arial" w:hAnsi="Arial" w:cs="Arial"/>
                <w:color w:val="000000"/>
                <w:sz w:val="16"/>
                <w:szCs w:val="16"/>
              </w:rPr>
            </w:pPr>
            <w:r>
              <w:rPr>
                <w:rFonts w:ascii="Arial" w:hAnsi="Arial" w:cs="Arial"/>
                <w:sz w:val="16"/>
                <w:szCs w:val="16"/>
              </w:rPr>
              <w:t>2.452</w:t>
            </w:r>
          </w:p>
        </w:tc>
        <w:tc>
          <w:tcPr>
            <w:tcW w:w="0" w:type="auto"/>
            <w:tcBorders>
              <w:top w:val="single" w:sz="4" w:space="0" w:color="auto"/>
              <w:left w:val="nil"/>
              <w:bottom w:val="single" w:sz="4" w:space="0" w:color="auto"/>
              <w:right w:val="single" w:sz="8" w:space="0" w:color="auto"/>
            </w:tcBorders>
            <w:vAlign w:val="center"/>
            <w:hideMark/>
          </w:tcPr>
          <w:p w14:paraId="1A8D9107"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single" w:sz="4" w:space="0" w:color="auto"/>
              <w:left w:val="nil"/>
              <w:bottom w:val="single" w:sz="4" w:space="0" w:color="auto"/>
              <w:right w:val="single" w:sz="8" w:space="0" w:color="auto"/>
            </w:tcBorders>
            <w:noWrap/>
            <w:vAlign w:val="center"/>
            <w:hideMark/>
          </w:tcPr>
          <w:p w14:paraId="44016EF8" w14:textId="77777777" w:rsidR="003914D2" w:rsidRDefault="003914D2">
            <w:pPr>
              <w:jc w:val="right"/>
              <w:rPr>
                <w:rFonts w:ascii="Arial" w:hAnsi="Arial" w:cs="Arial"/>
                <w:color w:val="000000"/>
                <w:sz w:val="16"/>
                <w:szCs w:val="16"/>
              </w:rPr>
            </w:pPr>
            <w:r>
              <w:rPr>
                <w:rFonts w:ascii="Arial" w:hAnsi="Arial" w:cs="Arial"/>
                <w:sz w:val="16"/>
                <w:szCs w:val="16"/>
              </w:rPr>
              <w:t>2.422</w:t>
            </w:r>
          </w:p>
        </w:tc>
        <w:tc>
          <w:tcPr>
            <w:tcW w:w="0" w:type="auto"/>
            <w:tcBorders>
              <w:top w:val="single" w:sz="4" w:space="0" w:color="auto"/>
              <w:left w:val="nil"/>
              <w:bottom w:val="single" w:sz="4" w:space="0" w:color="auto"/>
              <w:right w:val="single" w:sz="8" w:space="0" w:color="auto"/>
            </w:tcBorders>
            <w:noWrap/>
            <w:vAlign w:val="center"/>
            <w:hideMark/>
          </w:tcPr>
          <w:p w14:paraId="060AE721" w14:textId="77777777" w:rsidR="003914D2" w:rsidRDefault="003914D2">
            <w:pPr>
              <w:jc w:val="right"/>
              <w:rPr>
                <w:rFonts w:ascii="Arial" w:hAnsi="Arial" w:cs="Arial"/>
                <w:color w:val="000000"/>
                <w:sz w:val="16"/>
                <w:szCs w:val="16"/>
              </w:rPr>
            </w:pPr>
            <w:r>
              <w:rPr>
                <w:rFonts w:ascii="Arial" w:hAnsi="Arial" w:cs="Arial"/>
                <w:sz w:val="16"/>
                <w:szCs w:val="16"/>
              </w:rPr>
              <w:t>1.981</w:t>
            </w:r>
          </w:p>
        </w:tc>
        <w:tc>
          <w:tcPr>
            <w:tcW w:w="0" w:type="auto"/>
            <w:tcBorders>
              <w:top w:val="single" w:sz="4" w:space="0" w:color="auto"/>
              <w:left w:val="nil"/>
              <w:bottom w:val="single" w:sz="4" w:space="0" w:color="auto"/>
              <w:right w:val="single" w:sz="8" w:space="0" w:color="auto"/>
            </w:tcBorders>
            <w:noWrap/>
            <w:vAlign w:val="center"/>
            <w:hideMark/>
          </w:tcPr>
          <w:p w14:paraId="6B5197F4" w14:textId="77777777" w:rsidR="003914D2" w:rsidRDefault="003914D2">
            <w:pPr>
              <w:jc w:val="right"/>
              <w:rPr>
                <w:rFonts w:ascii="Arial" w:hAnsi="Arial" w:cs="Arial"/>
                <w:color w:val="000000"/>
                <w:sz w:val="16"/>
                <w:szCs w:val="16"/>
              </w:rPr>
            </w:pPr>
            <w:r>
              <w:rPr>
                <w:rFonts w:ascii="Arial" w:hAnsi="Arial" w:cs="Arial"/>
                <w:sz w:val="16"/>
                <w:szCs w:val="16"/>
              </w:rPr>
              <w:t>1.191</w:t>
            </w:r>
          </w:p>
        </w:tc>
        <w:tc>
          <w:tcPr>
            <w:tcW w:w="0" w:type="auto"/>
            <w:tcBorders>
              <w:top w:val="single" w:sz="4" w:space="0" w:color="auto"/>
              <w:left w:val="nil"/>
              <w:bottom w:val="single" w:sz="4" w:space="0" w:color="auto"/>
              <w:right w:val="single" w:sz="8" w:space="0" w:color="auto"/>
            </w:tcBorders>
            <w:noWrap/>
            <w:vAlign w:val="center"/>
            <w:hideMark/>
          </w:tcPr>
          <w:p w14:paraId="343F69F9" w14:textId="77777777" w:rsidR="003914D2" w:rsidRDefault="003914D2">
            <w:pPr>
              <w:jc w:val="right"/>
              <w:rPr>
                <w:rFonts w:ascii="Arial" w:hAnsi="Arial" w:cs="Arial"/>
                <w:color w:val="000000"/>
                <w:sz w:val="16"/>
                <w:szCs w:val="16"/>
              </w:rPr>
            </w:pPr>
            <w:r>
              <w:rPr>
                <w:rFonts w:ascii="Arial" w:hAnsi="Arial" w:cs="Arial"/>
                <w:sz w:val="16"/>
                <w:szCs w:val="16"/>
              </w:rPr>
              <w:t>1.191</w:t>
            </w:r>
          </w:p>
        </w:tc>
        <w:tc>
          <w:tcPr>
            <w:tcW w:w="0" w:type="auto"/>
            <w:tcBorders>
              <w:top w:val="single" w:sz="4" w:space="0" w:color="auto"/>
              <w:left w:val="nil"/>
              <w:bottom w:val="single" w:sz="4" w:space="0" w:color="auto"/>
              <w:right w:val="single" w:sz="8" w:space="0" w:color="auto"/>
            </w:tcBorders>
            <w:noWrap/>
            <w:vAlign w:val="center"/>
            <w:hideMark/>
          </w:tcPr>
          <w:p w14:paraId="7FD1325F" w14:textId="77777777" w:rsidR="003914D2" w:rsidRDefault="003914D2">
            <w:pPr>
              <w:jc w:val="right"/>
              <w:rPr>
                <w:rFonts w:ascii="Arial" w:hAnsi="Arial" w:cs="Arial"/>
                <w:color w:val="000000"/>
                <w:sz w:val="16"/>
                <w:szCs w:val="16"/>
              </w:rPr>
            </w:pPr>
            <w:r>
              <w:rPr>
                <w:rFonts w:ascii="Arial" w:hAnsi="Arial" w:cs="Arial"/>
                <w:sz w:val="16"/>
                <w:szCs w:val="16"/>
              </w:rPr>
              <w:t>1.191</w:t>
            </w:r>
          </w:p>
        </w:tc>
      </w:tr>
      <w:tr w:rsidR="003914D2" w14:paraId="48C210EA" w14:textId="77777777" w:rsidTr="003914D2">
        <w:trPr>
          <w:trHeight w:val="465"/>
        </w:trPr>
        <w:tc>
          <w:tcPr>
            <w:tcW w:w="0" w:type="auto"/>
            <w:tcBorders>
              <w:top w:val="single" w:sz="4" w:space="0" w:color="auto"/>
              <w:left w:val="single" w:sz="8" w:space="0" w:color="auto"/>
              <w:bottom w:val="single" w:sz="8" w:space="0" w:color="auto"/>
              <w:right w:val="single" w:sz="8" w:space="0" w:color="auto"/>
            </w:tcBorders>
            <w:vAlign w:val="center"/>
            <w:hideMark/>
          </w:tcPr>
          <w:p w14:paraId="183F41C1" w14:textId="77777777" w:rsidR="003914D2" w:rsidRDefault="003914D2">
            <w:pPr>
              <w:rPr>
                <w:rFonts w:ascii="Arial" w:hAnsi="Arial" w:cs="Arial"/>
                <w:color w:val="000000"/>
                <w:sz w:val="16"/>
                <w:szCs w:val="16"/>
              </w:rPr>
            </w:pPr>
            <w:r>
              <w:rPr>
                <w:rFonts w:ascii="Arial" w:hAnsi="Arial" w:cs="Arial"/>
                <w:sz w:val="16"/>
                <w:szCs w:val="16"/>
              </w:rPr>
              <w:t>Contribuciones Inherentes a la Nómina Sector Privado</w:t>
            </w:r>
          </w:p>
        </w:tc>
        <w:tc>
          <w:tcPr>
            <w:tcW w:w="0" w:type="auto"/>
            <w:tcBorders>
              <w:top w:val="single" w:sz="4" w:space="0" w:color="auto"/>
              <w:left w:val="nil"/>
              <w:bottom w:val="single" w:sz="8" w:space="0" w:color="auto"/>
              <w:right w:val="single" w:sz="8" w:space="0" w:color="auto"/>
            </w:tcBorders>
            <w:noWrap/>
            <w:vAlign w:val="center"/>
            <w:hideMark/>
          </w:tcPr>
          <w:p w14:paraId="4DCA39D1" w14:textId="77777777" w:rsidR="003914D2" w:rsidRDefault="003914D2">
            <w:pPr>
              <w:jc w:val="right"/>
              <w:rPr>
                <w:rFonts w:ascii="Arial" w:hAnsi="Arial" w:cs="Arial"/>
                <w:color w:val="000000"/>
                <w:sz w:val="16"/>
                <w:szCs w:val="16"/>
              </w:rPr>
            </w:pPr>
            <w:r>
              <w:rPr>
                <w:rFonts w:ascii="Arial" w:hAnsi="Arial" w:cs="Arial"/>
                <w:sz w:val="16"/>
                <w:szCs w:val="16"/>
              </w:rPr>
              <w:t>2.499</w:t>
            </w:r>
          </w:p>
        </w:tc>
        <w:tc>
          <w:tcPr>
            <w:tcW w:w="0" w:type="auto"/>
            <w:tcBorders>
              <w:top w:val="single" w:sz="4" w:space="0" w:color="auto"/>
              <w:left w:val="nil"/>
              <w:bottom w:val="single" w:sz="8" w:space="0" w:color="auto"/>
              <w:right w:val="single" w:sz="8" w:space="0" w:color="auto"/>
            </w:tcBorders>
            <w:vAlign w:val="center"/>
            <w:hideMark/>
          </w:tcPr>
          <w:p w14:paraId="6218E350"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single" w:sz="4" w:space="0" w:color="auto"/>
              <w:left w:val="nil"/>
              <w:bottom w:val="single" w:sz="8" w:space="0" w:color="auto"/>
              <w:right w:val="single" w:sz="8" w:space="0" w:color="auto"/>
            </w:tcBorders>
            <w:noWrap/>
            <w:vAlign w:val="center"/>
            <w:hideMark/>
          </w:tcPr>
          <w:p w14:paraId="6FD54C7A" w14:textId="77777777" w:rsidR="003914D2" w:rsidRDefault="003914D2">
            <w:pPr>
              <w:jc w:val="right"/>
              <w:rPr>
                <w:rFonts w:ascii="Arial" w:hAnsi="Arial" w:cs="Arial"/>
                <w:color w:val="000000"/>
                <w:sz w:val="16"/>
                <w:szCs w:val="16"/>
              </w:rPr>
            </w:pPr>
            <w:r>
              <w:rPr>
                <w:rFonts w:ascii="Arial" w:hAnsi="Arial" w:cs="Arial"/>
                <w:sz w:val="16"/>
                <w:szCs w:val="16"/>
              </w:rPr>
              <w:t>2.529</w:t>
            </w:r>
          </w:p>
        </w:tc>
        <w:tc>
          <w:tcPr>
            <w:tcW w:w="0" w:type="auto"/>
            <w:tcBorders>
              <w:top w:val="single" w:sz="4" w:space="0" w:color="auto"/>
              <w:left w:val="nil"/>
              <w:bottom w:val="single" w:sz="8" w:space="0" w:color="auto"/>
              <w:right w:val="single" w:sz="8" w:space="0" w:color="auto"/>
            </w:tcBorders>
            <w:noWrap/>
            <w:vAlign w:val="center"/>
            <w:hideMark/>
          </w:tcPr>
          <w:p w14:paraId="64E3CB0C" w14:textId="77777777" w:rsidR="003914D2" w:rsidRDefault="003914D2">
            <w:pPr>
              <w:jc w:val="right"/>
              <w:rPr>
                <w:rFonts w:ascii="Arial" w:hAnsi="Arial" w:cs="Arial"/>
                <w:color w:val="000000"/>
                <w:sz w:val="16"/>
                <w:szCs w:val="16"/>
              </w:rPr>
            </w:pPr>
            <w:r>
              <w:rPr>
                <w:rFonts w:ascii="Arial" w:hAnsi="Arial" w:cs="Arial"/>
                <w:sz w:val="16"/>
                <w:szCs w:val="16"/>
              </w:rPr>
              <w:t>2.029</w:t>
            </w:r>
          </w:p>
        </w:tc>
        <w:tc>
          <w:tcPr>
            <w:tcW w:w="0" w:type="auto"/>
            <w:tcBorders>
              <w:top w:val="single" w:sz="4" w:space="0" w:color="auto"/>
              <w:left w:val="nil"/>
              <w:bottom w:val="single" w:sz="8" w:space="0" w:color="auto"/>
              <w:right w:val="single" w:sz="8" w:space="0" w:color="auto"/>
            </w:tcBorders>
            <w:noWrap/>
            <w:vAlign w:val="center"/>
            <w:hideMark/>
          </w:tcPr>
          <w:p w14:paraId="11F16666" w14:textId="77777777" w:rsidR="003914D2" w:rsidRDefault="003914D2">
            <w:pPr>
              <w:jc w:val="right"/>
              <w:rPr>
                <w:rFonts w:ascii="Arial" w:hAnsi="Arial" w:cs="Arial"/>
                <w:color w:val="000000"/>
                <w:sz w:val="16"/>
                <w:szCs w:val="16"/>
              </w:rPr>
            </w:pPr>
            <w:r>
              <w:rPr>
                <w:rFonts w:ascii="Arial" w:hAnsi="Arial" w:cs="Arial"/>
                <w:sz w:val="16"/>
                <w:szCs w:val="16"/>
              </w:rPr>
              <w:t>994</w:t>
            </w:r>
          </w:p>
        </w:tc>
        <w:tc>
          <w:tcPr>
            <w:tcW w:w="0" w:type="auto"/>
            <w:tcBorders>
              <w:top w:val="single" w:sz="4" w:space="0" w:color="auto"/>
              <w:left w:val="nil"/>
              <w:bottom w:val="single" w:sz="8" w:space="0" w:color="auto"/>
              <w:right w:val="single" w:sz="8" w:space="0" w:color="auto"/>
            </w:tcBorders>
            <w:noWrap/>
            <w:vAlign w:val="center"/>
            <w:hideMark/>
          </w:tcPr>
          <w:p w14:paraId="74F22521" w14:textId="77777777" w:rsidR="003914D2" w:rsidRDefault="003914D2">
            <w:pPr>
              <w:jc w:val="right"/>
              <w:rPr>
                <w:rFonts w:ascii="Arial" w:hAnsi="Arial" w:cs="Arial"/>
                <w:color w:val="000000"/>
                <w:sz w:val="16"/>
                <w:szCs w:val="16"/>
              </w:rPr>
            </w:pPr>
            <w:r>
              <w:rPr>
                <w:rFonts w:ascii="Arial" w:hAnsi="Arial" w:cs="Arial"/>
                <w:sz w:val="16"/>
                <w:szCs w:val="16"/>
              </w:rPr>
              <w:t>994</w:t>
            </w:r>
          </w:p>
        </w:tc>
        <w:tc>
          <w:tcPr>
            <w:tcW w:w="0" w:type="auto"/>
            <w:tcBorders>
              <w:top w:val="single" w:sz="4" w:space="0" w:color="auto"/>
              <w:left w:val="nil"/>
              <w:bottom w:val="single" w:sz="8" w:space="0" w:color="auto"/>
              <w:right w:val="single" w:sz="8" w:space="0" w:color="auto"/>
            </w:tcBorders>
            <w:noWrap/>
            <w:vAlign w:val="center"/>
            <w:hideMark/>
          </w:tcPr>
          <w:p w14:paraId="0887472C" w14:textId="77777777" w:rsidR="003914D2" w:rsidRDefault="003914D2">
            <w:pPr>
              <w:jc w:val="right"/>
              <w:rPr>
                <w:rFonts w:ascii="Arial" w:hAnsi="Arial" w:cs="Arial"/>
                <w:color w:val="000000"/>
                <w:sz w:val="16"/>
                <w:szCs w:val="16"/>
              </w:rPr>
            </w:pPr>
            <w:r>
              <w:rPr>
                <w:rFonts w:ascii="Arial" w:hAnsi="Arial" w:cs="Arial"/>
                <w:sz w:val="16"/>
                <w:szCs w:val="16"/>
              </w:rPr>
              <w:t>994</w:t>
            </w:r>
          </w:p>
        </w:tc>
      </w:tr>
      <w:tr w:rsidR="003914D2" w14:paraId="30E3187C"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580FC81C" w14:textId="77777777" w:rsidR="003914D2" w:rsidRDefault="003914D2">
            <w:pPr>
              <w:rPr>
                <w:rFonts w:ascii="Arial" w:hAnsi="Arial" w:cs="Arial"/>
                <w:color w:val="000000"/>
                <w:sz w:val="16"/>
                <w:szCs w:val="16"/>
              </w:rPr>
            </w:pPr>
            <w:r>
              <w:rPr>
                <w:rFonts w:ascii="Arial" w:hAnsi="Arial" w:cs="Arial"/>
                <w:sz w:val="16"/>
                <w:szCs w:val="16"/>
              </w:rPr>
              <w:t>Aportes al ICBF</w:t>
            </w:r>
          </w:p>
        </w:tc>
        <w:tc>
          <w:tcPr>
            <w:tcW w:w="0" w:type="auto"/>
            <w:tcBorders>
              <w:top w:val="nil"/>
              <w:left w:val="nil"/>
              <w:bottom w:val="single" w:sz="8" w:space="0" w:color="auto"/>
              <w:right w:val="single" w:sz="8" w:space="0" w:color="auto"/>
            </w:tcBorders>
            <w:noWrap/>
            <w:vAlign w:val="center"/>
            <w:hideMark/>
          </w:tcPr>
          <w:p w14:paraId="707CB19C" w14:textId="77777777" w:rsidR="003914D2" w:rsidRDefault="003914D2">
            <w:pPr>
              <w:jc w:val="right"/>
              <w:rPr>
                <w:rFonts w:ascii="Arial" w:hAnsi="Arial" w:cs="Arial"/>
                <w:color w:val="000000"/>
                <w:sz w:val="16"/>
                <w:szCs w:val="16"/>
              </w:rPr>
            </w:pPr>
            <w:r>
              <w:rPr>
                <w:rFonts w:ascii="Arial" w:hAnsi="Arial" w:cs="Arial"/>
                <w:sz w:val="16"/>
                <w:szCs w:val="16"/>
              </w:rPr>
              <w:t>377</w:t>
            </w:r>
          </w:p>
        </w:tc>
        <w:tc>
          <w:tcPr>
            <w:tcW w:w="0" w:type="auto"/>
            <w:tcBorders>
              <w:top w:val="nil"/>
              <w:left w:val="nil"/>
              <w:bottom w:val="single" w:sz="8" w:space="0" w:color="auto"/>
              <w:right w:val="single" w:sz="8" w:space="0" w:color="auto"/>
            </w:tcBorders>
            <w:noWrap/>
            <w:vAlign w:val="center"/>
            <w:hideMark/>
          </w:tcPr>
          <w:p w14:paraId="7AB6ACE6"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4D13DDBA" w14:textId="77777777" w:rsidR="003914D2" w:rsidRDefault="003914D2">
            <w:pPr>
              <w:jc w:val="right"/>
              <w:rPr>
                <w:rFonts w:ascii="Arial" w:hAnsi="Arial" w:cs="Arial"/>
                <w:color w:val="000000"/>
                <w:sz w:val="16"/>
                <w:szCs w:val="16"/>
              </w:rPr>
            </w:pPr>
            <w:r>
              <w:rPr>
                <w:rFonts w:ascii="Arial" w:hAnsi="Arial" w:cs="Arial"/>
                <w:sz w:val="16"/>
                <w:szCs w:val="16"/>
              </w:rPr>
              <w:t>377</w:t>
            </w:r>
          </w:p>
        </w:tc>
        <w:tc>
          <w:tcPr>
            <w:tcW w:w="0" w:type="auto"/>
            <w:tcBorders>
              <w:top w:val="nil"/>
              <w:left w:val="nil"/>
              <w:bottom w:val="single" w:sz="8" w:space="0" w:color="auto"/>
              <w:right w:val="single" w:sz="8" w:space="0" w:color="auto"/>
            </w:tcBorders>
            <w:noWrap/>
            <w:vAlign w:val="center"/>
            <w:hideMark/>
          </w:tcPr>
          <w:p w14:paraId="0E2E1140" w14:textId="77777777" w:rsidR="003914D2" w:rsidRDefault="003914D2">
            <w:pPr>
              <w:jc w:val="right"/>
              <w:rPr>
                <w:rFonts w:ascii="Arial" w:hAnsi="Arial" w:cs="Arial"/>
                <w:color w:val="000000"/>
                <w:sz w:val="16"/>
                <w:szCs w:val="16"/>
              </w:rPr>
            </w:pPr>
            <w:r>
              <w:rPr>
                <w:rFonts w:ascii="Arial" w:hAnsi="Arial" w:cs="Arial"/>
                <w:sz w:val="16"/>
                <w:szCs w:val="16"/>
              </w:rPr>
              <w:t>302</w:t>
            </w:r>
          </w:p>
        </w:tc>
        <w:tc>
          <w:tcPr>
            <w:tcW w:w="0" w:type="auto"/>
            <w:tcBorders>
              <w:top w:val="nil"/>
              <w:left w:val="nil"/>
              <w:bottom w:val="single" w:sz="8" w:space="0" w:color="auto"/>
              <w:right w:val="single" w:sz="8" w:space="0" w:color="auto"/>
            </w:tcBorders>
            <w:noWrap/>
            <w:vAlign w:val="center"/>
            <w:hideMark/>
          </w:tcPr>
          <w:p w14:paraId="18586E36" w14:textId="77777777" w:rsidR="003914D2" w:rsidRDefault="003914D2">
            <w:pPr>
              <w:jc w:val="right"/>
              <w:rPr>
                <w:rFonts w:ascii="Arial" w:hAnsi="Arial" w:cs="Arial"/>
                <w:color w:val="000000"/>
                <w:sz w:val="16"/>
                <w:szCs w:val="16"/>
              </w:rPr>
            </w:pPr>
            <w:r>
              <w:rPr>
                <w:rFonts w:ascii="Arial" w:hAnsi="Arial" w:cs="Arial"/>
                <w:sz w:val="16"/>
                <w:szCs w:val="16"/>
              </w:rPr>
              <w:t>194</w:t>
            </w:r>
          </w:p>
        </w:tc>
        <w:tc>
          <w:tcPr>
            <w:tcW w:w="0" w:type="auto"/>
            <w:tcBorders>
              <w:top w:val="nil"/>
              <w:left w:val="nil"/>
              <w:bottom w:val="single" w:sz="8" w:space="0" w:color="auto"/>
              <w:right w:val="single" w:sz="8" w:space="0" w:color="auto"/>
            </w:tcBorders>
            <w:noWrap/>
            <w:vAlign w:val="center"/>
            <w:hideMark/>
          </w:tcPr>
          <w:p w14:paraId="1388DCAB" w14:textId="77777777" w:rsidR="003914D2" w:rsidRDefault="003914D2">
            <w:pPr>
              <w:jc w:val="right"/>
              <w:rPr>
                <w:rFonts w:ascii="Arial" w:hAnsi="Arial" w:cs="Arial"/>
                <w:color w:val="000000"/>
                <w:sz w:val="16"/>
                <w:szCs w:val="16"/>
              </w:rPr>
            </w:pPr>
            <w:r>
              <w:rPr>
                <w:rFonts w:ascii="Arial" w:hAnsi="Arial" w:cs="Arial"/>
                <w:sz w:val="16"/>
                <w:szCs w:val="16"/>
              </w:rPr>
              <w:t>194</w:t>
            </w:r>
          </w:p>
        </w:tc>
        <w:tc>
          <w:tcPr>
            <w:tcW w:w="0" w:type="auto"/>
            <w:tcBorders>
              <w:top w:val="nil"/>
              <w:left w:val="nil"/>
              <w:bottom w:val="single" w:sz="8" w:space="0" w:color="auto"/>
              <w:right w:val="single" w:sz="8" w:space="0" w:color="auto"/>
            </w:tcBorders>
            <w:noWrap/>
            <w:vAlign w:val="center"/>
            <w:hideMark/>
          </w:tcPr>
          <w:p w14:paraId="048657CD" w14:textId="77777777" w:rsidR="003914D2" w:rsidRDefault="003914D2">
            <w:pPr>
              <w:jc w:val="right"/>
              <w:rPr>
                <w:rFonts w:ascii="Arial" w:hAnsi="Arial" w:cs="Arial"/>
                <w:color w:val="000000"/>
                <w:sz w:val="16"/>
                <w:szCs w:val="16"/>
              </w:rPr>
            </w:pPr>
            <w:r>
              <w:rPr>
                <w:rFonts w:ascii="Arial" w:hAnsi="Arial" w:cs="Arial"/>
                <w:sz w:val="16"/>
                <w:szCs w:val="16"/>
              </w:rPr>
              <w:t>194</w:t>
            </w:r>
          </w:p>
        </w:tc>
      </w:tr>
      <w:tr w:rsidR="003914D2" w14:paraId="2BF95277" w14:textId="77777777" w:rsidTr="003914D2">
        <w:trPr>
          <w:trHeight w:val="315"/>
        </w:trPr>
        <w:tc>
          <w:tcPr>
            <w:tcW w:w="0" w:type="auto"/>
            <w:tcBorders>
              <w:top w:val="nil"/>
              <w:left w:val="single" w:sz="8" w:space="0" w:color="auto"/>
              <w:bottom w:val="single" w:sz="8" w:space="0" w:color="auto"/>
              <w:right w:val="single" w:sz="8" w:space="0" w:color="auto"/>
            </w:tcBorders>
            <w:noWrap/>
            <w:vAlign w:val="center"/>
            <w:hideMark/>
          </w:tcPr>
          <w:p w14:paraId="132F0BB1" w14:textId="77777777" w:rsidR="003914D2" w:rsidRDefault="003914D2">
            <w:pPr>
              <w:rPr>
                <w:rFonts w:ascii="Arial" w:hAnsi="Arial" w:cs="Arial"/>
                <w:color w:val="000000"/>
                <w:sz w:val="16"/>
                <w:szCs w:val="16"/>
              </w:rPr>
            </w:pPr>
            <w:r>
              <w:rPr>
                <w:rFonts w:ascii="Arial" w:hAnsi="Arial" w:cs="Arial"/>
                <w:sz w:val="16"/>
                <w:szCs w:val="16"/>
              </w:rPr>
              <w:t>Aportes al SENA</w:t>
            </w:r>
          </w:p>
        </w:tc>
        <w:tc>
          <w:tcPr>
            <w:tcW w:w="0" w:type="auto"/>
            <w:tcBorders>
              <w:top w:val="nil"/>
              <w:left w:val="nil"/>
              <w:bottom w:val="single" w:sz="8" w:space="0" w:color="auto"/>
              <w:right w:val="single" w:sz="8" w:space="0" w:color="auto"/>
            </w:tcBorders>
            <w:noWrap/>
            <w:vAlign w:val="center"/>
            <w:hideMark/>
          </w:tcPr>
          <w:p w14:paraId="0EE03316" w14:textId="77777777" w:rsidR="003914D2" w:rsidRDefault="003914D2">
            <w:pPr>
              <w:jc w:val="right"/>
              <w:rPr>
                <w:rFonts w:ascii="Arial" w:hAnsi="Arial" w:cs="Arial"/>
                <w:color w:val="000000"/>
                <w:sz w:val="16"/>
                <w:szCs w:val="16"/>
              </w:rPr>
            </w:pPr>
            <w:r>
              <w:rPr>
                <w:rFonts w:ascii="Arial" w:hAnsi="Arial" w:cs="Arial"/>
                <w:sz w:val="16"/>
                <w:szCs w:val="16"/>
              </w:rPr>
              <w:t>251</w:t>
            </w:r>
          </w:p>
        </w:tc>
        <w:tc>
          <w:tcPr>
            <w:tcW w:w="0" w:type="auto"/>
            <w:tcBorders>
              <w:top w:val="nil"/>
              <w:left w:val="nil"/>
              <w:bottom w:val="single" w:sz="8" w:space="0" w:color="auto"/>
              <w:right w:val="single" w:sz="8" w:space="0" w:color="auto"/>
            </w:tcBorders>
            <w:noWrap/>
            <w:vAlign w:val="center"/>
            <w:hideMark/>
          </w:tcPr>
          <w:p w14:paraId="4A1485CB" w14:textId="77777777" w:rsidR="003914D2" w:rsidRDefault="003914D2">
            <w:pPr>
              <w:rPr>
                <w:rFonts w:ascii="Arial" w:hAnsi="Arial" w:cs="Arial"/>
                <w:color w:val="000000"/>
                <w:sz w:val="16"/>
                <w:szCs w:val="16"/>
              </w:rPr>
            </w:pPr>
            <w:r>
              <w:rPr>
                <w:rFonts w:ascii="Arial" w:hAnsi="Arial" w:cs="Arial"/>
                <w:sz w:val="16"/>
                <w:szCs w:val="16"/>
              </w:rPr>
              <w:t> </w:t>
            </w:r>
          </w:p>
        </w:tc>
        <w:tc>
          <w:tcPr>
            <w:tcW w:w="0" w:type="auto"/>
            <w:tcBorders>
              <w:top w:val="nil"/>
              <w:left w:val="nil"/>
              <w:bottom w:val="single" w:sz="8" w:space="0" w:color="auto"/>
              <w:right w:val="single" w:sz="8" w:space="0" w:color="auto"/>
            </w:tcBorders>
            <w:noWrap/>
            <w:vAlign w:val="center"/>
            <w:hideMark/>
          </w:tcPr>
          <w:p w14:paraId="105D9C6F" w14:textId="77777777" w:rsidR="003914D2" w:rsidRDefault="003914D2">
            <w:pPr>
              <w:jc w:val="right"/>
              <w:rPr>
                <w:rFonts w:ascii="Arial" w:hAnsi="Arial" w:cs="Arial"/>
                <w:color w:val="000000"/>
                <w:sz w:val="16"/>
                <w:szCs w:val="16"/>
              </w:rPr>
            </w:pPr>
            <w:r>
              <w:rPr>
                <w:rFonts w:ascii="Arial" w:hAnsi="Arial" w:cs="Arial"/>
                <w:sz w:val="16"/>
                <w:szCs w:val="16"/>
              </w:rPr>
              <w:t>251</w:t>
            </w:r>
          </w:p>
        </w:tc>
        <w:tc>
          <w:tcPr>
            <w:tcW w:w="0" w:type="auto"/>
            <w:tcBorders>
              <w:top w:val="nil"/>
              <w:left w:val="nil"/>
              <w:bottom w:val="single" w:sz="8" w:space="0" w:color="auto"/>
              <w:right w:val="single" w:sz="8" w:space="0" w:color="auto"/>
            </w:tcBorders>
            <w:noWrap/>
            <w:vAlign w:val="center"/>
            <w:hideMark/>
          </w:tcPr>
          <w:p w14:paraId="72470013" w14:textId="77777777" w:rsidR="003914D2" w:rsidRDefault="003914D2">
            <w:pPr>
              <w:jc w:val="right"/>
              <w:rPr>
                <w:rFonts w:ascii="Arial" w:hAnsi="Arial" w:cs="Arial"/>
                <w:color w:val="000000"/>
                <w:sz w:val="16"/>
                <w:szCs w:val="16"/>
              </w:rPr>
            </w:pPr>
            <w:r>
              <w:rPr>
                <w:rFonts w:ascii="Arial" w:hAnsi="Arial" w:cs="Arial"/>
                <w:sz w:val="16"/>
                <w:szCs w:val="16"/>
              </w:rPr>
              <w:t>201</w:t>
            </w:r>
          </w:p>
        </w:tc>
        <w:tc>
          <w:tcPr>
            <w:tcW w:w="0" w:type="auto"/>
            <w:tcBorders>
              <w:top w:val="nil"/>
              <w:left w:val="nil"/>
              <w:bottom w:val="single" w:sz="8" w:space="0" w:color="auto"/>
              <w:right w:val="single" w:sz="8" w:space="0" w:color="auto"/>
            </w:tcBorders>
            <w:noWrap/>
            <w:vAlign w:val="center"/>
            <w:hideMark/>
          </w:tcPr>
          <w:p w14:paraId="28DACA1F" w14:textId="77777777" w:rsidR="003914D2" w:rsidRDefault="003914D2">
            <w:pPr>
              <w:jc w:val="right"/>
              <w:rPr>
                <w:rFonts w:ascii="Arial" w:hAnsi="Arial" w:cs="Arial"/>
                <w:color w:val="000000"/>
                <w:sz w:val="16"/>
                <w:szCs w:val="16"/>
              </w:rPr>
            </w:pPr>
            <w:r>
              <w:rPr>
                <w:rFonts w:ascii="Arial" w:hAnsi="Arial" w:cs="Arial"/>
                <w:sz w:val="16"/>
                <w:szCs w:val="16"/>
              </w:rPr>
              <w:t>129</w:t>
            </w:r>
          </w:p>
        </w:tc>
        <w:tc>
          <w:tcPr>
            <w:tcW w:w="0" w:type="auto"/>
            <w:tcBorders>
              <w:top w:val="nil"/>
              <w:left w:val="nil"/>
              <w:bottom w:val="single" w:sz="8" w:space="0" w:color="auto"/>
              <w:right w:val="single" w:sz="8" w:space="0" w:color="auto"/>
            </w:tcBorders>
            <w:noWrap/>
            <w:vAlign w:val="center"/>
            <w:hideMark/>
          </w:tcPr>
          <w:p w14:paraId="6C88CC6B" w14:textId="77777777" w:rsidR="003914D2" w:rsidRDefault="003914D2">
            <w:pPr>
              <w:jc w:val="right"/>
              <w:rPr>
                <w:rFonts w:ascii="Arial" w:hAnsi="Arial" w:cs="Arial"/>
                <w:color w:val="000000"/>
                <w:sz w:val="16"/>
                <w:szCs w:val="16"/>
              </w:rPr>
            </w:pPr>
            <w:r>
              <w:rPr>
                <w:rFonts w:ascii="Arial" w:hAnsi="Arial" w:cs="Arial"/>
                <w:sz w:val="16"/>
                <w:szCs w:val="16"/>
              </w:rPr>
              <w:t>129</w:t>
            </w:r>
          </w:p>
        </w:tc>
        <w:tc>
          <w:tcPr>
            <w:tcW w:w="0" w:type="auto"/>
            <w:tcBorders>
              <w:top w:val="nil"/>
              <w:left w:val="nil"/>
              <w:bottom w:val="single" w:sz="8" w:space="0" w:color="auto"/>
              <w:right w:val="single" w:sz="8" w:space="0" w:color="auto"/>
            </w:tcBorders>
            <w:noWrap/>
            <w:vAlign w:val="center"/>
            <w:hideMark/>
          </w:tcPr>
          <w:p w14:paraId="571717CF" w14:textId="77777777" w:rsidR="003914D2" w:rsidRDefault="003914D2">
            <w:pPr>
              <w:jc w:val="right"/>
              <w:rPr>
                <w:rFonts w:ascii="Arial" w:hAnsi="Arial" w:cs="Arial"/>
                <w:color w:val="000000"/>
                <w:sz w:val="16"/>
                <w:szCs w:val="16"/>
              </w:rPr>
            </w:pPr>
            <w:r>
              <w:rPr>
                <w:rFonts w:ascii="Arial" w:hAnsi="Arial" w:cs="Arial"/>
                <w:sz w:val="16"/>
                <w:szCs w:val="16"/>
              </w:rPr>
              <w:t>129</w:t>
            </w:r>
          </w:p>
        </w:tc>
      </w:tr>
      <w:tr w:rsidR="003914D2" w14:paraId="0B19FE8C" w14:textId="77777777" w:rsidTr="003914D2">
        <w:trPr>
          <w:trHeight w:val="465"/>
        </w:trPr>
        <w:tc>
          <w:tcPr>
            <w:tcW w:w="0" w:type="auto"/>
            <w:tcBorders>
              <w:top w:val="nil"/>
              <w:left w:val="single" w:sz="8" w:space="0" w:color="auto"/>
              <w:bottom w:val="single" w:sz="8" w:space="0" w:color="auto"/>
              <w:right w:val="single" w:sz="8" w:space="0" w:color="auto"/>
            </w:tcBorders>
            <w:shd w:val="clear" w:color="auto" w:fill="4F81BD" w:themeFill="accent1"/>
            <w:vAlign w:val="center"/>
            <w:hideMark/>
          </w:tcPr>
          <w:p w14:paraId="16DD7926" w14:textId="77777777" w:rsidR="003914D2" w:rsidRDefault="003914D2">
            <w:pPr>
              <w:rPr>
                <w:rFonts w:ascii="Arial" w:hAnsi="Arial" w:cs="Arial"/>
                <w:b/>
                <w:bCs/>
                <w:color w:val="000000"/>
                <w:sz w:val="16"/>
                <w:szCs w:val="16"/>
              </w:rPr>
            </w:pPr>
            <w:r>
              <w:rPr>
                <w:rFonts w:ascii="Arial" w:hAnsi="Arial" w:cs="Arial"/>
                <w:b/>
                <w:bCs/>
                <w:sz w:val="16"/>
                <w:szCs w:val="16"/>
              </w:rPr>
              <w:t>Total, Gastos de Personal</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497D5915" w14:textId="77777777" w:rsidR="003914D2" w:rsidRDefault="003914D2">
            <w:pPr>
              <w:jc w:val="right"/>
              <w:rPr>
                <w:rFonts w:ascii="Arial" w:hAnsi="Arial" w:cs="Arial"/>
                <w:b/>
                <w:bCs/>
                <w:color w:val="000000"/>
                <w:sz w:val="16"/>
                <w:szCs w:val="16"/>
              </w:rPr>
            </w:pPr>
            <w:r>
              <w:rPr>
                <w:rFonts w:ascii="Arial" w:hAnsi="Arial" w:cs="Arial"/>
                <w:b/>
                <w:bCs/>
                <w:sz w:val="16"/>
                <w:szCs w:val="16"/>
              </w:rPr>
              <w:t>26.551</w:t>
            </w:r>
          </w:p>
        </w:tc>
        <w:tc>
          <w:tcPr>
            <w:tcW w:w="0" w:type="auto"/>
            <w:tcBorders>
              <w:top w:val="nil"/>
              <w:left w:val="nil"/>
              <w:bottom w:val="single" w:sz="8" w:space="0" w:color="auto"/>
              <w:right w:val="single" w:sz="8" w:space="0" w:color="auto"/>
            </w:tcBorders>
            <w:shd w:val="clear" w:color="auto" w:fill="4F81BD" w:themeFill="accent1"/>
            <w:vAlign w:val="center"/>
            <w:hideMark/>
          </w:tcPr>
          <w:p w14:paraId="68CF4FE5" w14:textId="77777777" w:rsidR="003914D2" w:rsidRDefault="003914D2">
            <w:pPr>
              <w:jc w:val="right"/>
              <w:rPr>
                <w:rFonts w:ascii="Arial" w:hAnsi="Arial" w:cs="Arial"/>
                <w:b/>
                <w:bCs/>
                <w:color w:val="000000"/>
                <w:sz w:val="16"/>
                <w:szCs w:val="16"/>
              </w:rPr>
            </w:pPr>
            <w:r>
              <w:rPr>
                <w:rFonts w:ascii="Arial" w:hAnsi="Arial" w:cs="Arial"/>
                <w:b/>
                <w:bCs/>
                <w:sz w:val="16"/>
                <w:szCs w:val="16"/>
              </w:rPr>
              <w:t>1.204</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7438F927" w14:textId="77777777" w:rsidR="003914D2" w:rsidRDefault="003914D2">
            <w:pPr>
              <w:jc w:val="right"/>
              <w:rPr>
                <w:rFonts w:ascii="Arial" w:hAnsi="Arial" w:cs="Arial"/>
                <w:b/>
                <w:bCs/>
                <w:color w:val="000000"/>
                <w:sz w:val="16"/>
                <w:szCs w:val="16"/>
              </w:rPr>
            </w:pPr>
            <w:r>
              <w:rPr>
                <w:rFonts w:ascii="Arial" w:hAnsi="Arial" w:cs="Arial"/>
                <w:b/>
                <w:bCs/>
                <w:sz w:val="16"/>
                <w:szCs w:val="16"/>
              </w:rPr>
              <w:t>25.347</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48BB3BC3" w14:textId="77777777" w:rsidR="003914D2" w:rsidRDefault="003914D2">
            <w:pPr>
              <w:jc w:val="right"/>
              <w:rPr>
                <w:rFonts w:ascii="Arial" w:hAnsi="Arial" w:cs="Arial"/>
                <w:b/>
                <w:bCs/>
                <w:color w:val="000000"/>
                <w:sz w:val="16"/>
                <w:szCs w:val="16"/>
              </w:rPr>
            </w:pPr>
            <w:r>
              <w:rPr>
                <w:rFonts w:ascii="Arial" w:hAnsi="Arial" w:cs="Arial"/>
                <w:b/>
                <w:bCs/>
                <w:sz w:val="16"/>
                <w:szCs w:val="16"/>
              </w:rPr>
              <w:t>19.804</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51F08593" w14:textId="77777777" w:rsidR="003914D2" w:rsidRDefault="003914D2">
            <w:pPr>
              <w:jc w:val="right"/>
              <w:rPr>
                <w:rFonts w:ascii="Arial" w:hAnsi="Arial" w:cs="Arial"/>
                <w:color w:val="000000"/>
                <w:sz w:val="16"/>
                <w:szCs w:val="16"/>
              </w:rPr>
            </w:pPr>
            <w:r>
              <w:rPr>
                <w:rFonts w:ascii="Arial" w:hAnsi="Arial" w:cs="Arial"/>
                <w:sz w:val="16"/>
                <w:szCs w:val="16"/>
              </w:rPr>
              <w:t>11.493</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3413B29" w14:textId="77777777" w:rsidR="003914D2" w:rsidRDefault="003914D2">
            <w:pPr>
              <w:jc w:val="right"/>
              <w:rPr>
                <w:rFonts w:ascii="Arial" w:hAnsi="Arial" w:cs="Arial"/>
                <w:color w:val="000000"/>
                <w:sz w:val="16"/>
                <w:szCs w:val="16"/>
              </w:rPr>
            </w:pPr>
            <w:r>
              <w:rPr>
                <w:rFonts w:ascii="Arial" w:hAnsi="Arial" w:cs="Arial"/>
                <w:sz w:val="16"/>
                <w:szCs w:val="16"/>
              </w:rPr>
              <w:t>10.526</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488756CE" w14:textId="77777777" w:rsidR="003914D2" w:rsidRDefault="003914D2">
            <w:pPr>
              <w:jc w:val="right"/>
              <w:rPr>
                <w:rFonts w:ascii="Arial" w:hAnsi="Arial" w:cs="Arial"/>
                <w:color w:val="000000"/>
                <w:sz w:val="16"/>
                <w:szCs w:val="16"/>
              </w:rPr>
            </w:pPr>
            <w:r>
              <w:rPr>
                <w:rFonts w:ascii="Arial" w:hAnsi="Arial" w:cs="Arial"/>
                <w:sz w:val="16"/>
                <w:szCs w:val="16"/>
              </w:rPr>
              <w:t>10.526</w:t>
            </w:r>
          </w:p>
        </w:tc>
      </w:tr>
      <w:tr w:rsidR="003914D2" w14:paraId="592C7F5B" w14:textId="77777777" w:rsidTr="003914D2">
        <w:trPr>
          <w:trHeight w:val="315"/>
        </w:trPr>
        <w:tc>
          <w:tcPr>
            <w:tcW w:w="0" w:type="auto"/>
            <w:gridSpan w:val="4"/>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7F46EEF0" w14:textId="77777777" w:rsidR="003914D2" w:rsidRDefault="003914D2">
            <w:pPr>
              <w:rPr>
                <w:rFonts w:ascii="Arial" w:hAnsi="Arial" w:cs="Arial"/>
                <w:b/>
                <w:bCs/>
                <w:color w:val="000000"/>
                <w:sz w:val="16"/>
                <w:szCs w:val="16"/>
              </w:rPr>
            </w:pPr>
            <w:r>
              <w:rPr>
                <w:rFonts w:ascii="Arial" w:hAnsi="Arial" w:cs="Arial"/>
                <w:b/>
                <w:bCs/>
                <w:sz w:val="16"/>
                <w:szCs w:val="16"/>
              </w:rPr>
              <w:t>% de Ejecución</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5F496239" w14:textId="77777777" w:rsidR="003914D2" w:rsidRDefault="003914D2">
            <w:pPr>
              <w:jc w:val="right"/>
              <w:rPr>
                <w:rFonts w:ascii="Arial" w:hAnsi="Arial" w:cs="Arial"/>
                <w:b/>
                <w:bCs/>
                <w:color w:val="000000"/>
                <w:sz w:val="16"/>
                <w:szCs w:val="16"/>
              </w:rPr>
            </w:pPr>
            <w:r>
              <w:rPr>
                <w:rFonts w:ascii="Arial" w:hAnsi="Arial" w:cs="Arial"/>
                <w:b/>
                <w:bCs/>
                <w:sz w:val="16"/>
                <w:szCs w:val="16"/>
              </w:rPr>
              <w:t>78%</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D4A1A46" w14:textId="77777777" w:rsidR="003914D2" w:rsidRDefault="003914D2">
            <w:pPr>
              <w:jc w:val="right"/>
              <w:rPr>
                <w:rFonts w:ascii="Arial" w:hAnsi="Arial" w:cs="Arial"/>
                <w:b/>
                <w:bCs/>
                <w:color w:val="000000"/>
                <w:sz w:val="16"/>
                <w:szCs w:val="16"/>
              </w:rPr>
            </w:pPr>
            <w:r>
              <w:rPr>
                <w:rFonts w:ascii="Arial" w:hAnsi="Arial" w:cs="Arial"/>
                <w:b/>
                <w:bCs/>
                <w:sz w:val="16"/>
                <w:szCs w:val="16"/>
              </w:rPr>
              <w:t>45%</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3EDEA2AE" w14:textId="77777777" w:rsidR="003914D2" w:rsidRDefault="003914D2">
            <w:pPr>
              <w:jc w:val="right"/>
              <w:rPr>
                <w:rFonts w:ascii="Arial" w:hAnsi="Arial" w:cs="Arial"/>
                <w:b/>
                <w:bCs/>
                <w:color w:val="000000"/>
                <w:sz w:val="16"/>
                <w:szCs w:val="16"/>
              </w:rPr>
            </w:pPr>
            <w:r>
              <w:rPr>
                <w:rFonts w:ascii="Arial" w:hAnsi="Arial" w:cs="Arial"/>
                <w:b/>
                <w:bCs/>
                <w:sz w:val="16"/>
                <w:szCs w:val="16"/>
              </w:rPr>
              <w:t>42%</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7E13D056" w14:textId="77777777" w:rsidR="003914D2" w:rsidRDefault="003914D2">
            <w:pPr>
              <w:jc w:val="right"/>
              <w:rPr>
                <w:rFonts w:ascii="Arial" w:hAnsi="Arial" w:cs="Arial"/>
                <w:b/>
                <w:bCs/>
                <w:color w:val="000000"/>
                <w:sz w:val="16"/>
                <w:szCs w:val="16"/>
              </w:rPr>
            </w:pPr>
            <w:r>
              <w:rPr>
                <w:rFonts w:ascii="Arial" w:hAnsi="Arial" w:cs="Arial"/>
                <w:b/>
                <w:bCs/>
                <w:sz w:val="16"/>
                <w:szCs w:val="16"/>
              </w:rPr>
              <w:t>42%</w:t>
            </w:r>
          </w:p>
        </w:tc>
      </w:tr>
    </w:tbl>
    <w:p w14:paraId="2A02638A" w14:textId="77777777" w:rsidR="00C02282" w:rsidRPr="003914D2" w:rsidRDefault="00C0228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t>Millones de pesos</w:t>
      </w:r>
    </w:p>
    <w:p w14:paraId="38B1754F" w14:textId="77777777" w:rsidR="00C02282" w:rsidRPr="007B73C3" w:rsidRDefault="00C02282" w:rsidP="00C02282">
      <w:pPr>
        <w:jc w:val="center"/>
        <w:rPr>
          <w:rFonts w:ascii="Arial" w:hAnsi="Arial" w:cs="Arial"/>
          <w:sz w:val="16"/>
          <w:szCs w:val="16"/>
          <w:lang w:eastAsia="es-ES"/>
        </w:rPr>
      </w:pPr>
      <w:r w:rsidRPr="007B73C3">
        <w:rPr>
          <w:rFonts w:ascii="Arial" w:hAnsi="Arial" w:cs="Arial"/>
          <w:bCs/>
          <w:sz w:val="16"/>
          <w:szCs w:val="16"/>
          <w:lang w:val="es-ES" w:eastAsia="es-ES"/>
        </w:rPr>
        <w:t>Fuente SIIF</w:t>
      </w:r>
    </w:p>
    <w:p w14:paraId="0AEE18D1" w14:textId="77777777" w:rsidR="00C02282" w:rsidRPr="007B73C3" w:rsidRDefault="00C02282" w:rsidP="00C02282">
      <w:pPr>
        <w:jc w:val="both"/>
        <w:rPr>
          <w:rFonts w:ascii="Arial" w:hAnsi="Arial" w:cs="Arial"/>
          <w:b/>
          <w:lang w:val="es-ES" w:eastAsia="es-ES"/>
        </w:rPr>
      </w:pPr>
      <w:r w:rsidRPr="007B73C3">
        <w:rPr>
          <w:rFonts w:ascii="Arial" w:hAnsi="Arial" w:cs="Arial"/>
          <w:b/>
          <w:lang w:val="es-ES" w:eastAsia="es-ES"/>
        </w:rPr>
        <w:t xml:space="preserve">Oficina Asesora Jurídica - </w:t>
      </w:r>
      <w:r w:rsidRPr="007B73C3">
        <w:rPr>
          <w:rFonts w:ascii="Arial" w:hAnsi="Arial" w:cs="Arial"/>
          <w:b/>
          <w:bCs/>
          <w:lang w:val="es-MX" w:eastAsia="es-ES"/>
        </w:rPr>
        <w:t>Vicepresidencia Administrativa y Financiera:</w:t>
      </w:r>
    </w:p>
    <w:p w14:paraId="47231A46" w14:textId="77777777" w:rsidR="003914D2" w:rsidRDefault="003914D2" w:rsidP="003914D2">
      <w:pPr>
        <w:pStyle w:val="estilo10"/>
        <w:ind w:right="11"/>
        <w:jc w:val="both"/>
        <w:rPr>
          <w:rFonts w:ascii="Arial" w:hAnsi="Arial" w:cs="Arial"/>
          <w:sz w:val="22"/>
          <w:szCs w:val="22"/>
        </w:rPr>
      </w:pPr>
      <w:r>
        <w:rPr>
          <w:rFonts w:ascii="Arial" w:hAnsi="Arial" w:cs="Arial"/>
          <w:sz w:val="22"/>
          <w:szCs w:val="22"/>
        </w:rPr>
        <w:t xml:space="preserve">La Oficina Asesora Jurídica de la ANH, se encuentra conformada por un grupo de abogados, los cuales se encargan de asesorar y brindar asistencia en materia de contratación estatal, propia de los procesos de selección dispuestos en la Ley 80 de 1993, Ley 1150 de 2007 y Ley 1474 de 2011, a las diferentes dependencias de la Entidad, así como de llevar a cabo las actividades, tramites y procedimientos para cubrir las necesidades de la ANH, a través de la adquisición de bienes, obras y servicios requeridos por las diferentes dependencias que conformar la misma, de </w:t>
      </w:r>
      <w:r>
        <w:rPr>
          <w:rFonts w:ascii="Arial" w:hAnsi="Arial" w:cs="Arial"/>
          <w:sz w:val="22"/>
          <w:szCs w:val="22"/>
        </w:rPr>
        <w:lastRenderedPageBreak/>
        <w:t>las cuales depende el desarrollo de varias de las funciones misionales, administrativas y transversales de la Entidad.</w:t>
      </w:r>
    </w:p>
    <w:p w14:paraId="28B3C41A" w14:textId="77777777" w:rsidR="003914D2" w:rsidRDefault="003914D2" w:rsidP="003914D2">
      <w:pPr>
        <w:pStyle w:val="estilo10"/>
        <w:ind w:right="11"/>
        <w:jc w:val="both"/>
        <w:rPr>
          <w:rFonts w:ascii="Arial" w:hAnsi="Arial" w:cs="Arial"/>
          <w:sz w:val="22"/>
          <w:szCs w:val="22"/>
        </w:rPr>
      </w:pPr>
    </w:p>
    <w:p w14:paraId="1376D6AA" w14:textId="7100652A" w:rsidR="003914D2" w:rsidRDefault="003914D2" w:rsidP="003914D2">
      <w:pPr>
        <w:pStyle w:val="estilo10"/>
        <w:ind w:right="11"/>
        <w:jc w:val="both"/>
        <w:rPr>
          <w:rFonts w:ascii="Arial" w:hAnsi="Arial" w:cs="Arial"/>
          <w:sz w:val="22"/>
          <w:szCs w:val="22"/>
        </w:rPr>
      </w:pPr>
      <w:r>
        <w:rPr>
          <w:rFonts w:ascii="Arial" w:hAnsi="Arial" w:cs="Arial"/>
          <w:sz w:val="22"/>
          <w:szCs w:val="22"/>
        </w:rPr>
        <w:t xml:space="preserve">De otra parte, resulta importante resaltar que dentro el Plan de Adquisiciones de la ANH, se contempló para la vigencia 2018, adelantar un número significativo de procesos de contratación para lo cual no sólo se requerirá contar con el grupo que en la actualidad tiene la ANH, sino que se requiere dar un refuerzo importante a éste, con el fin de realizar las actividades de orientación, estructuración, seguimiento, revisión e implementación de los procesos de contratación que requiera la ANH, atendiendo especialmente la normatividad vigente, las Circulares y Manuales de Colombia Compra Eficiente, el Manual de Contratación de la Entidad y los lineamientos que para el efecto se acuerden con las áreas de la entidad involucradas en su ejecución, para cada una de las etapas, esto es, planeación, precontractual, contractual y </w:t>
      </w:r>
      <w:r w:rsidR="00803CC6">
        <w:rPr>
          <w:rFonts w:ascii="Arial" w:hAnsi="Arial" w:cs="Arial"/>
          <w:sz w:val="22"/>
          <w:szCs w:val="22"/>
        </w:rPr>
        <w:t>pos contractual</w:t>
      </w:r>
      <w:r>
        <w:rPr>
          <w:rFonts w:ascii="Arial" w:hAnsi="Arial" w:cs="Arial"/>
          <w:sz w:val="22"/>
          <w:szCs w:val="22"/>
        </w:rPr>
        <w:t>, algunos temas con mayor complejidad que otros.</w:t>
      </w:r>
    </w:p>
    <w:p w14:paraId="5115FA98" w14:textId="77777777" w:rsidR="003914D2" w:rsidRDefault="003914D2" w:rsidP="003914D2">
      <w:pPr>
        <w:pStyle w:val="estilo10"/>
        <w:ind w:right="11"/>
        <w:jc w:val="both"/>
        <w:rPr>
          <w:rFonts w:ascii="Arial" w:hAnsi="Arial" w:cs="Arial"/>
          <w:sz w:val="22"/>
          <w:szCs w:val="22"/>
        </w:rPr>
      </w:pPr>
      <w:r>
        <w:rPr>
          <w:rFonts w:ascii="Arial" w:hAnsi="Arial" w:cs="Arial"/>
          <w:sz w:val="22"/>
          <w:szCs w:val="22"/>
        </w:rPr>
        <w:t>Para el cumplimiento de las anteriores actividades la OAJ, no cuenta con los funcionarios necesarios, para adelantar los procesos de licitación, y concurso de méritos, y el personal existente debe apoyar e impulsar todos los procesos de contratación en las diferentes etapas y ejecutar las actividades necesarias de carácter jurídico, tales como, el estudio, análisis y preparación de actos administrativos, conceptos jurídicos y demás que se requieran para el cabal cumplimiento de la función asignada a este despacho, actividades que adicionalmente deben venir previamente con la realización de una asesoría que han de realizar los abogados a las diferentes dependencias, con el fin de revisar y apoyar la elaboración de los estudios previos y de mercado, así como las solicitudes de cotización que envía las mismas para la elaboración de los respectivos estudios.</w:t>
      </w:r>
    </w:p>
    <w:p w14:paraId="533B73F5" w14:textId="77777777" w:rsidR="003914D2" w:rsidRDefault="003914D2" w:rsidP="003914D2">
      <w:pPr>
        <w:pStyle w:val="estilo10"/>
        <w:ind w:right="11"/>
        <w:jc w:val="both"/>
        <w:rPr>
          <w:rFonts w:ascii="Arial" w:hAnsi="Arial" w:cs="Arial"/>
          <w:sz w:val="22"/>
          <w:szCs w:val="22"/>
        </w:rPr>
      </w:pPr>
      <w:r>
        <w:rPr>
          <w:rFonts w:ascii="Arial" w:hAnsi="Arial" w:cs="Arial"/>
          <w:sz w:val="22"/>
          <w:szCs w:val="22"/>
        </w:rPr>
        <w:t xml:space="preserve">La Oficina Asesora Jurídica –OAJ- debe liderar la defensa judicial de la Entidad, para lograr una eficaz y eficiente defensa de los intereses de la ANH, razón por la cual requiere contar con personal idóneo que preste sus servicios profesionales de abogado para asumir la representación judicial y extrajudicial de los procesos que le sean asignados, encaminados a que la defensa judicial sea optima, adecuada y eficaz. </w:t>
      </w:r>
    </w:p>
    <w:p w14:paraId="2ADC5692" w14:textId="77777777" w:rsidR="003914D2" w:rsidRDefault="003914D2" w:rsidP="003914D2">
      <w:pPr>
        <w:pStyle w:val="estilo10"/>
        <w:ind w:right="11"/>
        <w:jc w:val="both"/>
        <w:rPr>
          <w:rFonts w:ascii="Arial" w:hAnsi="Arial" w:cs="Arial"/>
          <w:bCs/>
          <w:sz w:val="22"/>
          <w:szCs w:val="22"/>
          <w:lang w:eastAsia="es-ES"/>
        </w:rPr>
      </w:pPr>
      <w:r>
        <w:rPr>
          <w:rFonts w:ascii="Arial" w:hAnsi="Arial" w:cs="Arial"/>
          <w:sz w:val="22"/>
          <w:szCs w:val="22"/>
        </w:rPr>
        <w:t>Durante el segundo trimestre de 2018 se realizaron nueve contratos para apoyo legal a la Oficina Asesora Jurídica en temas administrativos, contractuales y judiciales, apoyando la gestión administrativa de la OAJ por valor de $966.428.531, más el pago de honorarios de los miembros del Consejo Directivo, durante las sesiones que se realizaron en el segundo trimestre.</w:t>
      </w:r>
    </w:p>
    <w:p w14:paraId="642FC278" w14:textId="05AB940B" w:rsidR="00C02282" w:rsidRDefault="00C02282" w:rsidP="00C02282">
      <w:pPr>
        <w:pStyle w:val="estilo10"/>
        <w:ind w:right="11"/>
        <w:jc w:val="both"/>
        <w:rPr>
          <w:rFonts w:ascii="Arial" w:hAnsi="Arial" w:cs="Arial"/>
          <w:bCs/>
          <w:sz w:val="22"/>
          <w:szCs w:val="22"/>
          <w:lang w:eastAsia="es-ES"/>
        </w:rPr>
      </w:pPr>
    </w:p>
    <w:p w14:paraId="225B1994" w14:textId="77777777" w:rsidR="00803CC6" w:rsidRPr="003914D2" w:rsidRDefault="00803CC6" w:rsidP="00C02282">
      <w:pPr>
        <w:pStyle w:val="estilo10"/>
        <w:ind w:right="11"/>
        <w:jc w:val="both"/>
        <w:rPr>
          <w:rFonts w:ascii="Arial" w:hAnsi="Arial" w:cs="Arial"/>
          <w:bCs/>
          <w:sz w:val="22"/>
          <w:szCs w:val="22"/>
          <w:lang w:eastAsia="es-ES"/>
        </w:rPr>
      </w:pPr>
    </w:p>
    <w:p w14:paraId="174465D7" w14:textId="16010A52" w:rsidR="00C02282" w:rsidRPr="003914D2" w:rsidRDefault="00C02282" w:rsidP="00C02282">
      <w:pPr>
        <w:pStyle w:val="Descripcin"/>
        <w:keepNext/>
        <w:jc w:val="center"/>
      </w:pPr>
      <w:bookmarkStart w:id="124" w:name="_Toc525652497"/>
      <w:bookmarkStart w:id="125" w:name="_Hlk496532245"/>
      <w:r w:rsidRPr="003914D2">
        <w:t xml:space="preserve">Tabla </w:t>
      </w:r>
      <w:r w:rsidRPr="003914D2">
        <w:fldChar w:fldCharType="begin"/>
      </w:r>
      <w:r w:rsidRPr="003914D2">
        <w:instrText xml:space="preserve"> SEQ Tabla \* ARABIC </w:instrText>
      </w:r>
      <w:r w:rsidRPr="003914D2">
        <w:fldChar w:fldCharType="separate"/>
      </w:r>
      <w:r w:rsidR="008B4625">
        <w:rPr>
          <w:noProof/>
        </w:rPr>
        <w:t>52</w:t>
      </w:r>
      <w:r w:rsidRPr="003914D2">
        <w:fldChar w:fldCharType="end"/>
      </w:r>
      <w:r w:rsidRPr="003914D2">
        <w:t>Ejecución Gastos de Personal</w:t>
      </w:r>
      <w:r w:rsidR="003914D2" w:rsidRPr="003914D2">
        <w:t xml:space="preserve"> OAJ – Servicios Indirectos A 30 de junio d</w:t>
      </w:r>
      <w:r w:rsidRPr="003914D2">
        <w:t>e 2018 ANH</w:t>
      </w:r>
      <w:bookmarkEnd w:id="124"/>
    </w:p>
    <w:tbl>
      <w:tblPr>
        <w:tblW w:w="0" w:type="auto"/>
        <w:tblInd w:w="-10" w:type="dxa"/>
        <w:tblCellMar>
          <w:left w:w="70" w:type="dxa"/>
          <w:right w:w="70" w:type="dxa"/>
        </w:tblCellMar>
        <w:tblLook w:val="04A0" w:firstRow="1" w:lastRow="0" w:firstColumn="1" w:lastColumn="0" w:noHBand="0" w:noVBand="1"/>
      </w:tblPr>
      <w:tblGrid>
        <w:gridCol w:w="2167"/>
        <w:gridCol w:w="1465"/>
        <w:gridCol w:w="1449"/>
        <w:gridCol w:w="1708"/>
        <w:gridCol w:w="1307"/>
        <w:gridCol w:w="1298"/>
      </w:tblGrid>
      <w:tr w:rsidR="003914D2" w14:paraId="72FF8E69" w14:textId="77777777" w:rsidTr="003914D2">
        <w:trPr>
          <w:trHeight w:val="915"/>
        </w:trPr>
        <w:tc>
          <w:tcPr>
            <w:tcW w:w="2172"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bookmarkEnd w:id="125"/>
          <w:p w14:paraId="5DA02B16" w14:textId="77777777" w:rsidR="003914D2" w:rsidRDefault="003914D2">
            <w:pPr>
              <w:jc w:val="center"/>
              <w:rPr>
                <w:rFonts w:ascii="Arial" w:hAnsi="Arial" w:cs="Arial"/>
                <w:b/>
                <w:bCs/>
                <w:color w:val="000000"/>
                <w:sz w:val="16"/>
                <w:szCs w:val="16"/>
              </w:rPr>
            </w:pPr>
            <w:r>
              <w:rPr>
                <w:rFonts w:ascii="Arial" w:hAnsi="Arial" w:cs="Arial"/>
                <w:b/>
                <w:bCs/>
                <w:sz w:val="16"/>
                <w:szCs w:val="16"/>
              </w:rPr>
              <w:t>Descripción</w:t>
            </w:r>
          </w:p>
        </w:tc>
        <w:tc>
          <w:tcPr>
            <w:tcW w:w="1468"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64A1CB20"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Apropiación </w:t>
            </w:r>
          </w:p>
        </w:tc>
        <w:tc>
          <w:tcPr>
            <w:tcW w:w="1452" w:type="dxa"/>
            <w:tcBorders>
              <w:top w:val="single" w:sz="8" w:space="0" w:color="auto"/>
              <w:left w:val="nil"/>
              <w:bottom w:val="single" w:sz="8" w:space="0" w:color="auto"/>
              <w:right w:val="single" w:sz="8" w:space="0" w:color="auto"/>
            </w:tcBorders>
            <w:shd w:val="clear" w:color="auto" w:fill="4F81BD" w:themeFill="accent1"/>
            <w:vAlign w:val="center"/>
            <w:hideMark/>
          </w:tcPr>
          <w:p w14:paraId="2DFA6630"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711" w:type="dxa"/>
            <w:tcBorders>
              <w:top w:val="single" w:sz="8" w:space="0" w:color="auto"/>
              <w:left w:val="nil"/>
              <w:bottom w:val="single" w:sz="8" w:space="0" w:color="auto"/>
              <w:right w:val="single" w:sz="8" w:space="0" w:color="auto"/>
            </w:tcBorders>
            <w:shd w:val="clear" w:color="auto" w:fill="4F81BD" w:themeFill="accent1"/>
            <w:vAlign w:val="center"/>
            <w:hideMark/>
          </w:tcPr>
          <w:p w14:paraId="7A2F17ED"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309" w:type="dxa"/>
            <w:tcBorders>
              <w:top w:val="single" w:sz="8" w:space="0" w:color="auto"/>
              <w:left w:val="nil"/>
              <w:bottom w:val="single" w:sz="8" w:space="0" w:color="auto"/>
              <w:right w:val="single" w:sz="8" w:space="0" w:color="auto"/>
            </w:tcBorders>
            <w:shd w:val="clear" w:color="auto" w:fill="4F81BD" w:themeFill="accent1"/>
            <w:vAlign w:val="center"/>
            <w:hideMark/>
          </w:tcPr>
          <w:p w14:paraId="7BB5CCCA"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300" w:type="dxa"/>
            <w:tcBorders>
              <w:top w:val="single" w:sz="8" w:space="0" w:color="auto"/>
              <w:left w:val="nil"/>
              <w:bottom w:val="single" w:sz="8" w:space="0" w:color="auto"/>
              <w:right w:val="single" w:sz="8" w:space="0" w:color="auto"/>
            </w:tcBorders>
            <w:shd w:val="clear" w:color="auto" w:fill="4F81BD" w:themeFill="accent1"/>
            <w:vAlign w:val="center"/>
            <w:hideMark/>
          </w:tcPr>
          <w:p w14:paraId="087E5E97"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3914D2" w14:paraId="69D4E2A9" w14:textId="77777777" w:rsidTr="003914D2">
        <w:trPr>
          <w:trHeight w:val="315"/>
        </w:trPr>
        <w:tc>
          <w:tcPr>
            <w:tcW w:w="2172" w:type="dxa"/>
            <w:tcBorders>
              <w:top w:val="nil"/>
              <w:left w:val="single" w:sz="8" w:space="0" w:color="auto"/>
              <w:bottom w:val="single" w:sz="8" w:space="0" w:color="auto"/>
              <w:right w:val="single" w:sz="8" w:space="0" w:color="auto"/>
            </w:tcBorders>
            <w:noWrap/>
            <w:vAlign w:val="center"/>
            <w:hideMark/>
          </w:tcPr>
          <w:p w14:paraId="51073DE4" w14:textId="77777777" w:rsidR="003914D2" w:rsidRDefault="003914D2">
            <w:pPr>
              <w:rPr>
                <w:rFonts w:ascii="Arial" w:hAnsi="Arial" w:cs="Arial"/>
                <w:b/>
                <w:bCs/>
                <w:color w:val="000000"/>
                <w:sz w:val="16"/>
                <w:szCs w:val="16"/>
              </w:rPr>
            </w:pPr>
            <w:r>
              <w:rPr>
                <w:rFonts w:ascii="Arial" w:hAnsi="Arial" w:cs="Arial"/>
                <w:b/>
                <w:bCs/>
                <w:sz w:val="16"/>
                <w:szCs w:val="16"/>
              </w:rPr>
              <w:t>Gastos de Personal –</w:t>
            </w:r>
            <w:r>
              <w:rPr>
                <w:rFonts w:ascii="Arial" w:hAnsi="Arial" w:cs="Arial"/>
                <w:sz w:val="16"/>
                <w:szCs w:val="16"/>
              </w:rPr>
              <w:t xml:space="preserve"> Servicios Personales Indirectos</w:t>
            </w:r>
          </w:p>
        </w:tc>
        <w:tc>
          <w:tcPr>
            <w:tcW w:w="1468" w:type="dxa"/>
            <w:tcBorders>
              <w:top w:val="nil"/>
              <w:left w:val="nil"/>
              <w:bottom w:val="single" w:sz="8" w:space="0" w:color="auto"/>
              <w:right w:val="single" w:sz="8" w:space="0" w:color="auto"/>
            </w:tcBorders>
            <w:noWrap/>
            <w:vAlign w:val="center"/>
            <w:hideMark/>
          </w:tcPr>
          <w:p w14:paraId="1DDE3550" w14:textId="77777777" w:rsidR="003914D2" w:rsidRDefault="003914D2">
            <w:pPr>
              <w:jc w:val="right"/>
              <w:rPr>
                <w:rFonts w:ascii="Arial" w:hAnsi="Arial" w:cs="Arial"/>
                <w:color w:val="000000"/>
                <w:sz w:val="16"/>
                <w:szCs w:val="16"/>
              </w:rPr>
            </w:pPr>
            <w:r>
              <w:rPr>
                <w:rFonts w:ascii="Arial" w:hAnsi="Arial" w:cs="Arial"/>
                <w:sz w:val="16"/>
                <w:szCs w:val="16"/>
              </w:rPr>
              <w:t>$ 1.018</w:t>
            </w:r>
          </w:p>
        </w:tc>
        <w:tc>
          <w:tcPr>
            <w:tcW w:w="1452" w:type="dxa"/>
            <w:tcBorders>
              <w:top w:val="nil"/>
              <w:left w:val="nil"/>
              <w:bottom w:val="single" w:sz="8" w:space="0" w:color="auto"/>
              <w:right w:val="single" w:sz="8" w:space="0" w:color="auto"/>
            </w:tcBorders>
            <w:noWrap/>
            <w:vAlign w:val="center"/>
            <w:hideMark/>
          </w:tcPr>
          <w:p w14:paraId="70AFFD99" w14:textId="77777777" w:rsidR="003914D2" w:rsidRDefault="003914D2">
            <w:pPr>
              <w:jc w:val="right"/>
              <w:rPr>
                <w:rFonts w:ascii="Arial" w:hAnsi="Arial" w:cs="Arial"/>
                <w:color w:val="000000"/>
                <w:sz w:val="16"/>
                <w:szCs w:val="16"/>
              </w:rPr>
            </w:pPr>
            <w:r>
              <w:rPr>
                <w:rFonts w:ascii="Arial" w:hAnsi="Arial" w:cs="Arial"/>
                <w:sz w:val="16"/>
                <w:szCs w:val="16"/>
              </w:rPr>
              <w:t>$ 1.017</w:t>
            </w:r>
          </w:p>
        </w:tc>
        <w:tc>
          <w:tcPr>
            <w:tcW w:w="1711" w:type="dxa"/>
            <w:tcBorders>
              <w:top w:val="nil"/>
              <w:left w:val="nil"/>
              <w:bottom w:val="single" w:sz="8" w:space="0" w:color="auto"/>
              <w:right w:val="single" w:sz="8" w:space="0" w:color="auto"/>
            </w:tcBorders>
            <w:noWrap/>
            <w:vAlign w:val="center"/>
            <w:hideMark/>
          </w:tcPr>
          <w:p w14:paraId="2AA0D7FC" w14:textId="77777777" w:rsidR="003914D2" w:rsidRDefault="003914D2">
            <w:pPr>
              <w:jc w:val="right"/>
              <w:rPr>
                <w:rFonts w:ascii="Arial" w:hAnsi="Arial" w:cs="Arial"/>
                <w:color w:val="000000"/>
                <w:sz w:val="16"/>
                <w:szCs w:val="16"/>
              </w:rPr>
            </w:pPr>
            <w:r>
              <w:rPr>
                <w:rFonts w:ascii="Arial" w:hAnsi="Arial" w:cs="Arial"/>
                <w:sz w:val="16"/>
                <w:szCs w:val="16"/>
              </w:rPr>
              <w:t>$ 984</w:t>
            </w:r>
          </w:p>
        </w:tc>
        <w:tc>
          <w:tcPr>
            <w:tcW w:w="1309" w:type="dxa"/>
            <w:tcBorders>
              <w:top w:val="nil"/>
              <w:left w:val="nil"/>
              <w:bottom w:val="single" w:sz="8" w:space="0" w:color="auto"/>
              <w:right w:val="single" w:sz="8" w:space="0" w:color="auto"/>
            </w:tcBorders>
            <w:noWrap/>
            <w:vAlign w:val="center"/>
            <w:hideMark/>
          </w:tcPr>
          <w:p w14:paraId="778AACB2" w14:textId="77777777" w:rsidR="003914D2" w:rsidRDefault="003914D2">
            <w:pPr>
              <w:jc w:val="right"/>
              <w:rPr>
                <w:rFonts w:ascii="Arial" w:hAnsi="Arial" w:cs="Arial"/>
                <w:color w:val="000000"/>
                <w:sz w:val="16"/>
                <w:szCs w:val="16"/>
              </w:rPr>
            </w:pPr>
            <w:r>
              <w:rPr>
                <w:rFonts w:ascii="Arial" w:hAnsi="Arial" w:cs="Arial"/>
                <w:sz w:val="16"/>
                <w:szCs w:val="16"/>
              </w:rPr>
              <w:t>$ 397</w:t>
            </w:r>
          </w:p>
        </w:tc>
        <w:tc>
          <w:tcPr>
            <w:tcW w:w="1300" w:type="dxa"/>
            <w:tcBorders>
              <w:top w:val="nil"/>
              <w:left w:val="nil"/>
              <w:bottom w:val="single" w:sz="8" w:space="0" w:color="auto"/>
              <w:right w:val="single" w:sz="8" w:space="0" w:color="auto"/>
            </w:tcBorders>
            <w:noWrap/>
            <w:vAlign w:val="center"/>
            <w:hideMark/>
          </w:tcPr>
          <w:p w14:paraId="1E1013D0" w14:textId="77777777" w:rsidR="003914D2" w:rsidRDefault="003914D2">
            <w:pPr>
              <w:jc w:val="right"/>
              <w:rPr>
                <w:rFonts w:ascii="Arial" w:hAnsi="Arial" w:cs="Arial"/>
                <w:color w:val="000000"/>
                <w:sz w:val="16"/>
                <w:szCs w:val="16"/>
              </w:rPr>
            </w:pPr>
            <w:r>
              <w:rPr>
                <w:rFonts w:ascii="Arial" w:hAnsi="Arial" w:cs="Arial"/>
                <w:sz w:val="16"/>
                <w:szCs w:val="16"/>
              </w:rPr>
              <w:t>$ 397</w:t>
            </w:r>
          </w:p>
        </w:tc>
      </w:tr>
      <w:tr w:rsidR="003914D2" w14:paraId="51E58ADA" w14:textId="77777777" w:rsidTr="003914D2">
        <w:trPr>
          <w:trHeight w:val="315"/>
        </w:trPr>
        <w:tc>
          <w:tcPr>
            <w:tcW w:w="2172" w:type="dxa"/>
            <w:noWrap/>
            <w:vAlign w:val="bottom"/>
            <w:hideMark/>
          </w:tcPr>
          <w:p w14:paraId="27084DE7" w14:textId="77777777" w:rsidR="003914D2" w:rsidRDefault="003914D2">
            <w:pPr>
              <w:rPr>
                <w:rFonts w:ascii="Calibri" w:hAnsi="Calibri" w:cs="Times New Roman"/>
                <w:color w:val="000000"/>
                <w:sz w:val="19"/>
                <w:szCs w:val="19"/>
              </w:rPr>
            </w:pPr>
          </w:p>
        </w:tc>
        <w:tc>
          <w:tcPr>
            <w:tcW w:w="1468" w:type="dxa"/>
            <w:noWrap/>
            <w:vAlign w:val="bottom"/>
            <w:hideMark/>
          </w:tcPr>
          <w:p w14:paraId="04A16EF6" w14:textId="77777777" w:rsidR="003914D2" w:rsidRDefault="003914D2">
            <w:pPr>
              <w:rPr>
                <w:rFonts w:ascii="Calibri" w:hAnsi="Calibri" w:cs="Times New Roman"/>
                <w:color w:val="000000"/>
                <w:sz w:val="19"/>
                <w:szCs w:val="19"/>
              </w:rPr>
            </w:pPr>
          </w:p>
        </w:tc>
        <w:tc>
          <w:tcPr>
            <w:tcW w:w="1452" w:type="dxa"/>
            <w:noWrap/>
            <w:vAlign w:val="bottom"/>
            <w:hideMark/>
          </w:tcPr>
          <w:p w14:paraId="402A9741" w14:textId="77777777" w:rsidR="003914D2" w:rsidRDefault="003914D2">
            <w:pPr>
              <w:rPr>
                <w:rFonts w:ascii="Calibri" w:hAnsi="Calibri" w:cs="Times New Roman"/>
                <w:color w:val="000000"/>
                <w:sz w:val="19"/>
                <w:szCs w:val="19"/>
              </w:rPr>
            </w:pPr>
          </w:p>
        </w:tc>
        <w:tc>
          <w:tcPr>
            <w:tcW w:w="1711" w:type="dxa"/>
            <w:noWrap/>
            <w:vAlign w:val="bottom"/>
            <w:hideMark/>
          </w:tcPr>
          <w:p w14:paraId="3CF961D2" w14:textId="77777777" w:rsidR="003914D2" w:rsidRDefault="003914D2">
            <w:pPr>
              <w:rPr>
                <w:rFonts w:ascii="Calibri" w:hAnsi="Calibri" w:cs="Times New Roman"/>
                <w:color w:val="000000"/>
                <w:sz w:val="19"/>
                <w:szCs w:val="19"/>
              </w:rPr>
            </w:pPr>
          </w:p>
        </w:tc>
        <w:tc>
          <w:tcPr>
            <w:tcW w:w="1309" w:type="dxa"/>
            <w:noWrap/>
            <w:vAlign w:val="bottom"/>
            <w:hideMark/>
          </w:tcPr>
          <w:p w14:paraId="462A7A86" w14:textId="77777777" w:rsidR="003914D2" w:rsidRDefault="003914D2">
            <w:pPr>
              <w:rPr>
                <w:rFonts w:ascii="Calibri" w:hAnsi="Calibri" w:cs="Times New Roman"/>
                <w:color w:val="000000"/>
                <w:sz w:val="19"/>
                <w:szCs w:val="19"/>
              </w:rPr>
            </w:pPr>
          </w:p>
        </w:tc>
        <w:tc>
          <w:tcPr>
            <w:tcW w:w="1300" w:type="dxa"/>
            <w:noWrap/>
            <w:vAlign w:val="bottom"/>
            <w:hideMark/>
          </w:tcPr>
          <w:p w14:paraId="66AB3A39" w14:textId="77777777" w:rsidR="003914D2" w:rsidRDefault="003914D2">
            <w:pPr>
              <w:rPr>
                <w:rFonts w:ascii="Calibri" w:hAnsi="Calibri" w:cs="Times New Roman"/>
                <w:color w:val="000000"/>
                <w:sz w:val="19"/>
                <w:szCs w:val="19"/>
              </w:rPr>
            </w:pPr>
          </w:p>
        </w:tc>
      </w:tr>
      <w:tr w:rsidR="003914D2" w:rsidRPr="003914D2" w14:paraId="7B8A0F89" w14:textId="77777777" w:rsidTr="003914D2">
        <w:trPr>
          <w:trHeight w:val="315"/>
        </w:trPr>
        <w:tc>
          <w:tcPr>
            <w:tcW w:w="3640" w:type="dxa"/>
            <w:gridSpan w:val="2"/>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14:paraId="6E0CA77B" w14:textId="77777777" w:rsidR="003914D2" w:rsidRPr="003914D2" w:rsidRDefault="003914D2">
            <w:pPr>
              <w:jc w:val="center"/>
              <w:rPr>
                <w:rFonts w:ascii="Arial" w:hAnsi="Arial" w:cs="Arial"/>
                <w:b/>
                <w:bCs/>
                <w:color w:val="000000"/>
                <w:sz w:val="16"/>
                <w:szCs w:val="16"/>
              </w:rPr>
            </w:pPr>
            <w:r w:rsidRPr="003914D2">
              <w:rPr>
                <w:rFonts w:ascii="Arial" w:hAnsi="Arial" w:cs="Arial"/>
                <w:b/>
                <w:bCs/>
                <w:sz w:val="16"/>
                <w:szCs w:val="16"/>
              </w:rPr>
              <w:t>Porcentaje de ejecución</w:t>
            </w:r>
          </w:p>
        </w:tc>
        <w:tc>
          <w:tcPr>
            <w:tcW w:w="1452"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7682152A" w14:textId="77777777" w:rsidR="003914D2" w:rsidRPr="003914D2" w:rsidRDefault="003914D2">
            <w:pPr>
              <w:jc w:val="right"/>
              <w:rPr>
                <w:rFonts w:ascii="Arial" w:hAnsi="Arial" w:cs="Arial"/>
                <w:b/>
                <w:bCs/>
                <w:color w:val="000000"/>
                <w:sz w:val="16"/>
                <w:szCs w:val="16"/>
              </w:rPr>
            </w:pPr>
            <w:r w:rsidRPr="003914D2">
              <w:rPr>
                <w:rFonts w:ascii="Arial" w:hAnsi="Arial" w:cs="Arial"/>
                <w:b/>
                <w:bCs/>
                <w:sz w:val="16"/>
                <w:szCs w:val="16"/>
              </w:rPr>
              <w:t>100%</w:t>
            </w:r>
          </w:p>
        </w:tc>
        <w:tc>
          <w:tcPr>
            <w:tcW w:w="1711"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7772D348" w14:textId="77777777" w:rsidR="003914D2" w:rsidRPr="003914D2" w:rsidRDefault="003914D2">
            <w:pPr>
              <w:jc w:val="right"/>
              <w:rPr>
                <w:rFonts w:ascii="Arial" w:hAnsi="Arial" w:cs="Arial"/>
                <w:b/>
                <w:bCs/>
                <w:color w:val="000000"/>
                <w:sz w:val="16"/>
                <w:szCs w:val="16"/>
              </w:rPr>
            </w:pPr>
            <w:r w:rsidRPr="003914D2">
              <w:rPr>
                <w:rFonts w:ascii="Arial" w:hAnsi="Arial" w:cs="Arial"/>
                <w:b/>
                <w:bCs/>
                <w:sz w:val="16"/>
                <w:szCs w:val="16"/>
              </w:rPr>
              <w:t>97%</w:t>
            </w:r>
          </w:p>
        </w:tc>
        <w:tc>
          <w:tcPr>
            <w:tcW w:w="1309"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0B206812" w14:textId="77777777" w:rsidR="003914D2" w:rsidRPr="003914D2" w:rsidRDefault="003914D2">
            <w:pPr>
              <w:jc w:val="right"/>
              <w:rPr>
                <w:rFonts w:ascii="Arial" w:hAnsi="Arial" w:cs="Arial"/>
                <w:b/>
                <w:bCs/>
                <w:color w:val="000000"/>
                <w:sz w:val="16"/>
                <w:szCs w:val="16"/>
              </w:rPr>
            </w:pPr>
            <w:r w:rsidRPr="003914D2">
              <w:rPr>
                <w:rFonts w:ascii="Arial" w:hAnsi="Arial" w:cs="Arial"/>
                <w:b/>
                <w:bCs/>
                <w:sz w:val="16"/>
                <w:szCs w:val="16"/>
              </w:rPr>
              <w:t>39%</w:t>
            </w:r>
          </w:p>
        </w:tc>
        <w:tc>
          <w:tcPr>
            <w:tcW w:w="1300"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75453834" w14:textId="77777777" w:rsidR="003914D2" w:rsidRPr="003914D2" w:rsidRDefault="003914D2">
            <w:pPr>
              <w:jc w:val="right"/>
              <w:rPr>
                <w:rFonts w:ascii="Arial" w:hAnsi="Arial" w:cs="Arial"/>
                <w:b/>
                <w:bCs/>
                <w:color w:val="000000"/>
                <w:sz w:val="16"/>
                <w:szCs w:val="16"/>
              </w:rPr>
            </w:pPr>
            <w:r w:rsidRPr="003914D2">
              <w:rPr>
                <w:rFonts w:ascii="Arial" w:hAnsi="Arial" w:cs="Arial"/>
                <w:b/>
                <w:bCs/>
                <w:sz w:val="16"/>
                <w:szCs w:val="16"/>
              </w:rPr>
              <w:t>39%</w:t>
            </w:r>
          </w:p>
        </w:tc>
      </w:tr>
    </w:tbl>
    <w:p w14:paraId="14E93759" w14:textId="77777777" w:rsidR="00C02282" w:rsidRPr="003914D2" w:rsidRDefault="00C0228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t>Millones de pesos</w:t>
      </w:r>
    </w:p>
    <w:p w14:paraId="51FD0D0D" w14:textId="77777777" w:rsidR="00C02282" w:rsidRPr="003914D2" w:rsidRDefault="00C02282" w:rsidP="00C02282">
      <w:pPr>
        <w:jc w:val="center"/>
        <w:rPr>
          <w:rFonts w:ascii="Arial" w:hAnsi="Arial" w:cs="Arial"/>
          <w:bCs/>
          <w:lang w:val="es-MX" w:eastAsia="es-ES"/>
        </w:rPr>
      </w:pPr>
      <w:r w:rsidRPr="003914D2">
        <w:rPr>
          <w:rFonts w:ascii="Calibri" w:hAnsi="Calibri" w:cs="Calibri"/>
          <w:sz w:val="18"/>
          <w:szCs w:val="18"/>
        </w:rPr>
        <w:t>Fuente SIIF</w:t>
      </w:r>
    </w:p>
    <w:p w14:paraId="05BCA661" w14:textId="77777777" w:rsidR="00C02282" w:rsidRPr="003914D2" w:rsidRDefault="00C02282" w:rsidP="00C02282">
      <w:pPr>
        <w:jc w:val="both"/>
        <w:rPr>
          <w:rFonts w:ascii="Arial" w:hAnsi="Arial" w:cs="Arial"/>
          <w:b/>
          <w:lang w:val="es-ES" w:eastAsia="es-ES"/>
        </w:rPr>
      </w:pPr>
      <w:r w:rsidRPr="003914D2">
        <w:rPr>
          <w:rFonts w:ascii="Arial" w:hAnsi="Arial" w:cs="Arial"/>
          <w:b/>
          <w:lang w:val="es-ES" w:eastAsia="es-ES"/>
        </w:rPr>
        <w:t xml:space="preserve">Administrativa - </w:t>
      </w:r>
      <w:r w:rsidRPr="003914D2">
        <w:rPr>
          <w:rFonts w:ascii="Arial" w:hAnsi="Arial" w:cs="Arial"/>
          <w:b/>
          <w:bCs/>
          <w:lang w:val="es-MX" w:eastAsia="es-ES"/>
        </w:rPr>
        <w:t>Vicepresidencia Administrativa y Financiera:</w:t>
      </w:r>
    </w:p>
    <w:p w14:paraId="621134EC" w14:textId="77777777" w:rsidR="003914D2" w:rsidRDefault="003914D2" w:rsidP="003914D2">
      <w:pPr>
        <w:jc w:val="both"/>
        <w:rPr>
          <w:rFonts w:ascii="Arial" w:hAnsi="Arial" w:cs="Arial"/>
          <w:lang w:val="es-ES" w:eastAsia="es-ES"/>
        </w:rPr>
      </w:pPr>
      <w:r w:rsidRPr="003914D2">
        <w:rPr>
          <w:rFonts w:ascii="Arial" w:hAnsi="Arial" w:cs="Arial"/>
          <w:lang w:val="es-ES" w:eastAsia="es-ES"/>
        </w:rPr>
        <w:t>Para el segundo trimestre de 2018 el área administrativa suscribió los contratos 032 y 064 de 2018 en cuantía de $ 144 millones, con el objeto de tener apoyo en el sistema de gestión de calidad y el seguimiento y ejecución al PAA 2018 y otros temas de orden administrativo para las áreas misionales.</w:t>
      </w:r>
    </w:p>
    <w:p w14:paraId="52875A3E" w14:textId="77777777" w:rsidR="003914D2" w:rsidRDefault="003914D2" w:rsidP="003914D2">
      <w:pPr>
        <w:jc w:val="both"/>
        <w:rPr>
          <w:rFonts w:ascii="Arial" w:hAnsi="Arial" w:cs="Arial"/>
          <w:lang w:val="es-ES" w:eastAsia="es-ES"/>
        </w:rPr>
      </w:pPr>
    </w:p>
    <w:p w14:paraId="1F53EF28" w14:textId="157C318E" w:rsidR="00C02282" w:rsidRPr="003914D2" w:rsidRDefault="00C02282" w:rsidP="00C02282">
      <w:pPr>
        <w:pStyle w:val="Descripcin"/>
        <w:keepNext/>
        <w:jc w:val="center"/>
      </w:pPr>
      <w:bookmarkStart w:id="126" w:name="_Toc525652498"/>
      <w:r w:rsidRPr="003914D2">
        <w:t xml:space="preserve">Tabla </w:t>
      </w:r>
      <w:r w:rsidRPr="003914D2">
        <w:fldChar w:fldCharType="begin"/>
      </w:r>
      <w:r w:rsidRPr="003914D2">
        <w:instrText xml:space="preserve"> SEQ Tabla \* ARABIC </w:instrText>
      </w:r>
      <w:r w:rsidRPr="003914D2">
        <w:fldChar w:fldCharType="separate"/>
      </w:r>
      <w:r w:rsidR="008B4625">
        <w:rPr>
          <w:noProof/>
        </w:rPr>
        <w:t>53</w:t>
      </w:r>
      <w:r w:rsidRPr="003914D2">
        <w:fldChar w:fldCharType="end"/>
      </w:r>
      <w:r w:rsidRPr="003914D2">
        <w:t>Ejecución Gastos de Personal – Administ</w:t>
      </w:r>
      <w:r w:rsidR="003914D2" w:rsidRPr="003914D2">
        <w:t>rativa Servicios Indirectos A 30 de junio d</w:t>
      </w:r>
      <w:r w:rsidRPr="003914D2">
        <w:t>e 2018 ANH</w:t>
      </w:r>
      <w:bookmarkEnd w:id="126"/>
    </w:p>
    <w:tbl>
      <w:tblPr>
        <w:tblW w:w="9412" w:type="dxa"/>
        <w:tblInd w:w="-10" w:type="dxa"/>
        <w:tblCellMar>
          <w:left w:w="70" w:type="dxa"/>
          <w:right w:w="70" w:type="dxa"/>
        </w:tblCellMar>
        <w:tblLook w:val="04A0" w:firstRow="1" w:lastRow="0" w:firstColumn="1" w:lastColumn="0" w:noHBand="0" w:noVBand="1"/>
      </w:tblPr>
      <w:tblGrid>
        <w:gridCol w:w="3099"/>
        <w:gridCol w:w="1289"/>
        <w:gridCol w:w="1280"/>
        <w:gridCol w:w="1536"/>
        <w:gridCol w:w="1309"/>
        <w:gridCol w:w="899"/>
      </w:tblGrid>
      <w:tr w:rsidR="003914D2" w14:paraId="16771573" w14:textId="77777777" w:rsidTr="003914D2">
        <w:trPr>
          <w:trHeight w:val="633"/>
        </w:trPr>
        <w:tc>
          <w:tcPr>
            <w:tcW w:w="3099"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2735503D" w14:textId="77777777" w:rsidR="003914D2" w:rsidRDefault="003914D2">
            <w:pPr>
              <w:jc w:val="center"/>
              <w:rPr>
                <w:rFonts w:ascii="Arial" w:hAnsi="Arial" w:cs="Arial"/>
                <w:b/>
                <w:bCs/>
                <w:color w:val="000000"/>
                <w:sz w:val="16"/>
                <w:szCs w:val="16"/>
              </w:rPr>
            </w:pPr>
            <w:bookmarkStart w:id="127" w:name="_Hlk511901498"/>
            <w:r>
              <w:rPr>
                <w:rFonts w:ascii="Arial" w:hAnsi="Arial" w:cs="Arial"/>
                <w:b/>
                <w:bCs/>
                <w:sz w:val="16"/>
                <w:szCs w:val="16"/>
              </w:rPr>
              <w:t>Descripción</w:t>
            </w:r>
          </w:p>
        </w:tc>
        <w:tc>
          <w:tcPr>
            <w:tcW w:w="1289"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4353F6FF"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Apropiación </w:t>
            </w:r>
          </w:p>
        </w:tc>
        <w:tc>
          <w:tcPr>
            <w:tcW w:w="1280" w:type="dxa"/>
            <w:tcBorders>
              <w:top w:val="single" w:sz="8" w:space="0" w:color="auto"/>
              <w:left w:val="nil"/>
              <w:bottom w:val="single" w:sz="8" w:space="0" w:color="auto"/>
              <w:right w:val="single" w:sz="8" w:space="0" w:color="auto"/>
            </w:tcBorders>
            <w:shd w:val="clear" w:color="auto" w:fill="4F81BD" w:themeFill="accent1"/>
            <w:vAlign w:val="center"/>
            <w:hideMark/>
          </w:tcPr>
          <w:p w14:paraId="07377DC4"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536" w:type="dxa"/>
            <w:tcBorders>
              <w:top w:val="single" w:sz="8" w:space="0" w:color="auto"/>
              <w:left w:val="nil"/>
              <w:bottom w:val="single" w:sz="8" w:space="0" w:color="auto"/>
              <w:right w:val="single" w:sz="8" w:space="0" w:color="auto"/>
            </w:tcBorders>
            <w:shd w:val="clear" w:color="auto" w:fill="4F81BD" w:themeFill="accent1"/>
            <w:vAlign w:val="center"/>
            <w:hideMark/>
          </w:tcPr>
          <w:p w14:paraId="76E0759B"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309" w:type="dxa"/>
            <w:tcBorders>
              <w:top w:val="single" w:sz="8" w:space="0" w:color="auto"/>
              <w:left w:val="nil"/>
              <w:bottom w:val="single" w:sz="8" w:space="0" w:color="auto"/>
              <w:right w:val="single" w:sz="8" w:space="0" w:color="auto"/>
            </w:tcBorders>
            <w:shd w:val="clear" w:color="auto" w:fill="4F81BD" w:themeFill="accent1"/>
            <w:vAlign w:val="center"/>
            <w:hideMark/>
          </w:tcPr>
          <w:p w14:paraId="1C0CBE5C"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899" w:type="dxa"/>
            <w:tcBorders>
              <w:top w:val="single" w:sz="8" w:space="0" w:color="auto"/>
              <w:left w:val="nil"/>
              <w:bottom w:val="single" w:sz="8" w:space="0" w:color="auto"/>
              <w:right w:val="single" w:sz="8" w:space="0" w:color="auto"/>
            </w:tcBorders>
            <w:shd w:val="clear" w:color="auto" w:fill="4F81BD" w:themeFill="accent1"/>
            <w:vAlign w:val="center"/>
            <w:hideMark/>
          </w:tcPr>
          <w:p w14:paraId="2FEF9D6C"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3914D2" w14:paraId="3689EB81" w14:textId="77777777" w:rsidTr="003914D2">
        <w:trPr>
          <w:trHeight w:val="218"/>
        </w:trPr>
        <w:tc>
          <w:tcPr>
            <w:tcW w:w="3099" w:type="dxa"/>
            <w:tcBorders>
              <w:top w:val="nil"/>
              <w:left w:val="single" w:sz="8" w:space="0" w:color="auto"/>
              <w:bottom w:val="single" w:sz="8" w:space="0" w:color="auto"/>
              <w:right w:val="single" w:sz="8" w:space="0" w:color="auto"/>
            </w:tcBorders>
            <w:noWrap/>
            <w:vAlign w:val="center"/>
            <w:hideMark/>
          </w:tcPr>
          <w:p w14:paraId="717E8EC0" w14:textId="77777777" w:rsidR="003914D2" w:rsidRDefault="003914D2">
            <w:pPr>
              <w:rPr>
                <w:rFonts w:ascii="Arial" w:hAnsi="Arial" w:cs="Arial"/>
                <w:b/>
                <w:bCs/>
                <w:color w:val="000000"/>
                <w:sz w:val="16"/>
                <w:szCs w:val="16"/>
              </w:rPr>
            </w:pPr>
            <w:r>
              <w:rPr>
                <w:rFonts w:ascii="Arial" w:hAnsi="Arial" w:cs="Arial"/>
                <w:b/>
                <w:bCs/>
                <w:sz w:val="16"/>
                <w:szCs w:val="16"/>
              </w:rPr>
              <w:t>Gastos de Personal –</w:t>
            </w:r>
            <w:r>
              <w:rPr>
                <w:rFonts w:ascii="Arial" w:hAnsi="Arial" w:cs="Arial"/>
                <w:sz w:val="16"/>
                <w:szCs w:val="16"/>
              </w:rPr>
              <w:t xml:space="preserve"> Servicios Personales Indirectos</w:t>
            </w:r>
          </w:p>
        </w:tc>
        <w:tc>
          <w:tcPr>
            <w:tcW w:w="1289" w:type="dxa"/>
            <w:tcBorders>
              <w:top w:val="nil"/>
              <w:left w:val="nil"/>
              <w:bottom w:val="single" w:sz="8" w:space="0" w:color="auto"/>
              <w:right w:val="single" w:sz="8" w:space="0" w:color="auto"/>
            </w:tcBorders>
            <w:noWrap/>
            <w:vAlign w:val="center"/>
            <w:hideMark/>
          </w:tcPr>
          <w:p w14:paraId="1F3761E0" w14:textId="77777777" w:rsidR="003914D2" w:rsidRDefault="003914D2">
            <w:pPr>
              <w:jc w:val="right"/>
              <w:rPr>
                <w:rFonts w:ascii="Arial" w:hAnsi="Arial" w:cs="Arial"/>
                <w:color w:val="000000"/>
                <w:sz w:val="16"/>
                <w:szCs w:val="16"/>
              </w:rPr>
            </w:pPr>
            <w:r>
              <w:rPr>
                <w:rFonts w:ascii="Arial" w:hAnsi="Arial" w:cs="Arial"/>
                <w:sz w:val="16"/>
                <w:szCs w:val="16"/>
              </w:rPr>
              <w:t>$ 143</w:t>
            </w:r>
          </w:p>
        </w:tc>
        <w:tc>
          <w:tcPr>
            <w:tcW w:w="1280" w:type="dxa"/>
            <w:tcBorders>
              <w:top w:val="nil"/>
              <w:left w:val="nil"/>
              <w:bottom w:val="single" w:sz="8" w:space="0" w:color="auto"/>
              <w:right w:val="single" w:sz="8" w:space="0" w:color="auto"/>
            </w:tcBorders>
            <w:noWrap/>
            <w:vAlign w:val="center"/>
            <w:hideMark/>
          </w:tcPr>
          <w:p w14:paraId="2AB28719" w14:textId="77777777" w:rsidR="003914D2" w:rsidRDefault="003914D2">
            <w:pPr>
              <w:jc w:val="right"/>
              <w:rPr>
                <w:rFonts w:ascii="Arial" w:hAnsi="Arial" w:cs="Arial"/>
                <w:color w:val="000000"/>
                <w:sz w:val="16"/>
                <w:szCs w:val="16"/>
              </w:rPr>
            </w:pPr>
            <w:r>
              <w:rPr>
                <w:rFonts w:ascii="Arial" w:hAnsi="Arial" w:cs="Arial"/>
                <w:sz w:val="16"/>
                <w:szCs w:val="16"/>
              </w:rPr>
              <w:t>$ 143</w:t>
            </w:r>
          </w:p>
        </w:tc>
        <w:tc>
          <w:tcPr>
            <w:tcW w:w="1536" w:type="dxa"/>
            <w:tcBorders>
              <w:top w:val="nil"/>
              <w:left w:val="nil"/>
              <w:bottom w:val="single" w:sz="8" w:space="0" w:color="auto"/>
              <w:right w:val="single" w:sz="8" w:space="0" w:color="auto"/>
            </w:tcBorders>
            <w:noWrap/>
            <w:vAlign w:val="center"/>
            <w:hideMark/>
          </w:tcPr>
          <w:p w14:paraId="1DF590D1" w14:textId="77777777" w:rsidR="003914D2" w:rsidRDefault="003914D2">
            <w:pPr>
              <w:jc w:val="right"/>
              <w:rPr>
                <w:rFonts w:ascii="Arial" w:hAnsi="Arial" w:cs="Arial"/>
                <w:color w:val="000000"/>
                <w:sz w:val="16"/>
                <w:szCs w:val="16"/>
              </w:rPr>
            </w:pPr>
            <w:r>
              <w:rPr>
                <w:rFonts w:ascii="Arial" w:hAnsi="Arial" w:cs="Arial"/>
                <w:sz w:val="16"/>
                <w:szCs w:val="16"/>
              </w:rPr>
              <w:t>$ 143</w:t>
            </w:r>
          </w:p>
        </w:tc>
        <w:tc>
          <w:tcPr>
            <w:tcW w:w="1309" w:type="dxa"/>
            <w:tcBorders>
              <w:top w:val="nil"/>
              <w:left w:val="nil"/>
              <w:bottom w:val="single" w:sz="8" w:space="0" w:color="auto"/>
              <w:right w:val="single" w:sz="8" w:space="0" w:color="auto"/>
            </w:tcBorders>
            <w:noWrap/>
            <w:vAlign w:val="center"/>
            <w:hideMark/>
          </w:tcPr>
          <w:p w14:paraId="70C16762" w14:textId="77777777" w:rsidR="003914D2" w:rsidRDefault="003914D2">
            <w:pPr>
              <w:jc w:val="right"/>
              <w:rPr>
                <w:rFonts w:ascii="Arial" w:hAnsi="Arial" w:cs="Arial"/>
                <w:color w:val="000000"/>
                <w:sz w:val="16"/>
                <w:szCs w:val="16"/>
              </w:rPr>
            </w:pPr>
            <w:r>
              <w:rPr>
                <w:rFonts w:ascii="Arial" w:hAnsi="Arial" w:cs="Arial"/>
                <w:sz w:val="16"/>
                <w:szCs w:val="16"/>
              </w:rPr>
              <w:t>$ 56</w:t>
            </w:r>
          </w:p>
        </w:tc>
        <w:tc>
          <w:tcPr>
            <w:tcW w:w="899" w:type="dxa"/>
            <w:tcBorders>
              <w:top w:val="nil"/>
              <w:left w:val="nil"/>
              <w:bottom w:val="single" w:sz="8" w:space="0" w:color="auto"/>
              <w:right w:val="single" w:sz="8" w:space="0" w:color="auto"/>
            </w:tcBorders>
            <w:noWrap/>
            <w:vAlign w:val="center"/>
            <w:hideMark/>
          </w:tcPr>
          <w:p w14:paraId="46A8030D" w14:textId="77777777" w:rsidR="003914D2" w:rsidRDefault="003914D2">
            <w:pPr>
              <w:jc w:val="right"/>
              <w:rPr>
                <w:rFonts w:ascii="Arial" w:hAnsi="Arial" w:cs="Arial"/>
                <w:color w:val="000000"/>
                <w:sz w:val="16"/>
                <w:szCs w:val="16"/>
              </w:rPr>
            </w:pPr>
            <w:r>
              <w:rPr>
                <w:rFonts w:ascii="Arial" w:hAnsi="Arial" w:cs="Arial"/>
                <w:sz w:val="16"/>
                <w:szCs w:val="16"/>
              </w:rPr>
              <w:t>$ 56</w:t>
            </w:r>
          </w:p>
        </w:tc>
      </w:tr>
      <w:tr w:rsidR="003914D2" w14:paraId="4CF6E211" w14:textId="77777777" w:rsidTr="003914D2">
        <w:trPr>
          <w:trHeight w:val="218"/>
        </w:trPr>
        <w:tc>
          <w:tcPr>
            <w:tcW w:w="3099" w:type="dxa"/>
            <w:noWrap/>
            <w:vAlign w:val="bottom"/>
            <w:hideMark/>
          </w:tcPr>
          <w:p w14:paraId="641C8F46" w14:textId="77777777" w:rsidR="003914D2" w:rsidRDefault="003914D2">
            <w:pPr>
              <w:rPr>
                <w:rFonts w:ascii="Calibri" w:hAnsi="Calibri" w:cs="Times New Roman"/>
                <w:color w:val="000000"/>
                <w:sz w:val="19"/>
                <w:szCs w:val="19"/>
              </w:rPr>
            </w:pPr>
          </w:p>
        </w:tc>
        <w:tc>
          <w:tcPr>
            <w:tcW w:w="1289" w:type="dxa"/>
            <w:noWrap/>
            <w:vAlign w:val="bottom"/>
            <w:hideMark/>
          </w:tcPr>
          <w:p w14:paraId="36B16159" w14:textId="77777777" w:rsidR="003914D2" w:rsidRDefault="003914D2">
            <w:pPr>
              <w:rPr>
                <w:rFonts w:ascii="Calibri" w:hAnsi="Calibri" w:cs="Times New Roman"/>
                <w:color w:val="000000"/>
                <w:sz w:val="19"/>
                <w:szCs w:val="19"/>
              </w:rPr>
            </w:pPr>
          </w:p>
        </w:tc>
        <w:tc>
          <w:tcPr>
            <w:tcW w:w="1280" w:type="dxa"/>
            <w:noWrap/>
            <w:vAlign w:val="bottom"/>
            <w:hideMark/>
          </w:tcPr>
          <w:p w14:paraId="4DF062E8" w14:textId="77777777" w:rsidR="003914D2" w:rsidRDefault="003914D2">
            <w:pPr>
              <w:rPr>
                <w:rFonts w:ascii="Calibri" w:hAnsi="Calibri" w:cs="Times New Roman"/>
                <w:color w:val="000000"/>
                <w:sz w:val="19"/>
                <w:szCs w:val="19"/>
              </w:rPr>
            </w:pPr>
          </w:p>
        </w:tc>
        <w:tc>
          <w:tcPr>
            <w:tcW w:w="1536" w:type="dxa"/>
            <w:noWrap/>
            <w:vAlign w:val="bottom"/>
            <w:hideMark/>
          </w:tcPr>
          <w:p w14:paraId="1A0F3460" w14:textId="77777777" w:rsidR="003914D2" w:rsidRDefault="003914D2">
            <w:pPr>
              <w:rPr>
                <w:rFonts w:ascii="Calibri" w:hAnsi="Calibri" w:cs="Times New Roman"/>
                <w:color w:val="000000"/>
                <w:sz w:val="19"/>
                <w:szCs w:val="19"/>
              </w:rPr>
            </w:pPr>
          </w:p>
        </w:tc>
        <w:tc>
          <w:tcPr>
            <w:tcW w:w="1309" w:type="dxa"/>
            <w:noWrap/>
            <w:vAlign w:val="bottom"/>
            <w:hideMark/>
          </w:tcPr>
          <w:p w14:paraId="54591566" w14:textId="77777777" w:rsidR="003914D2" w:rsidRDefault="003914D2">
            <w:pPr>
              <w:rPr>
                <w:rFonts w:ascii="Calibri" w:hAnsi="Calibri" w:cs="Times New Roman"/>
                <w:color w:val="000000"/>
                <w:sz w:val="19"/>
                <w:szCs w:val="19"/>
              </w:rPr>
            </w:pPr>
          </w:p>
        </w:tc>
        <w:tc>
          <w:tcPr>
            <w:tcW w:w="899" w:type="dxa"/>
            <w:noWrap/>
            <w:vAlign w:val="bottom"/>
            <w:hideMark/>
          </w:tcPr>
          <w:p w14:paraId="7896D1AD" w14:textId="77777777" w:rsidR="003914D2" w:rsidRDefault="003914D2">
            <w:pPr>
              <w:rPr>
                <w:rFonts w:ascii="Calibri" w:hAnsi="Calibri" w:cs="Times New Roman"/>
                <w:color w:val="000000"/>
                <w:sz w:val="19"/>
                <w:szCs w:val="19"/>
              </w:rPr>
            </w:pPr>
          </w:p>
        </w:tc>
      </w:tr>
      <w:tr w:rsidR="003914D2" w14:paraId="5786340A" w14:textId="77777777" w:rsidTr="003914D2">
        <w:trPr>
          <w:trHeight w:val="218"/>
        </w:trPr>
        <w:tc>
          <w:tcPr>
            <w:tcW w:w="4388" w:type="dxa"/>
            <w:gridSpan w:val="2"/>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14:paraId="364B888F" w14:textId="77777777" w:rsidR="003914D2" w:rsidRDefault="003914D2">
            <w:pPr>
              <w:jc w:val="center"/>
              <w:rPr>
                <w:rFonts w:ascii="Arial" w:hAnsi="Arial" w:cs="Arial"/>
                <w:b/>
                <w:bCs/>
                <w:color w:val="000000"/>
                <w:sz w:val="16"/>
                <w:szCs w:val="16"/>
              </w:rPr>
            </w:pPr>
            <w:r>
              <w:rPr>
                <w:rFonts w:ascii="Arial" w:hAnsi="Arial" w:cs="Arial"/>
                <w:b/>
                <w:bCs/>
                <w:sz w:val="16"/>
                <w:szCs w:val="16"/>
              </w:rPr>
              <w:t>Porcentaje de ejecución</w:t>
            </w:r>
          </w:p>
        </w:tc>
        <w:tc>
          <w:tcPr>
            <w:tcW w:w="1280"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0AC29C63" w14:textId="77777777" w:rsidR="003914D2" w:rsidRDefault="003914D2">
            <w:pPr>
              <w:jc w:val="right"/>
              <w:rPr>
                <w:rFonts w:ascii="Arial" w:hAnsi="Arial" w:cs="Arial"/>
                <w:b/>
                <w:bCs/>
                <w:color w:val="000000"/>
                <w:sz w:val="16"/>
                <w:szCs w:val="16"/>
              </w:rPr>
            </w:pPr>
            <w:r>
              <w:rPr>
                <w:rFonts w:ascii="Arial" w:hAnsi="Arial" w:cs="Arial"/>
                <w:b/>
                <w:bCs/>
                <w:sz w:val="16"/>
                <w:szCs w:val="16"/>
              </w:rPr>
              <w:t>100%</w:t>
            </w:r>
          </w:p>
        </w:tc>
        <w:tc>
          <w:tcPr>
            <w:tcW w:w="1536"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66F62B8C" w14:textId="77777777" w:rsidR="003914D2" w:rsidRDefault="003914D2">
            <w:pPr>
              <w:jc w:val="right"/>
              <w:rPr>
                <w:rFonts w:ascii="Arial" w:hAnsi="Arial" w:cs="Arial"/>
                <w:b/>
                <w:bCs/>
                <w:color w:val="000000"/>
                <w:sz w:val="16"/>
                <w:szCs w:val="16"/>
              </w:rPr>
            </w:pPr>
            <w:r>
              <w:rPr>
                <w:rFonts w:ascii="Arial" w:hAnsi="Arial" w:cs="Arial"/>
                <w:b/>
                <w:bCs/>
                <w:sz w:val="16"/>
                <w:szCs w:val="16"/>
              </w:rPr>
              <w:t>100%</w:t>
            </w:r>
          </w:p>
        </w:tc>
        <w:tc>
          <w:tcPr>
            <w:tcW w:w="1309"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0CF192CC" w14:textId="77777777" w:rsidR="003914D2" w:rsidRDefault="003914D2">
            <w:pPr>
              <w:jc w:val="right"/>
              <w:rPr>
                <w:rFonts w:ascii="Arial" w:hAnsi="Arial" w:cs="Arial"/>
                <w:b/>
                <w:bCs/>
                <w:color w:val="000000"/>
                <w:sz w:val="16"/>
                <w:szCs w:val="16"/>
              </w:rPr>
            </w:pPr>
            <w:r>
              <w:rPr>
                <w:rFonts w:ascii="Arial" w:hAnsi="Arial" w:cs="Arial"/>
                <w:b/>
                <w:bCs/>
                <w:sz w:val="16"/>
                <w:szCs w:val="16"/>
              </w:rPr>
              <w:t>39%</w:t>
            </w:r>
          </w:p>
        </w:tc>
        <w:tc>
          <w:tcPr>
            <w:tcW w:w="899"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2A995608" w14:textId="77777777" w:rsidR="003914D2" w:rsidRDefault="003914D2">
            <w:pPr>
              <w:jc w:val="right"/>
              <w:rPr>
                <w:rFonts w:ascii="Arial" w:hAnsi="Arial" w:cs="Arial"/>
                <w:b/>
                <w:bCs/>
                <w:color w:val="000000"/>
                <w:sz w:val="16"/>
                <w:szCs w:val="16"/>
              </w:rPr>
            </w:pPr>
            <w:r>
              <w:rPr>
                <w:rFonts w:ascii="Arial" w:hAnsi="Arial" w:cs="Arial"/>
                <w:b/>
                <w:bCs/>
                <w:sz w:val="16"/>
                <w:szCs w:val="16"/>
              </w:rPr>
              <w:t>39%</w:t>
            </w:r>
          </w:p>
        </w:tc>
      </w:tr>
    </w:tbl>
    <w:p w14:paraId="0CE34CF4" w14:textId="77777777" w:rsidR="00C02282" w:rsidRPr="003914D2" w:rsidRDefault="00C0228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t>Millones de pesos</w:t>
      </w:r>
    </w:p>
    <w:p w14:paraId="070BD6AE" w14:textId="77777777" w:rsidR="00C02282" w:rsidRPr="003914D2" w:rsidRDefault="00C02282" w:rsidP="00C02282">
      <w:pPr>
        <w:jc w:val="center"/>
        <w:rPr>
          <w:rFonts w:ascii="Arial" w:hAnsi="Arial" w:cs="Arial"/>
          <w:bCs/>
          <w:lang w:val="es-MX" w:eastAsia="es-ES"/>
        </w:rPr>
      </w:pPr>
      <w:r w:rsidRPr="003914D2">
        <w:rPr>
          <w:rFonts w:ascii="Calibri" w:hAnsi="Calibri" w:cs="Calibri"/>
          <w:sz w:val="18"/>
          <w:szCs w:val="18"/>
        </w:rPr>
        <w:t>Fuente SIIF</w:t>
      </w:r>
    </w:p>
    <w:bookmarkEnd w:id="127"/>
    <w:p w14:paraId="6C3780DD" w14:textId="77777777" w:rsidR="00C02282" w:rsidRPr="006A67B4" w:rsidRDefault="00C02282" w:rsidP="00C02282">
      <w:pPr>
        <w:jc w:val="both"/>
        <w:rPr>
          <w:rFonts w:ascii="Arial" w:hAnsi="Arial" w:cs="Arial"/>
          <w:b/>
          <w:highlight w:val="yellow"/>
          <w:lang w:val="es-ES" w:eastAsia="es-ES"/>
        </w:rPr>
      </w:pPr>
    </w:p>
    <w:p w14:paraId="28578C35" w14:textId="77777777" w:rsidR="00C02282" w:rsidRPr="003914D2" w:rsidRDefault="00C02282" w:rsidP="00C02282">
      <w:pPr>
        <w:jc w:val="both"/>
        <w:rPr>
          <w:rFonts w:ascii="Arial" w:hAnsi="Arial" w:cs="Arial"/>
          <w:lang w:val="es-ES" w:eastAsia="es-ES"/>
        </w:rPr>
      </w:pPr>
      <w:r w:rsidRPr="003914D2">
        <w:rPr>
          <w:rFonts w:ascii="Arial" w:hAnsi="Arial" w:cs="Arial"/>
          <w:b/>
          <w:lang w:val="es-ES" w:eastAsia="es-ES"/>
        </w:rPr>
        <w:t xml:space="preserve">Talento Humano - </w:t>
      </w:r>
      <w:r w:rsidRPr="003914D2">
        <w:rPr>
          <w:rFonts w:ascii="Arial" w:hAnsi="Arial" w:cs="Arial"/>
          <w:b/>
          <w:bCs/>
          <w:lang w:val="es-MX" w:eastAsia="es-ES"/>
        </w:rPr>
        <w:t>Vicepresidencia Administrativa y Financiera:</w:t>
      </w:r>
    </w:p>
    <w:p w14:paraId="412E67D0" w14:textId="77777777" w:rsidR="003914D2" w:rsidRDefault="003914D2" w:rsidP="003914D2">
      <w:pPr>
        <w:jc w:val="both"/>
        <w:rPr>
          <w:rFonts w:ascii="Arial" w:hAnsi="Arial" w:cs="Arial"/>
          <w:lang w:val="es-ES" w:eastAsia="es-ES"/>
        </w:rPr>
      </w:pPr>
      <w:r>
        <w:rPr>
          <w:rFonts w:ascii="Arial" w:hAnsi="Arial" w:cs="Arial"/>
          <w:lang w:val="es-ES" w:eastAsia="es-ES"/>
        </w:rPr>
        <w:t>Al corte del II trimestre del año 2018 se suscribió el contrato el Contrato 439 de 2018 con la Caja de Compensación Familiar por valor de $363 millones, cuyo objeto es contratar actividades de bienestar social para el servidor público de la Agencia y su núcleo familiar, con el propósito de fortalecer y mantener un excelente clima laboral y el mejoramiento de la calidad de vida de éstos.</w:t>
      </w:r>
    </w:p>
    <w:p w14:paraId="4C744407" w14:textId="77777777" w:rsidR="003914D2" w:rsidRDefault="003914D2" w:rsidP="003914D2">
      <w:pPr>
        <w:jc w:val="both"/>
        <w:rPr>
          <w:rFonts w:ascii="Arial" w:hAnsi="Arial" w:cs="Arial"/>
          <w:lang w:val="es-ES" w:eastAsia="es-ES"/>
        </w:rPr>
      </w:pPr>
      <w:r>
        <w:rPr>
          <w:rFonts w:ascii="Arial" w:hAnsi="Arial" w:cs="Arial"/>
          <w:lang w:val="es-ES" w:eastAsia="es-ES"/>
        </w:rPr>
        <w:t>De igual forma se suscribió el contrato 462 de 2018 con ICONTEC, con el objeto de desarrollar actividades de capacitación para el fortalecimiento de competencias transversales, por un valor inicial de $22 millones.</w:t>
      </w:r>
    </w:p>
    <w:p w14:paraId="19958A18" w14:textId="77777777" w:rsidR="003914D2" w:rsidRDefault="003914D2" w:rsidP="003914D2">
      <w:pPr>
        <w:jc w:val="both"/>
        <w:rPr>
          <w:rFonts w:ascii="Arial" w:hAnsi="Arial" w:cs="Arial"/>
          <w:lang w:val="es-ES" w:eastAsia="es-ES"/>
        </w:rPr>
      </w:pPr>
      <w:r>
        <w:rPr>
          <w:rFonts w:ascii="Arial" w:hAnsi="Arial" w:cs="Arial"/>
          <w:lang w:val="es-ES" w:eastAsia="es-ES"/>
        </w:rPr>
        <w:t>Se suscribieron dos (2) contratos de prestación de servicios para apoyar diversas actividades del Grupo de Talento Humano. El valor ascendió a la suma de $184 millones.</w:t>
      </w:r>
    </w:p>
    <w:p w14:paraId="50A70DE9" w14:textId="33CD81E8" w:rsidR="003914D2" w:rsidRDefault="003914D2" w:rsidP="003914D2">
      <w:pPr>
        <w:jc w:val="both"/>
        <w:rPr>
          <w:rFonts w:ascii="Arial" w:hAnsi="Arial" w:cs="Arial"/>
          <w:lang w:val="es-ES" w:eastAsia="es-ES"/>
        </w:rPr>
      </w:pPr>
      <w:r>
        <w:rPr>
          <w:rFonts w:ascii="Arial" w:hAnsi="Arial" w:cs="Arial"/>
          <w:lang w:val="es-ES" w:eastAsia="es-ES"/>
        </w:rPr>
        <w:t xml:space="preserve"> No se tiene planeado la celebración de nuevos contratos durante el segundo trimestre del año 2018. </w:t>
      </w:r>
    </w:p>
    <w:p w14:paraId="09FC8CEE" w14:textId="63040AFC" w:rsidR="00C02282" w:rsidRPr="003914D2" w:rsidRDefault="00C02282" w:rsidP="00C02282">
      <w:pPr>
        <w:pStyle w:val="Descripcin"/>
        <w:keepNext/>
        <w:jc w:val="center"/>
      </w:pPr>
      <w:bookmarkStart w:id="128" w:name="_Toc525652499"/>
      <w:r w:rsidRPr="003914D2">
        <w:lastRenderedPageBreak/>
        <w:t xml:space="preserve">Tabla </w:t>
      </w:r>
      <w:r w:rsidRPr="003914D2">
        <w:fldChar w:fldCharType="begin"/>
      </w:r>
      <w:r w:rsidRPr="003914D2">
        <w:instrText xml:space="preserve"> SEQ Tabla \* ARABIC </w:instrText>
      </w:r>
      <w:r w:rsidRPr="003914D2">
        <w:fldChar w:fldCharType="separate"/>
      </w:r>
      <w:r w:rsidR="008B4625">
        <w:rPr>
          <w:noProof/>
        </w:rPr>
        <w:t>54</w:t>
      </w:r>
      <w:r w:rsidRPr="003914D2">
        <w:fldChar w:fldCharType="end"/>
      </w:r>
      <w:r w:rsidRPr="003914D2">
        <w:t xml:space="preserve"> Ejecución Gastos de Personal – Talento Humano Servicios Indirectos </w:t>
      </w:r>
      <w:r w:rsidR="003914D2" w:rsidRPr="003914D2">
        <w:t xml:space="preserve">A 30 de junio de </w:t>
      </w:r>
      <w:r w:rsidRPr="003914D2">
        <w:t>2018 ANH</w:t>
      </w:r>
      <w:bookmarkEnd w:id="128"/>
    </w:p>
    <w:tbl>
      <w:tblPr>
        <w:tblW w:w="0" w:type="auto"/>
        <w:tblInd w:w="-10" w:type="dxa"/>
        <w:tblCellMar>
          <w:left w:w="70" w:type="dxa"/>
          <w:right w:w="70" w:type="dxa"/>
        </w:tblCellMar>
        <w:tblLook w:val="04A0" w:firstRow="1" w:lastRow="0" w:firstColumn="1" w:lastColumn="0" w:noHBand="0" w:noVBand="1"/>
      </w:tblPr>
      <w:tblGrid>
        <w:gridCol w:w="2046"/>
        <w:gridCol w:w="1383"/>
        <w:gridCol w:w="1501"/>
        <w:gridCol w:w="1848"/>
        <w:gridCol w:w="1428"/>
        <w:gridCol w:w="1188"/>
      </w:tblGrid>
      <w:tr w:rsidR="003914D2" w14:paraId="6ABFB631" w14:textId="77777777" w:rsidTr="003914D2">
        <w:trPr>
          <w:trHeight w:val="915"/>
        </w:trPr>
        <w:tc>
          <w:tcPr>
            <w:tcW w:w="2049"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753A59C4" w14:textId="77777777" w:rsidR="003914D2" w:rsidRDefault="003914D2">
            <w:pPr>
              <w:jc w:val="center"/>
              <w:rPr>
                <w:rFonts w:ascii="Arial" w:hAnsi="Arial" w:cs="Arial"/>
                <w:b/>
                <w:bCs/>
                <w:color w:val="000000"/>
                <w:sz w:val="16"/>
                <w:szCs w:val="16"/>
              </w:rPr>
            </w:pPr>
            <w:r>
              <w:rPr>
                <w:rFonts w:ascii="Arial" w:hAnsi="Arial" w:cs="Arial"/>
                <w:b/>
                <w:bCs/>
                <w:sz w:val="16"/>
                <w:szCs w:val="16"/>
              </w:rPr>
              <w:t>Descripción</w:t>
            </w:r>
          </w:p>
        </w:tc>
        <w:tc>
          <w:tcPr>
            <w:tcW w:w="1386"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5A92B5FA"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Apropiación </w:t>
            </w:r>
          </w:p>
        </w:tc>
        <w:tc>
          <w:tcPr>
            <w:tcW w:w="1504" w:type="dxa"/>
            <w:tcBorders>
              <w:top w:val="single" w:sz="8" w:space="0" w:color="auto"/>
              <w:left w:val="nil"/>
              <w:bottom w:val="single" w:sz="8" w:space="0" w:color="auto"/>
              <w:right w:val="single" w:sz="8" w:space="0" w:color="auto"/>
            </w:tcBorders>
            <w:shd w:val="clear" w:color="auto" w:fill="4F81BD" w:themeFill="accent1"/>
            <w:vAlign w:val="center"/>
            <w:hideMark/>
          </w:tcPr>
          <w:p w14:paraId="495C28BD"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852" w:type="dxa"/>
            <w:tcBorders>
              <w:top w:val="single" w:sz="8" w:space="0" w:color="auto"/>
              <w:left w:val="nil"/>
              <w:bottom w:val="single" w:sz="8" w:space="0" w:color="auto"/>
              <w:right w:val="single" w:sz="8" w:space="0" w:color="auto"/>
            </w:tcBorders>
            <w:shd w:val="clear" w:color="auto" w:fill="4F81BD" w:themeFill="accent1"/>
            <w:vAlign w:val="center"/>
            <w:hideMark/>
          </w:tcPr>
          <w:p w14:paraId="6F93AA3B"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431" w:type="dxa"/>
            <w:tcBorders>
              <w:top w:val="single" w:sz="8" w:space="0" w:color="auto"/>
              <w:left w:val="nil"/>
              <w:bottom w:val="single" w:sz="8" w:space="0" w:color="auto"/>
              <w:right w:val="single" w:sz="8" w:space="0" w:color="auto"/>
            </w:tcBorders>
            <w:shd w:val="clear" w:color="auto" w:fill="4F81BD" w:themeFill="accent1"/>
            <w:vAlign w:val="center"/>
            <w:hideMark/>
          </w:tcPr>
          <w:p w14:paraId="0EF695E5"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190" w:type="dxa"/>
            <w:tcBorders>
              <w:top w:val="single" w:sz="8" w:space="0" w:color="auto"/>
              <w:left w:val="nil"/>
              <w:bottom w:val="single" w:sz="8" w:space="0" w:color="auto"/>
              <w:right w:val="single" w:sz="8" w:space="0" w:color="auto"/>
            </w:tcBorders>
            <w:shd w:val="clear" w:color="auto" w:fill="4F81BD" w:themeFill="accent1"/>
            <w:vAlign w:val="center"/>
            <w:hideMark/>
          </w:tcPr>
          <w:p w14:paraId="24E11A6E"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3914D2" w14:paraId="21E28FAB" w14:textId="77777777" w:rsidTr="003914D2">
        <w:trPr>
          <w:trHeight w:val="315"/>
        </w:trPr>
        <w:tc>
          <w:tcPr>
            <w:tcW w:w="2049" w:type="dxa"/>
            <w:tcBorders>
              <w:top w:val="nil"/>
              <w:left w:val="single" w:sz="8" w:space="0" w:color="auto"/>
              <w:bottom w:val="single" w:sz="8" w:space="0" w:color="auto"/>
              <w:right w:val="single" w:sz="8" w:space="0" w:color="auto"/>
            </w:tcBorders>
            <w:noWrap/>
            <w:vAlign w:val="center"/>
            <w:hideMark/>
          </w:tcPr>
          <w:p w14:paraId="57BD5389" w14:textId="77777777" w:rsidR="003914D2" w:rsidRDefault="003914D2">
            <w:pPr>
              <w:rPr>
                <w:rFonts w:ascii="Arial" w:hAnsi="Arial" w:cs="Arial"/>
                <w:b/>
                <w:bCs/>
                <w:color w:val="000000"/>
                <w:sz w:val="16"/>
                <w:szCs w:val="16"/>
              </w:rPr>
            </w:pPr>
            <w:r>
              <w:rPr>
                <w:rFonts w:ascii="Arial" w:hAnsi="Arial" w:cs="Arial"/>
                <w:b/>
                <w:bCs/>
                <w:sz w:val="16"/>
                <w:szCs w:val="16"/>
              </w:rPr>
              <w:t>Gastos de Personal –</w:t>
            </w:r>
            <w:r>
              <w:rPr>
                <w:rFonts w:ascii="Arial" w:hAnsi="Arial" w:cs="Arial"/>
                <w:sz w:val="16"/>
                <w:szCs w:val="16"/>
              </w:rPr>
              <w:t xml:space="preserve"> Servicios Personales Indirectos</w:t>
            </w:r>
          </w:p>
        </w:tc>
        <w:tc>
          <w:tcPr>
            <w:tcW w:w="1386" w:type="dxa"/>
            <w:tcBorders>
              <w:top w:val="nil"/>
              <w:left w:val="nil"/>
              <w:bottom w:val="single" w:sz="8" w:space="0" w:color="auto"/>
              <w:right w:val="single" w:sz="8" w:space="0" w:color="auto"/>
            </w:tcBorders>
            <w:noWrap/>
            <w:vAlign w:val="center"/>
            <w:hideMark/>
          </w:tcPr>
          <w:p w14:paraId="153A9187" w14:textId="77777777" w:rsidR="003914D2" w:rsidRDefault="003914D2">
            <w:pPr>
              <w:jc w:val="right"/>
              <w:rPr>
                <w:rFonts w:ascii="Arial" w:hAnsi="Arial" w:cs="Arial"/>
                <w:color w:val="000000"/>
                <w:sz w:val="16"/>
                <w:szCs w:val="16"/>
              </w:rPr>
            </w:pPr>
            <w:r>
              <w:rPr>
                <w:rFonts w:ascii="Arial" w:hAnsi="Arial" w:cs="Arial"/>
                <w:sz w:val="16"/>
                <w:szCs w:val="16"/>
              </w:rPr>
              <w:t>$ 144</w:t>
            </w:r>
          </w:p>
        </w:tc>
        <w:tc>
          <w:tcPr>
            <w:tcW w:w="1504" w:type="dxa"/>
            <w:tcBorders>
              <w:top w:val="nil"/>
              <w:left w:val="nil"/>
              <w:bottom w:val="single" w:sz="8" w:space="0" w:color="auto"/>
              <w:right w:val="single" w:sz="8" w:space="0" w:color="auto"/>
            </w:tcBorders>
            <w:noWrap/>
            <w:vAlign w:val="center"/>
            <w:hideMark/>
          </w:tcPr>
          <w:p w14:paraId="02EDAAF5" w14:textId="77777777" w:rsidR="003914D2" w:rsidRDefault="003914D2">
            <w:pPr>
              <w:jc w:val="right"/>
              <w:rPr>
                <w:rFonts w:ascii="Arial" w:hAnsi="Arial" w:cs="Arial"/>
                <w:color w:val="000000"/>
                <w:sz w:val="16"/>
                <w:szCs w:val="16"/>
              </w:rPr>
            </w:pPr>
            <w:r>
              <w:rPr>
                <w:rFonts w:ascii="Arial" w:hAnsi="Arial" w:cs="Arial"/>
                <w:sz w:val="16"/>
                <w:szCs w:val="16"/>
              </w:rPr>
              <w:t>$ 143</w:t>
            </w:r>
          </w:p>
        </w:tc>
        <w:tc>
          <w:tcPr>
            <w:tcW w:w="1852" w:type="dxa"/>
            <w:tcBorders>
              <w:top w:val="nil"/>
              <w:left w:val="nil"/>
              <w:bottom w:val="single" w:sz="8" w:space="0" w:color="auto"/>
              <w:right w:val="single" w:sz="8" w:space="0" w:color="auto"/>
            </w:tcBorders>
            <w:noWrap/>
            <w:vAlign w:val="center"/>
            <w:hideMark/>
          </w:tcPr>
          <w:p w14:paraId="72C43458" w14:textId="77777777" w:rsidR="003914D2" w:rsidRDefault="003914D2">
            <w:pPr>
              <w:jc w:val="right"/>
              <w:rPr>
                <w:rFonts w:ascii="Arial" w:hAnsi="Arial" w:cs="Arial"/>
                <w:color w:val="000000"/>
                <w:sz w:val="16"/>
                <w:szCs w:val="16"/>
              </w:rPr>
            </w:pPr>
            <w:r>
              <w:rPr>
                <w:rFonts w:ascii="Arial" w:hAnsi="Arial" w:cs="Arial"/>
                <w:sz w:val="16"/>
                <w:szCs w:val="16"/>
              </w:rPr>
              <w:t>$ 143</w:t>
            </w:r>
          </w:p>
        </w:tc>
        <w:tc>
          <w:tcPr>
            <w:tcW w:w="1431" w:type="dxa"/>
            <w:tcBorders>
              <w:top w:val="nil"/>
              <w:left w:val="nil"/>
              <w:bottom w:val="single" w:sz="8" w:space="0" w:color="auto"/>
              <w:right w:val="single" w:sz="8" w:space="0" w:color="auto"/>
            </w:tcBorders>
            <w:noWrap/>
            <w:vAlign w:val="center"/>
            <w:hideMark/>
          </w:tcPr>
          <w:p w14:paraId="6C190EC7" w14:textId="77777777" w:rsidR="003914D2" w:rsidRDefault="003914D2">
            <w:pPr>
              <w:jc w:val="right"/>
              <w:rPr>
                <w:rFonts w:ascii="Arial" w:hAnsi="Arial" w:cs="Arial"/>
                <w:color w:val="000000"/>
                <w:sz w:val="16"/>
                <w:szCs w:val="16"/>
              </w:rPr>
            </w:pPr>
            <w:r>
              <w:rPr>
                <w:rFonts w:ascii="Arial" w:hAnsi="Arial" w:cs="Arial"/>
                <w:sz w:val="16"/>
                <w:szCs w:val="16"/>
              </w:rPr>
              <w:t>$56</w:t>
            </w:r>
          </w:p>
        </w:tc>
        <w:tc>
          <w:tcPr>
            <w:tcW w:w="1190" w:type="dxa"/>
            <w:tcBorders>
              <w:top w:val="nil"/>
              <w:left w:val="nil"/>
              <w:bottom w:val="single" w:sz="8" w:space="0" w:color="auto"/>
              <w:right w:val="single" w:sz="8" w:space="0" w:color="auto"/>
            </w:tcBorders>
            <w:noWrap/>
            <w:vAlign w:val="center"/>
            <w:hideMark/>
          </w:tcPr>
          <w:p w14:paraId="1858CDF9" w14:textId="77777777" w:rsidR="003914D2" w:rsidRDefault="003914D2">
            <w:pPr>
              <w:jc w:val="right"/>
              <w:rPr>
                <w:rFonts w:ascii="Arial" w:hAnsi="Arial" w:cs="Arial"/>
                <w:color w:val="000000"/>
                <w:sz w:val="16"/>
                <w:szCs w:val="16"/>
              </w:rPr>
            </w:pPr>
            <w:r>
              <w:rPr>
                <w:rFonts w:ascii="Arial" w:hAnsi="Arial" w:cs="Arial"/>
                <w:sz w:val="16"/>
                <w:szCs w:val="16"/>
              </w:rPr>
              <w:t>$ 56</w:t>
            </w:r>
          </w:p>
        </w:tc>
      </w:tr>
      <w:tr w:rsidR="003914D2" w14:paraId="11E10CCA" w14:textId="77777777" w:rsidTr="003914D2">
        <w:trPr>
          <w:trHeight w:val="315"/>
        </w:trPr>
        <w:tc>
          <w:tcPr>
            <w:tcW w:w="2049" w:type="dxa"/>
            <w:noWrap/>
            <w:vAlign w:val="bottom"/>
            <w:hideMark/>
          </w:tcPr>
          <w:p w14:paraId="0BAE4E2B" w14:textId="77777777" w:rsidR="003914D2" w:rsidRDefault="003914D2">
            <w:pPr>
              <w:rPr>
                <w:rFonts w:ascii="Calibri" w:hAnsi="Calibri" w:cs="Times New Roman"/>
                <w:color w:val="000000"/>
                <w:sz w:val="19"/>
                <w:szCs w:val="19"/>
              </w:rPr>
            </w:pPr>
          </w:p>
        </w:tc>
        <w:tc>
          <w:tcPr>
            <w:tcW w:w="1386" w:type="dxa"/>
            <w:noWrap/>
            <w:vAlign w:val="bottom"/>
            <w:hideMark/>
          </w:tcPr>
          <w:p w14:paraId="38F98031" w14:textId="77777777" w:rsidR="003914D2" w:rsidRDefault="003914D2">
            <w:pPr>
              <w:rPr>
                <w:rFonts w:ascii="Calibri" w:hAnsi="Calibri" w:cs="Times New Roman"/>
                <w:color w:val="000000"/>
                <w:sz w:val="19"/>
                <w:szCs w:val="19"/>
              </w:rPr>
            </w:pPr>
          </w:p>
        </w:tc>
        <w:tc>
          <w:tcPr>
            <w:tcW w:w="1504" w:type="dxa"/>
            <w:noWrap/>
            <w:vAlign w:val="bottom"/>
            <w:hideMark/>
          </w:tcPr>
          <w:p w14:paraId="56B7B6F5" w14:textId="77777777" w:rsidR="003914D2" w:rsidRDefault="003914D2">
            <w:pPr>
              <w:rPr>
                <w:rFonts w:ascii="Calibri" w:hAnsi="Calibri" w:cs="Times New Roman"/>
                <w:color w:val="000000"/>
                <w:sz w:val="19"/>
                <w:szCs w:val="19"/>
              </w:rPr>
            </w:pPr>
          </w:p>
        </w:tc>
        <w:tc>
          <w:tcPr>
            <w:tcW w:w="1852" w:type="dxa"/>
            <w:noWrap/>
            <w:vAlign w:val="bottom"/>
            <w:hideMark/>
          </w:tcPr>
          <w:p w14:paraId="60F2C911" w14:textId="77777777" w:rsidR="003914D2" w:rsidRDefault="003914D2">
            <w:pPr>
              <w:rPr>
                <w:rFonts w:ascii="Calibri" w:hAnsi="Calibri" w:cs="Times New Roman"/>
                <w:color w:val="000000"/>
                <w:sz w:val="19"/>
                <w:szCs w:val="19"/>
              </w:rPr>
            </w:pPr>
          </w:p>
        </w:tc>
        <w:tc>
          <w:tcPr>
            <w:tcW w:w="1431" w:type="dxa"/>
            <w:noWrap/>
            <w:vAlign w:val="bottom"/>
            <w:hideMark/>
          </w:tcPr>
          <w:p w14:paraId="5D1878E0" w14:textId="77777777" w:rsidR="003914D2" w:rsidRDefault="003914D2">
            <w:pPr>
              <w:rPr>
                <w:rFonts w:ascii="Calibri" w:hAnsi="Calibri" w:cs="Times New Roman"/>
                <w:color w:val="000000"/>
                <w:sz w:val="19"/>
                <w:szCs w:val="19"/>
              </w:rPr>
            </w:pPr>
          </w:p>
        </w:tc>
        <w:tc>
          <w:tcPr>
            <w:tcW w:w="1190" w:type="dxa"/>
            <w:noWrap/>
            <w:vAlign w:val="bottom"/>
            <w:hideMark/>
          </w:tcPr>
          <w:p w14:paraId="0EE21234" w14:textId="77777777" w:rsidR="003914D2" w:rsidRDefault="003914D2">
            <w:pPr>
              <w:rPr>
                <w:rFonts w:ascii="Calibri" w:hAnsi="Calibri" w:cs="Times New Roman"/>
                <w:color w:val="000000"/>
                <w:sz w:val="19"/>
                <w:szCs w:val="19"/>
              </w:rPr>
            </w:pPr>
          </w:p>
        </w:tc>
      </w:tr>
      <w:tr w:rsidR="003914D2" w14:paraId="160B0A38" w14:textId="77777777" w:rsidTr="003914D2">
        <w:trPr>
          <w:trHeight w:val="315"/>
        </w:trPr>
        <w:tc>
          <w:tcPr>
            <w:tcW w:w="3435" w:type="dxa"/>
            <w:gridSpan w:val="2"/>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14:paraId="01B46832" w14:textId="77777777" w:rsidR="003914D2" w:rsidRDefault="003914D2">
            <w:pPr>
              <w:jc w:val="center"/>
              <w:rPr>
                <w:rFonts w:ascii="Arial" w:hAnsi="Arial" w:cs="Arial"/>
                <w:b/>
                <w:bCs/>
                <w:color w:val="000000"/>
                <w:sz w:val="16"/>
                <w:szCs w:val="16"/>
              </w:rPr>
            </w:pPr>
            <w:r>
              <w:rPr>
                <w:rFonts w:ascii="Arial" w:hAnsi="Arial" w:cs="Arial"/>
                <w:b/>
                <w:bCs/>
                <w:sz w:val="16"/>
                <w:szCs w:val="16"/>
              </w:rPr>
              <w:t>Porcentaje de ejecución</w:t>
            </w:r>
          </w:p>
        </w:tc>
        <w:tc>
          <w:tcPr>
            <w:tcW w:w="1504"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010DEC3B" w14:textId="77777777" w:rsidR="003914D2" w:rsidRDefault="003914D2">
            <w:pPr>
              <w:jc w:val="right"/>
              <w:rPr>
                <w:rFonts w:ascii="Arial" w:hAnsi="Arial" w:cs="Arial"/>
                <w:b/>
                <w:bCs/>
                <w:color w:val="000000"/>
                <w:sz w:val="16"/>
                <w:szCs w:val="16"/>
              </w:rPr>
            </w:pPr>
            <w:r>
              <w:rPr>
                <w:rFonts w:ascii="Arial" w:hAnsi="Arial" w:cs="Arial"/>
                <w:b/>
                <w:bCs/>
                <w:sz w:val="16"/>
                <w:szCs w:val="16"/>
              </w:rPr>
              <w:t>99%</w:t>
            </w:r>
          </w:p>
        </w:tc>
        <w:tc>
          <w:tcPr>
            <w:tcW w:w="1852"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0E2C5168" w14:textId="77777777" w:rsidR="003914D2" w:rsidRDefault="003914D2">
            <w:pPr>
              <w:jc w:val="right"/>
              <w:rPr>
                <w:rFonts w:ascii="Arial" w:hAnsi="Arial" w:cs="Arial"/>
                <w:b/>
                <w:bCs/>
                <w:color w:val="000000"/>
                <w:sz w:val="16"/>
                <w:szCs w:val="16"/>
              </w:rPr>
            </w:pPr>
            <w:r>
              <w:rPr>
                <w:rFonts w:ascii="Arial" w:hAnsi="Arial" w:cs="Arial"/>
                <w:b/>
                <w:bCs/>
                <w:sz w:val="16"/>
                <w:szCs w:val="16"/>
              </w:rPr>
              <w:t>99%</w:t>
            </w:r>
          </w:p>
        </w:tc>
        <w:tc>
          <w:tcPr>
            <w:tcW w:w="1431"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553BAF35" w14:textId="77777777" w:rsidR="003914D2" w:rsidRDefault="003914D2">
            <w:pPr>
              <w:jc w:val="right"/>
              <w:rPr>
                <w:rFonts w:ascii="Arial" w:hAnsi="Arial" w:cs="Arial"/>
                <w:b/>
                <w:bCs/>
                <w:color w:val="000000"/>
                <w:sz w:val="16"/>
                <w:szCs w:val="16"/>
              </w:rPr>
            </w:pPr>
            <w:r>
              <w:rPr>
                <w:rFonts w:ascii="Arial" w:hAnsi="Arial" w:cs="Arial"/>
                <w:b/>
                <w:bCs/>
                <w:sz w:val="16"/>
                <w:szCs w:val="16"/>
              </w:rPr>
              <w:t>39%</w:t>
            </w:r>
          </w:p>
        </w:tc>
        <w:tc>
          <w:tcPr>
            <w:tcW w:w="1190" w:type="dxa"/>
            <w:tcBorders>
              <w:top w:val="single" w:sz="8" w:space="0" w:color="auto"/>
              <w:left w:val="nil"/>
              <w:bottom w:val="single" w:sz="8" w:space="0" w:color="auto"/>
              <w:right w:val="single" w:sz="8" w:space="0" w:color="auto"/>
            </w:tcBorders>
            <w:shd w:val="clear" w:color="auto" w:fill="4F81BD" w:themeFill="accent1"/>
            <w:noWrap/>
            <w:vAlign w:val="center"/>
            <w:hideMark/>
          </w:tcPr>
          <w:p w14:paraId="6DBD6650" w14:textId="77777777" w:rsidR="003914D2" w:rsidRDefault="003914D2">
            <w:pPr>
              <w:jc w:val="right"/>
              <w:rPr>
                <w:rFonts w:ascii="Arial" w:hAnsi="Arial" w:cs="Arial"/>
                <w:b/>
                <w:bCs/>
                <w:color w:val="000000"/>
                <w:sz w:val="16"/>
                <w:szCs w:val="16"/>
              </w:rPr>
            </w:pPr>
            <w:r>
              <w:rPr>
                <w:rFonts w:ascii="Arial" w:hAnsi="Arial" w:cs="Arial"/>
                <w:b/>
                <w:bCs/>
                <w:sz w:val="16"/>
                <w:szCs w:val="16"/>
              </w:rPr>
              <w:t>39%</w:t>
            </w:r>
          </w:p>
        </w:tc>
      </w:tr>
    </w:tbl>
    <w:p w14:paraId="7809DC17" w14:textId="4093C343" w:rsidR="00C02282" w:rsidRPr="003914D2" w:rsidRDefault="003914D2" w:rsidP="00C02282">
      <w:pPr>
        <w:spacing w:after="0" w:line="240" w:lineRule="auto"/>
        <w:jc w:val="center"/>
        <w:rPr>
          <w:rFonts w:ascii="Arial" w:eastAsia="Calibri" w:hAnsi="Arial" w:cs="Arial"/>
          <w:sz w:val="16"/>
          <w:szCs w:val="16"/>
        </w:rPr>
      </w:pPr>
      <w:r w:rsidRPr="007B73C3">
        <w:rPr>
          <w:rFonts w:ascii="Arial" w:hAnsi="Arial" w:cs="Arial"/>
          <w:sz w:val="16"/>
          <w:szCs w:val="16"/>
          <w:lang w:eastAsia="es-ES"/>
        </w:rPr>
        <w:t xml:space="preserve"> </w:t>
      </w:r>
      <w:r w:rsidR="00C02282" w:rsidRPr="007B73C3">
        <w:rPr>
          <w:rFonts w:ascii="Arial" w:hAnsi="Arial" w:cs="Arial"/>
          <w:sz w:val="16"/>
          <w:szCs w:val="16"/>
          <w:lang w:eastAsia="es-ES"/>
        </w:rPr>
        <w:t>Millones</w:t>
      </w:r>
      <w:r w:rsidR="00C02282" w:rsidRPr="003914D2">
        <w:rPr>
          <w:rFonts w:ascii="Arial" w:hAnsi="Arial" w:cs="Arial"/>
          <w:sz w:val="16"/>
          <w:szCs w:val="16"/>
          <w:lang w:eastAsia="es-ES"/>
        </w:rPr>
        <w:t xml:space="preserve"> de pesos</w:t>
      </w:r>
    </w:p>
    <w:p w14:paraId="2D4D599D" w14:textId="77777777" w:rsidR="00C02282" w:rsidRPr="003914D2" w:rsidRDefault="00C02282" w:rsidP="00C02282">
      <w:pPr>
        <w:jc w:val="center"/>
        <w:rPr>
          <w:rFonts w:ascii="Arial" w:hAnsi="Arial" w:cs="Arial"/>
          <w:bCs/>
          <w:lang w:val="es-MX" w:eastAsia="es-ES"/>
        </w:rPr>
      </w:pPr>
      <w:r w:rsidRPr="003914D2">
        <w:rPr>
          <w:rFonts w:ascii="Calibri" w:hAnsi="Calibri" w:cs="Calibri"/>
          <w:sz w:val="18"/>
          <w:szCs w:val="18"/>
        </w:rPr>
        <w:t>Fuente SIIF</w:t>
      </w:r>
    </w:p>
    <w:p w14:paraId="0B73AE3C" w14:textId="77777777" w:rsidR="00C02282" w:rsidRPr="003914D2" w:rsidRDefault="00C02282" w:rsidP="00C02282">
      <w:pPr>
        <w:jc w:val="both"/>
        <w:rPr>
          <w:rFonts w:ascii="Arial" w:hAnsi="Arial" w:cs="Arial"/>
          <w:b/>
          <w:lang w:val="es-ES" w:eastAsia="es-ES"/>
        </w:rPr>
      </w:pPr>
      <w:r w:rsidRPr="003914D2">
        <w:rPr>
          <w:rFonts w:ascii="Arial" w:hAnsi="Arial" w:cs="Arial"/>
          <w:b/>
          <w:lang w:val="es-ES" w:eastAsia="es-ES"/>
        </w:rPr>
        <w:t xml:space="preserve">Participación Ciudadana - </w:t>
      </w:r>
      <w:r w:rsidRPr="003914D2">
        <w:rPr>
          <w:rFonts w:ascii="Arial" w:hAnsi="Arial" w:cs="Arial"/>
          <w:b/>
          <w:bCs/>
          <w:lang w:val="es-MX" w:eastAsia="es-ES"/>
        </w:rPr>
        <w:t>Vicepresidencia Administrativa y Financiera:</w:t>
      </w:r>
    </w:p>
    <w:p w14:paraId="7AD7B16A" w14:textId="77777777" w:rsidR="003914D2" w:rsidRPr="003914D2" w:rsidRDefault="003914D2" w:rsidP="003914D2">
      <w:pPr>
        <w:jc w:val="both"/>
        <w:rPr>
          <w:rFonts w:ascii="Arial" w:hAnsi="Arial" w:cs="Arial"/>
          <w:bCs/>
          <w:lang w:val="es-MX" w:eastAsia="es-ES"/>
        </w:rPr>
      </w:pPr>
      <w:r w:rsidRPr="003914D2">
        <w:rPr>
          <w:rFonts w:ascii="Arial" w:hAnsi="Arial" w:cs="Arial"/>
          <w:bCs/>
          <w:lang w:val="es-MX" w:eastAsia="es-ES"/>
        </w:rPr>
        <w:t xml:space="preserve">El área de Participación Ciudadana y Comunicaciones Internas no llevó a cabo contrataciones por este concepto durante el segundo trimestre. </w:t>
      </w:r>
    </w:p>
    <w:p w14:paraId="630688E6" w14:textId="7BFAF354" w:rsidR="00C02282" w:rsidRPr="003914D2" w:rsidRDefault="003914D2" w:rsidP="003914D2">
      <w:pPr>
        <w:pStyle w:val="Descripcin"/>
        <w:keepNext/>
        <w:jc w:val="center"/>
      </w:pPr>
      <w:r w:rsidRPr="003914D2">
        <w:t xml:space="preserve"> </w:t>
      </w:r>
      <w:bookmarkStart w:id="129" w:name="_Toc525652500"/>
      <w:r w:rsidR="00C02282" w:rsidRPr="003914D2">
        <w:t xml:space="preserve">Tabla </w:t>
      </w:r>
      <w:r w:rsidR="00C02282" w:rsidRPr="003914D2">
        <w:fldChar w:fldCharType="begin"/>
      </w:r>
      <w:r w:rsidR="00C02282" w:rsidRPr="003914D2">
        <w:instrText xml:space="preserve"> SEQ Tabla \* ARABIC </w:instrText>
      </w:r>
      <w:r w:rsidR="00C02282" w:rsidRPr="003914D2">
        <w:fldChar w:fldCharType="separate"/>
      </w:r>
      <w:r w:rsidR="008B4625">
        <w:rPr>
          <w:noProof/>
        </w:rPr>
        <w:t>55</w:t>
      </w:r>
      <w:r w:rsidR="00C02282" w:rsidRPr="003914D2">
        <w:fldChar w:fldCharType="end"/>
      </w:r>
      <w:r w:rsidR="00C02282" w:rsidRPr="003914D2">
        <w:t xml:space="preserve"> Ejecución Gastos de Personal – Participación Ciu</w:t>
      </w:r>
      <w:r w:rsidRPr="003914D2">
        <w:t xml:space="preserve">dadana Servicios Indirectos A 30 de junio de </w:t>
      </w:r>
      <w:r w:rsidR="00C02282" w:rsidRPr="003914D2">
        <w:t xml:space="preserve"> 2018 ANH</w:t>
      </w:r>
      <w:bookmarkEnd w:id="129"/>
    </w:p>
    <w:tbl>
      <w:tblPr>
        <w:tblW w:w="9562" w:type="dxa"/>
        <w:jc w:val="center"/>
        <w:tblCellMar>
          <w:left w:w="70" w:type="dxa"/>
          <w:right w:w="70" w:type="dxa"/>
        </w:tblCellMar>
        <w:tblLook w:val="04A0" w:firstRow="1" w:lastRow="0" w:firstColumn="1" w:lastColumn="0" w:noHBand="0" w:noVBand="1"/>
      </w:tblPr>
      <w:tblGrid>
        <w:gridCol w:w="2210"/>
        <w:gridCol w:w="1422"/>
        <w:gridCol w:w="1545"/>
        <w:gridCol w:w="1599"/>
        <w:gridCol w:w="1503"/>
        <w:gridCol w:w="1283"/>
      </w:tblGrid>
      <w:tr w:rsidR="003914D2" w14:paraId="02F6EACB" w14:textId="77777777" w:rsidTr="003914D2">
        <w:trPr>
          <w:trHeight w:val="533"/>
          <w:jc w:val="center"/>
        </w:trPr>
        <w:tc>
          <w:tcPr>
            <w:tcW w:w="2210"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091D54A5" w14:textId="77777777" w:rsidR="003914D2" w:rsidRDefault="003914D2">
            <w:pPr>
              <w:jc w:val="center"/>
              <w:rPr>
                <w:rFonts w:ascii="Arial" w:hAnsi="Arial" w:cs="Arial"/>
                <w:b/>
                <w:bCs/>
                <w:color w:val="000000"/>
                <w:sz w:val="18"/>
                <w:szCs w:val="18"/>
              </w:rPr>
            </w:pPr>
            <w:r>
              <w:rPr>
                <w:rFonts w:ascii="Arial" w:hAnsi="Arial" w:cs="Arial"/>
                <w:b/>
                <w:bCs/>
                <w:sz w:val="18"/>
                <w:szCs w:val="18"/>
              </w:rPr>
              <w:t>Descripción</w:t>
            </w:r>
          </w:p>
        </w:tc>
        <w:tc>
          <w:tcPr>
            <w:tcW w:w="1422" w:type="dxa"/>
            <w:tcBorders>
              <w:top w:val="single" w:sz="4" w:space="0" w:color="auto"/>
              <w:left w:val="nil"/>
              <w:bottom w:val="single" w:sz="4" w:space="0" w:color="auto"/>
              <w:right w:val="single" w:sz="4" w:space="0" w:color="auto"/>
            </w:tcBorders>
            <w:shd w:val="clear" w:color="auto" w:fill="4F81BD" w:themeFill="accent1"/>
            <w:noWrap/>
            <w:hideMark/>
          </w:tcPr>
          <w:p w14:paraId="4544FD1B" w14:textId="77777777" w:rsidR="003914D2" w:rsidRDefault="003914D2">
            <w:pPr>
              <w:jc w:val="center"/>
              <w:rPr>
                <w:rFonts w:ascii="Arial" w:hAnsi="Arial" w:cs="Arial"/>
                <w:b/>
                <w:bCs/>
                <w:color w:val="000000"/>
                <w:sz w:val="18"/>
                <w:szCs w:val="18"/>
              </w:rPr>
            </w:pPr>
            <w:r>
              <w:rPr>
                <w:rFonts w:ascii="Arial" w:hAnsi="Arial" w:cs="Arial"/>
                <w:b/>
                <w:bCs/>
                <w:sz w:val="18"/>
                <w:szCs w:val="18"/>
              </w:rPr>
              <w:t xml:space="preserve"> Apropiación </w:t>
            </w:r>
          </w:p>
        </w:tc>
        <w:tc>
          <w:tcPr>
            <w:tcW w:w="1545" w:type="dxa"/>
            <w:tcBorders>
              <w:top w:val="single" w:sz="4" w:space="0" w:color="auto"/>
              <w:left w:val="nil"/>
              <w:bottom w:val="single" w:sz="4" w:space="0" w:color="auto"/>
              <w:right w:val="single" w:sz="4" w:space="0" w:color="auto"/>
            </w:tcBorders>
            <w:shd w:val="clear" w:color="auto" w:fill="4F81BD" w:themeFill="accent1"/>
            <w:noWrap/>
            <w:hideMark/>
          </w:tcPr>
          <w:p w14:paraId="02AED35F" w14:textId="77777777" w:rsidR="003914D2" w:rsidRDefault="003914D2">
            <w:pPr>
              <w:jc w:val="center"/>
              <w:rPr>
                <w:rFonts w:ascii="Arial" w:hAnsi="Arial" w:cs="Arial"/>
                <w:b/>
                <w:bCs/>
                <w:color w:val="000000"/>
                <w:sz w:val="18"/>
                <w:szCs w:val="18"/>
              </w:rPr>
            </w:pPr>
            <w:r>
              <w:rPr>
                <w:rFonts w:ascii="Arial" w:hAnsi="Arial" w:cs="Arial"/>
                <w:b/>
                <w:bCs/>
                <w:sz w:val="18"/>
                <w:szCs w:val="18"/>
              </w:rPr>
              <w:t xml:space="preserve"> </w:t>
            </w:r>
            <w:proofErr w:type="spellStart"/>
            <w:r>
              <w:rPr>
                <w:rFonts w:ascii="Arial" w:hAnsi="Arial" w:cs="Arial"/>
                <w:b/>
                <w:bCs/>
                <w:sz w:val="18"/>
                <w:szCs w:val="18"/>
              </w:rPr>
              <w:t>Acum</w:t>
            </w:r>
            <w:proofErr w:type="spellEnd"/>
            <w:r>
              <w:rPr>
                <w:rFonts w:ascii="Arial" w:hAnsi="Arial" w:cs="Arial"/>
                <w:b/>
                <w:bCs/>
                <w:sz w:val="18"/>
                <w:szCs w:val="18"/>
              </w:rPr>
              <w:t xml:space="preserve"> CDP</w:t>
            </w:r>
          </w:p>
        </w:tc>
        <w:tc>
          <w:tcPr>
            <w:tcW w:w="1599" w:type="dxa"/>
            <w:tcBorders>
              <w:top w:val="single" w:sz="4" w:space="0" w:color="auto"/>
              <w:left w:val="nil"/>
              <w:bottom w:val="single" w:sz="4" w:space="0" w:color="auto"/>
              <w:right w:val="single" w:sz="4" w:space="0" w:color="auto"/>
            </w:tcBorders>
            <w:shd w:val="clear" w:color="auto" w:fill="4F81BD" w:themeFill="accent1"/>
            <w:noWrap/>
            <w:hideMark/>
          </w:tcPr>
          <w:p w14:paraId="07EF9FD5" w14:textId="77777777" w:rsidR="003914D2" w:rsidRDefault="003914D2">
            <w:pPr>
              <w:jc w:val="center"/>
              <w:rPr>
                <w:rFonts w:ascii="Arial" w:hAnsi="Arial" w:cs="Arial"/>
                <w:b/>
                <w:bCs/>
                <w:color w:val="000000"/>
                <w:sz w:val="18"/>
                <w:szCs w:val="18"/>
              </w:rPr>
            </w:pPr>
            <w:proofErr w:type="spellStart"/>
            <w:r>
              <w:rPr>
                <w:rFonts w:ascii="Arial" w:hAnsi="Arial" w:cs="Arial"/>
                <w:b/>
                <w:bCs/>
                <w:sz w:val="18"/>
                <w:szCs w:val="18"/>
              </w:rPr>
              <w:t>Acum</w:t>
            </w:r>
            <w:proofErr w:type="spellEnd"/>
            <w:r>
              <w:rPr>
                <w:rFonts w:ascii="Arial" w:hAnsi="Arial" w:cs="Arial"/>
                <w:b/>
                <w:bCs/>
                <w:sz w:val="18"/>
                <w:szCs w:val="18"/>
              </w:rPr>
              <w:t xml:space="preserve"> Compromisos </w:t>
            </w:r>
          </w:p>
        </w:tc>
        <w:tc>
          <w:tcPr>
            <w:tcW w:w="1503" w:type="dxa"/>
            <w:tcBorders>
              <w:top w:val="single" w:sz="4" w:space="0" w:color="auto"/>
              <w:left w:val="nil"/>
              <w:bottom w:val="single" w:sz="4" w:space="0" w:color="auto"/>
              <w:right w:val="single" w:sz="4" w:space="0" w:color="auto"/>
            </w:tcBorders>
            <w:shd w:val="clear" w:color="auto" w:fill="4F81BD" w:themeFill="accent1"/>
            <w:noWrap/>
            <w:hideMark/>
          </w:tcPr>
          <w:p w14:paraId="0ED36A54" w14:textId="77777777" w:rsidR="003914D2" w:rsidRDefault="003914D2">
            <w:pPr>
              <w:jc w:val="center"/>
              <w:rPr>
                <w:rFonts w:ascii="Arial" w:hAnsi="Arial" w:cs="Arial"/>
                <w:b/>
                <w:bCs/>
                <w:color w:val="000000"/>
                <w:sz w:val="18"/>
                <w:szCs w:val="18"/>
              </w:rPr>
            </w:pPr>
            <w:proofErr w:type="spellStart"/>
            <w:r>
              <w:rPr>
                <w:rFonts w:ascii="Arial" w:hAnsi="Arial" w:cs="Arial"/>
                <w:b/>
                <w:bCs/>
                <w:sz w:val="18"/>
                <w:szCs w:val="18"/>
              </w:rPr>
              <w:t>Acum</w:t>
            </w:r>
            <w:proofErr w:type="spellEnd"/>
            <w:r>
              <w:rPr>
                <w:rFonts w:ascii="Arial" w:hAnsi="Arial" w:cs="Arial"/>
                <w:b/>
                <w:bCs/>
                <w:sz w:val="18"/>
                <w:szCs w:val="18"/>
              </w:rPr>
              <w:t xml:space="preserve"> Obligaciones </w:t>
            </w:r>
          </w:p>
        </w:tc>
        <w:tc>
          <w:tcPr>
            <w:tcW w:w="1283" w:type="dxa"/>
            <w:tcBorders>
              <w:top w:val="single" w:sz="4" w:space="0" w:color="auto"/>
              <w:left w:val="nil"/>
              <w:bottom w:val="single" w:sz="4" w:space="0" w:color="auto"/>
              <w:right w:val="single" w:sz="4" w:space="0" w:color="auto"/>
            </w:tcBorders>
            <w:shd w:val="clear" w:color="auto" w:fill="4F81BD" w:themeFill="accent1"/>
            <w:noWrap/>
            <w:hideMark/>
          </w:tcPr>
          <w:p w14:paraId="5FA2C89C" w14:textId="77777777" w:rsidR="003914D2" w:rsidRDefault="003914D2">
            <w:pPr>
              <w:jc w:val="center"/>
              <w:rPr>
                <w:rFonts w:ascii="Arial" w:hAnsi="Arial" w:cs="Arial"/>
                <w:b/>
                <w:bCs/>
                <w:color w:val="000000"/>
                <w:sz w:val="18"/>
                <w:szCs w:val="18"/>
              </w:rPr>
            </w:pPr>
            <w:proofErr w:type="spellStart"/>
            <w:r>
              <w:rPr>
                <w:rFonts w:ascii="Arial" w:hAnsi="Arial" w:cs="Arial"/>
                <w:b/>
                <w:bCs/>
                <w:sz w:val="18"/>
                <w:szCs w:val="18"/>
              </w:rPr>
              <w:t>Acum</w:t>
            </w:r>
            <w:proofErr w:type="spellEnd"/>
            <w:r>
              <w:rPr>
                <w:rFonts w:ascii="Arial" w:hAnsi="Arial" w:cs="Arial"/>
                <w:b/>
                <w:bCs/>
                <w:sz w:val="18"/>
                <w:szCs w:val="18"/>
              </w:rPr>
              <w:t xml:space="preserve"> Pagos </w:t>
            </w:r>
          </w:p>
        </w:tc>
      </w:tr>
      <w:tr w:rsidR="003914D2" w14:paraId="498E6367" w14:textId="77777777" w:rsidTr="003914D2">
        <w:trPr>
          <w:trHeight w:val="497"/>
          <w:jc w:val="center"/>
        </w:trPr>
        <w:tc>
          <w:tcPr>
            <w:tcW w:w="2210" w:type="dxa"/>
            <w:tcBorders>
              <w:top w:val="nil"/>
              <w:left w:val="single" w:sz="4" w:space="0" w:color="auto"/>
              <w:bottom w:val="single" w:sz="4" w:space="0" w:color="auto"/>
              <w:right w:val="single" w:sz="4" w:space="0" w:color="auto"/>
            </w:tcBorders>
            <w:noWrap/>
            <w:vAlign w:val="bottom"/>
            <w:hideMark/>
          </w:tcPr>
          <w:p w14:paraId="559A2F02" w14:textId="77777777" w:rsidR="003914D2" w:rsidRDefault="003914D2">
            <w:pPr>
              <w:rPr>
                <w:rFonts w:ascii="Arial" w:hAnsi="Arial" w:cs="Arial"/>
                <w:b/>
                <w:bCs/>
                <w:color w:val="000000"/>
                <w:sz w:val="18"/>
                <w:szCs w:val="18"/>
              </w:rPr>
            </w:pPr>
            <w:r>
              <w:rPr>
                <w:rFonts w:ascii="Arial" w:hAnsi="Arial" w:cs="Arial"/>
                <w:b/>
                <w:bCs/>
                <w:sz w:val="18"/>
                <w:szCs w:val="18"/>
              </w:rPr>
              <w:t xml:space="preserve">Gastos de Personal – </w:t>
            </w:r>
            <w:r>
              <w:rPr>
                <w:rFonts w:ascii="Arial" w:hAnsi="Arial" w:cs="Arial"/>
                <w:bCs/>
                <w:sz w:val="18"/>
                <w:szCs w:val="18"/>
              </w:rPr>
              <w:t>Servicios Personales Indirectos</w:t>
            </w:r>
          </w:p>
        </w:tc>
        <w:tc>
          <w:tcPr>
            <w:tcW w:w="1422" w:type="dxa"/>
            <w:tcBorders>
              <w:top w:val="nil"/>
              <w:left w:val="nil"/>
              <w:bottom w:val="single" w:sz="4" w:space="0" w:color="auto"/>
              <w:right w:val="single" w:sz="4" w:space="0" w:color="auto"/>
            </w:tcBorders>
            <w:noWrap/>
            <w:vAlign w:val="center"/>
            <w:hideMark/>
          </w:tcPr>
          <w:p w14:paraId="170A4197" w14:textId="77777777" w:rsidR="003914D2" w:rsidRDefault="003914D2">
            <w:pPr>
              <w:jc w:val="right"/>
              <w:rPr>
                <w:rFonts w:ascii="Arial" w:hAnsi="Arial" w:cs="Arial"/>
                <w:color w:val="000000"/>
                <w:sz w:val="18"/>
                <w:szCs w:val="18"/>
              </w:rPr>
            </w:pPr>
            <w:r>
              <w:rPr>
                <w:rFonts w:ascii="Arial" w:hAnsi="Arial" w:cs="Arial"/>
                <w:sz w:val="18"/>
                <w:szCs w:val="18"/>
              </w:rPr>
              <w:t>$ 33</w:t>
            </w:r>
          </w:p>
        </w:tc>
        <w:tc>
          <w:tcPr>
            <w:tcW w:w="1545" w:type="dxa"/>
            <w:tcBorders>
              <w:top w:val="nil"/>
              <w:left w:val="nil"/>
              <w:bottom w:val="single" w:sz="4" w:space="0" w:color="auto"/>
              <w:right w:val="single" w:sz="4" w:space="0" w:color="auto"/>
            </w:tcBorders>
            <w:noWrap/>
            <w:vAlign w:val="center"/>
            <w:hideMark/>
          </w:tcPr>
          <w:p w14:paraId="7F82EA82" w14:textId="77777777" w:rsidR="003914D2" w:rsidRDefault="003914D2">
            <w:pPr>
              <w:jc w:val="right"/>
              <w:rPr>
                <w:rFonts w:ascii="Arial" w:hAnsi="Arial" w:cs="Arial"/>
                <w:color w:val="000000"/>
                <w:sz w:val="18"/>
                <w:szCs w:val="18"/>
              </w:rPr>
            </w:pPr>
            <w:r>
              <w:rPr>
                <w:rFonts w:ascii="Arial" w:hAnsi="Arial" w:cs="Arial"/>
                <w:sz w:val="18"/>
                <w:szCs w:val="18"/>
              </w:rPr>
              <w:t>$ 0</w:t>
            </w:r>
          </w:p>
        </w:tc>
        <w:tc>
          <w:tcPr>
            <w:tcW w:w="1599" w:type="dxa"/>
            <w:tcBorders>
              <w:top w:val="nil"/>
              <w:left w:val="nil"/>
              <w:bottom w:val="single" w:sz="4" w:space="0" w:color="auto"/>
              <w:right w:val="single" w:sz="4" w:space="0" w:color="auto"/>
            </w:tcBorders>
            <w:noWrap/>
            <w:vAlign w:val="center"/>
            <w:hideMark/>
          </w:tcPr>
          <w:p w14:paraId="5C6B8751" w14:textId="77777777" w:rsidR="003914D2" w:rsidRDefault="003914D2">
            <w:pPr>
              <w:jc w:val="right"/>
              <w:rPr>
                <w:rFonts w:ascii="Arial" w:hAnsi="Arial" w:cs="Arial"/>
                <w:color w:val="000000"/>
                <w:sz w:val="18"/>
                <w:szCs w:val="18"/>
              </w:rPr>
            </w:pPr>
            <w:r>
              <w:rPr>
                <w:rFonts w:ascii="Arial" w:hAnsi="Arial" w:cs="Arial"/>
                <w:sz w:val="18"/>
                <w:szCs w:val="18"/>
              </w:rPr>
              <w:t>$ 0</w:t>
            </w:r>
          </w:p>
        </w:tc>
        <w:tc>
          <w:tcPr>
            <w:tcW w:w="1503" w:type="dxa"/>
            <w:tcBorders>
              <w:top w:val="nil"/>
              <w:left w:val="nil"/>
              <w:bottom w:val="single" w:sz="4" w:space="0" w:color="auto"/>
              <w:right w:val="single" w:sz="4" w:space="0" w:color="auto"/>
            </w:tcBorders>
            <w:noWrap/>
            <w:vAlign w:val="center"/>
            <w:hideMark/>
          </w:tcPr>
          <w:p w14:paraId="243325A4" w14:textId="77777777" w:rsidR="003914D2" w:rsidRDefault="003914D2">
            <w:pPr>
              <w:jc w:val="right"/>
              <w:rPr>
                <w:rFonts w:ascii="Arial" w:hAnsi="Arial" w:cs="Arial"/>
                <w:color w:val="000000"/>
                <w:sz w:val="18"/>
                <w:szCs w:val="18"/>
              </w:rPr>
            </w:pPr>
            <w:r>
              <w:rPr>
                <w:rFonts w:ascii="Arial" w:hAnsi="Arial" w:cs="Arial"/>
                <w:sz w:val="18"/>
                <w:szCs w:val="18"/>
              </w:rPr>
              <w:t>$ 0</w:t>
            </w:r>
          </w:p>
        </w:tc>
        <w:tc>
          <w:tcPr>
            <w:tcW w:w="1283" w:type="dxa"/>
            <w:tcBorders>
              <w:top w:val="nil"/>
              <w:left w:val="nil"/>
              <w:bottom w:val="single" w:sz="4" w:space="0" w:color="auto"/>
              <w:right w:val="single" w:sz="4" w:space="0" w:color="auto"/>
            </w:tcBorders>
            <w:noWrap/>
            <w:vAlign w:val="center"/>
            <w:hideMark/>
          </w:tcPr>
          <w:p w14:paraId="5937B7AE" w14:textId="77777777" w:rsidR="003914D2" w:rsidRDefault="003914D2">
            <w:pPr>
              <w:jc w:val="right"/>
              <w:rPr>
                <w:rFonts w:ascii="Arial" w:hAnsi="Arial" w:cs="Arial"/>
                <w:color w:val="000000"/>
                <w:sz w:val="18"/>
                <w:szCs w:val="18"/>
              </w:rPr>
            </w:pPr>
            <w:r>
              <w:rPr>
                <w:rFonts w:ascii="Arial" w:hAnsi="Arial" w:cs="Arial"/>
                <w:sz w:val="18"/>
                <w:szCs w:val="18"/>
              </w:rPr>
              <w:t>$ 0</w:t>
            </w:r>
          </w:p>
        </w:tc>
      </w:tr>
      <w:tr w:rsidR="003914D2" w14:paraId="490FAF9C" w14:textId="77777777" w:rsidTr="003914D2">
        <w:trPr>
          <w:trHeight w:val="300"/>
          <w:jc w:val="center"/>
        </w:trPr>
        <w:tc>
          <w:tcPr>
            <w:tcW w:w="2210" w:type="dxa"/>
            <w:tcBorders>
              <w:top w:val="single" w:sz="4" w:space="0" w:color="auto"/>
              <w:left w:val="nil"/>
              <w:bottom w:val="nil"/>
              <w:right w:val="nil"/>
            </w:tcBorders>
            <w:noWrap/>
            <w:vAlign w:val="bottom"/>
            <w:hideMark/>
          </w:tcPr>
          <w:p w14:paraId="76885469" w14:textId="77777777" w:rsidR="003914D2" w:rsidRDefault="003914D2">
            <w:pPr>
              <w:rPr>
                <w:rFonts w:ascii="Calibri" w:hAnsi="Calibri" w:cs="Times New Roman"/>
                <w:color w:val="000000"/>
                <w:sz w:val="19"/>
                <w:szCs w:val="19"/>
              </w:rPr>
            </w:pPr>
          </w:p>
        </w:tc>
        <w:tc>
          <w:tcPr>
            <w:tcW w:w="1422" w:type="dxa"/>
            <w:tcBorders>
              <w:top w:val="single" w:sz="4" w:space="0" w:color="auto"/>
              <w:left w:val="nil"/>
              <w:bottom w:val="nil"/>
              <w:right w:val="nil"/>
            </w:tcBorders>
            <w:noWrap/>
            <w:vAlign w:val="bottom"/>
            <w:hideMark/>
          </w:tcPr>
          <w:p w14:paraId="671B32DC" w14:textId="77777777" w:rsidR="003914D2" w:rsidRDefault="003914D2">
            <w:pPr>
              <w:rPr>
                <w:rFonts w:ascii="Calibri" w:hAnsi="Calibri" w:cs="Times New Roman"/>
                <w:color w:val="000000"/>
                <w:sz w:val="19"/>
                <w:szCs w:val="19"/>
              </w:rPr>
            </w:pPr>
          </w:p>
        </w:tc>
        <w:tc>
          <w:tcPr>
            <w:tcW w:w="1545" w:type="dxa"/>
            <w:tcBorders>
              <w:top w:val="single" w:sz="4" w:space="0" w:color="auto"/>
              <w:left w:val="nil"/>
              <w:bottom w:val="nil"/>
              <w:right w:val="nil"/>
            </w:tcBorders>
            <w:noWrap/>
            <w:vAlign w:val="bottom"/>
            <w:hideMark/>
          </w:tcPr>
          <w:p w14:paraId="197AFF5C" w14:textId="77777777" w:rsidR="003914D2" w:rsidRDefault="003914D2">
            <w:pPr>
              <w:rPr>
                <w:rFonts w:ascii="Calibri" w:hAnsi="Calibri" w:cs="Times New Roman"/>
                <w:color w:val="000000"/>
                <w:sz w:val="19"/>
                <w:szCs w:val="19"/>
              </w:rPr>
            </w:pPr>
          </w:p>
        </w:tc>
        <w:tc>
          <w:tcPr>
            <w:tcW w:w="1599" w:type="dxa"/>
            <w:tcBorders>
              <w:top w:val="single" w:sz="4" w:space="0" w:color="auto"/>
              <w:left w:val="nil"/>
              <w:bottom w:val="nil"/>
              <w:right w:val="nil"/>
            </w:tcBorders>
            <w:noWrap/>
            <w:vAlign w:val="bottom"/>
            <w:hideMark/>
          </w:tcPr>
          <w:p w14:paraId="1EA3334E" w14:textId="77777777" w:rsidR="003914D2" w:rsidRDefault="003914D2">
            <w:pPr>
              <w:rPr>
                <w:rFonts w:ascii="Calibri" w:hAnsi="Calibri" w:cs="Times New Roman"/>
                <w:color w:val="000000"/>
                <w:sz w:val="19"/>
                <w:szCs w:val="19"/>
              </w:rPr>
            </w:pPr>
          </w:p>
        </w:tc>
        <w:tc>
          <w:tcPr>
            <w:tcW w:w="1503" w:type="dxa"/>
            <w:tcBorders>
              <w:top w:val="single" w:sz="4" w:space="0" w:color="auto"/>
              <w:left w:val="nil"/>
              <w:bottom w:val="nil"/>
              <w:right w:val="nil"/>
            </w:tcBorders>
            <w:noWrap/>
            <w:vAlign w:val="bottom"/>
            <w:hideMark/>
          </w:tcPr>
          <w:p w14:paraId="75F40ABA" w14:textId="77777777" w:rsidR="003914D2" w:rsidRDefault="003914D2">
            <w:pPr>
              <w:rPr>
                <w:rFonts w:ascii="Calibri" w:hAnsi="Calibri" w:cs="Times New Roman"/>
                <w:color w:val="000000"/>
                <w:sz w:val="19"/>
                <w:szCs w:val="19"/>
              </w:rPr>
            </w:pPr>
          </w:p>
        </w:tc>
        <w:tc>
          <w:tcPr>
            <w:tcW w:w="1283" w:type="dxa"/>
            <w:tcBorders>
              <w:top w:val="single" w:sz="4" w:space="0" w:color="auto"/>
              <w:left w:val="nil"/>
              <w:bottom w:val="nil"/>
              <w:right w:val="nil"/>
            </w:tcBorders>
            <w:noWrap/>
            <w:vAlign w:val="bottom"/>
            <w:hideMark/>
          </w:tcPr>
          <w:p w14:paraId="2E4C8825" w14:textId="77777777" w:rsidR="003914D2" w:rsidRDefault="003914D2">
            <w:pPr>
              <w:rPr>
                <w:rFonts w:ascii="Calibri" w:hAnsi="Calibri" w:cs="Times New Roman"/>
                <w:color w:val="000000"/>
                <w:sz w:val="19"/>
                <w:szCs w:val="19"/>
              </w:rPr>
            </w:pPr>
          </w:p>
        </w:tc>
      </w:tr>
      <w:tr w:rsidR="003914D2" w14:paraId="4AC3A764" w14:textId="77777777" w:rsidTr="003914D2">
        <w:trPr>
          <w:trHeight w:val="300"/>
          <w:jc w:val="center"/>
        </w:trPr>
        <w:tc>
          <w:tcPr>
            <w:tcW w:w="363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79D0C80A" w14:textId="77777777" w:rsidR="003914D2" w:rsidRDefault="003914D2">
            <w:pPr>
              <w:jc w:val="center"/>
              <w:rPr>
                <w:rFonts w:ascii="Arial" w:hAnsi="Arial" w:cs="Arial"/>
                <w:b/>
                <w:bCs/>
                <w:color w:val="000000"/>
                <w:sz w:val="18"/>
                <w:szCs w:val="18"/>
              </w:rPr>
            </w:pPr>
            <w:r>
              <w:rPr>
                <w:rFonts w:ascii="Arial" w:hAnsi="Arial" w:cs="Arial"/>
                <w:b/>
                <w:bCs/>
                <w:sz w:val="18"/>
                <w:szCs w:val="18"/>
              </w:rPr>
              <w:t>Porcentaje de ejecución</w:t>
            </w:r>
          </w:p>
        </w:tc>
        <w:tc>
          <w:tcPr>
            <w:tcW w:w="154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99715B4" w14:textId="77777777" w:rsidR="003914D2" w:rsidRDefault="003914D2">
            <w:pPr>
              <w:jc w:val="right"/>
              <w:rPr>
                <w:rFonts w:ascii="Arial" w:hAnsi="Arial" w:cs="Arial"/>
                <w:b/>
                <w:bCs/>
                <w:color w:val="000000"/>
                <w:sz w:val="18"/>
                <w:szCs w:val="18"/>
              </w:rPr>
            </w:pPr>
            <w:r>
              <w:rPr>
                <w:rFonts w:ascii="Arial" w:hAnsi="Arial" w:cs="Arial"/>
                <w:b/>
                <w:bCs/>
                <w:sz w:val="18"/>
                <w:szCs w:val="18"/>
              </w:rPr>
              <w:t>0%</w:t>
            </w:r>
          </w:p>
        </w:tc>
        <w:tc>
          <w:tcPr>
            <w:tcW w:w="15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4286DCA" w14:textId="77777777" w:rsidR="003914D2" w:rsidRDefault="003914D2">
            <w:pPr>
              <w:jc w:val="right"/>
              <w:rPr>
                <w:rFonts w:ascii="Arial" w:hAnsi="Arial" w:cs="Arial"/>
                <w:b/>
                <w:bCs/>
                <w:color w:val="000000"/>
                <w:sz w:val="18"/>
                <w:szCs w:val="18"/>
              </w:rPr>
            </w:pPr>
            <w:r>
              <w:rPr>
                <w:rFonts w:ascii="Arial" w:hAnsi="Arial" w:cs="Arial"/>
                <w:b/>
                <w:bCs/>
                <w:sz w:val="18"/>
                <w:szCs w:val="18"/>
              </w:rPr>
              <w:t>0%</w:t>
            </w:r>
          </w:p>
        </w:tc>
        <w:tc>
          <w:tcPr>
            <w:tcW w:w="150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E08983A" w14:textId="77777777" w:rsidR="003914D2" w:rsidRDefault="003914D2">
            <w:pPr>
              <w:jc w:val="right"/>
              <w:rPr>
                <w:rFonts w:ascii="Arial" w:hAnsi="Arial" w:cs="Arial"/>
                <w:b/>
                <w:bCs/>
                <w:color w:val="000000"/>
                <w:sz w:val="18"/>
                <w:szCs w:val="18"/>
              </w:rPr>
            </w:pPr>
            <w:r>
              <w:rPr>
                <w:rFonts w:ascii="Arial" w:hAnsi="Arial" w:cs="Arial"/>
                <w:b/>
                <w:bCs/>
                <w:sz w:val="18"/>
                <w:szCs w:val="18"/>
              </w:rPr>
              <w:t>0%</w:t>
            </w:r>
          </w:p>
        </w:tc>
        <w:tc>
          <w:tcPr>
            <w:tcW w:w="128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AC4CB9A" w14:textId="77777777" w:rsidR="003914D2" w:rsidRDefault="003914D2">
            <w:pPr>
              <w:jc w:val="right"/>
              <w:rPr>
                <w:rFonts w:ascii="Arial" w:hAnsi="Arial" w:cs="Arial"/>
                <w:b/>
                <w:bCs/>
                <w:color w:val="000000"/>
                <w:sz w:val="18"/>
                <w:szCs w:val="18"/>
              </w:rPr>
            </w:pPr>
            <w:r>
              <w:rPr>
                <w:rFonts w:ascii="Arial" w:hAnsi="Arial" w:cs="Arial"/>
                <w:b/>
                <w:bCs/>
                <w:sz w:val="18"/>
                <w:szCs w:val="18"/>
              </w:rPr>
              <w:t>0%</w:t>
            </w:r>
          </w:p>
        </w:tc>
      </w:tr>
    </w:tbl>
    <w:p w14:paraId="06974908" w14:textId="4EF97601" w:rsidR="00C02282" w:rsidRPr="003914D2" w:rsidRDefault="003914D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t xml:space="preserve"> </w:t>
      </w:r>
      <w:r w:rsidR="00C02282" w:rsidRPr="003914D2">
        <w:rPr>
          <w:rFonts w:ascii="Arial" w:hAnsi="Arial" w:cs="Arial"/>
          <w:sz w:val="16"/>
          <w:szCs w:val="16"/>
          <w:lang w:eastAsia="es-ES"/>
        </w:rPr>
        <w:t>Millones de pesos</w:t>
      </w:r>
    </w:p>
    <w:p w14:paraId="74D96FCD" w14:textId="31D14870" w:rsidR="00C02282" w:rsidRDefault="00C02282" w:rsidP="00C02282">
      <w:pPr>
        <w:jc w:val="center"/>
        <w:rPr>
          <w:rFonts w:ascii="Calibri" w:hAnsi="Calibri" w:cs="Calibri"/>
          <w:sz w:val="18"/>
          <w:szCs w:val="18"/>
        </w:rPr>
      </w:pPr>
      <w:r w:rsidRPr="003914D2">
        <w:rPr>
          <w:rFonts w:ascii="Calibri" w:hAnsi="Calibri" w:cs="Calibri"/>
          <w:sz w:val="18"/>
          <w:szCs w:val="18"/>
        </w:rPr>
        <w:t>Fuente SIIF</w:t>
      </w:r>
    </w:p>
    <w:p w14:paraId="44D4CB93" w14:textId="28EB7A9E" w:rsidR="00803CC6" w:rsidRDefault="00803CC6" w:rsidP="00C02282">
      <w:pPr>
        <w:jc w:val="center"/>
        <w:rPr>
          <w:rFonts w:ascii="Calibri" w:hAnsi="Calibri" w:cs="Calibri"/>
          <w:sz w:val="18"/>
          <w:szCs w:val="18"/>
        </w:rPr>
      </w:pPr>
    </w:p>
    <w:p w14:paraId="6CCBB86B" w14:textId="77777777" w:rsidR="00803CC6" w:rsidRPr="003914D2" w:rsidRDefault="00803CC6" w:rsidP="00C02282">
      <w:pPr>
        <w:jc w:val="center"/>
        <w:rPr>
          <w:rFonts w:ascii="Arial" w:hAnsi="Arial" w:cs="Arial"/>
          <w:bCs/>
          <w:lang w:val="es-MX" w:eastAsia="es-ES"/>
        </w:rPr>
      </w:pPr>
    </w:p>
    <w:p w14:paraId="56B04059" w14:textId="77777777" w:rsidR="00C02282" w:rsidRPr="003914D2" w:rsidRDefault="00C02282" w:rsidP="00C02282">
      <w:pPr>
        <w:jc w:val="both"/>
        <w:rPr>
          <w:rFonts w:ascii="Arial" w:hAnsi="Arial" w:cs="Arial"/>
          <w:b/>
          <w:lang w:val="es-ES" w:eastAsia="es-ES"/>
        </w:rPr>
      </w:pPr>
      <w:r w:rsidRPr="003914D2">
        <w:rPr>
          <w:rFonts w:ascii="Arial" w:hAnsi="Arial" w:cs="Arial"/>
          <w:b/>
          <w:lang w:val="es-ES" w:eastAsia="es-ES"/>
        </w:rPr>
        <w:t xml:space="preserve">Financiera - </w:t>
      </w:r>
      <w:r w:rsidRPr="003914D2">
        <w:rPr>
          <w:rFonts w:ascii="Arial" w:hAnsi="Arial" w:cs="Arial"/>
          <w:b/>
          <w:bCs/>
          <w:lang w:val="es-MX" w:eastAsia="es-ES"/>
        </w:rPr>
        <w:t>Vicepresidencia Administrativa y Financiera:</w:t>
      </w:r>
    </w:p>
    <w:p w14:paraId="5766BE6E" w14:textId="77777777" w:rsidR="003914D2" w:rsidRDefault="003914D2" w:rsidP="003914D2">
      <w:pPr>
        <w:jc w:val="both"/>
        <w:rPr>
          <w:rFonts w:ascii="Arial" w:hAnsi="Arial" w:cs="Arial"/>
          <w:bCs/>
          <w:lang w:val="es-MX" w:eastAsia="es-ES"/>
        </w:rPr>
      </w:pPr>
      <w:r>
        <w:rPr>
          <w:rFonts w:ascii="Arial" w:hAnsi="Arial" w:cs="Arial"/>
          <w:bCs/>
          <w:lang w:val="es-MX" w:eastAsia="es-ES"/>
        </w:rPr>
        <w:t>La Coordinación financiera para el año 2018 contrató los servicios de dos profesionales para que prestarán sus servicios especializados de acompañamiento a la Vicepresidencia Administrativa y Financiera de la ANH en la estructuración y evaluación financiera de los procesos contractuales y su seguimiento y en el apoyo al seguimiento del proceso presupuestal y contable de la ANH, dichas contrataciones ascendieron a la cifra de $281 millones.</w:t>
      </w:r>
    </w:p>
    <w:p w14:paraId="02A1454D" w14:textId="15A77004" w:rsidR="00C02282" w:rsidRPr="003914D2" w:rsidRDefault="00C02282" w:rsidP="00C02282">
      <w:pPr>
        <w:pStyle w:val="Descripcin"/>
        <w:keepNext/>
        <w:jc w:val="center"/>
      </w:pPr>
      <w:bookmarkStart w:id="130" w:name="_Toc525652501"/>
      <w:r w:rsidRPr="003914D2">
        <w:lastRenderedPageBreak/>
        <w:t xml:space="preserve">Tabla </w:t>
      </w:r>
      <w:r w:rsidRPr="003914D2">
        <w:fldChar w:fldCharType="begin"/>
      </w:r>
      <w:r w:rsidRPr="003914D2">
        <w:instrText xml:space="preserve"> SEQ Tabla \* ARABIC </w:instrText>
      </w:r>
      <w:r w:rsidRPr="003914D2">
        <w:fldChar w:fldCharType="separate"/>
      </w:r>
      <w:r w:rsidR="008B4625">
        <w:rPr>
          <w:noProof/>
        </w:rPr>
        <w:t>56</w:t>
      </w:r>
      <w:r w:rsidRPr="003914D2">
        <w:fldChar w:fldCharType="end"/>
      </w:r>
      <w:r w:rsidRPr="003914D2">
        <w:t>Ejecución Gastos de Personal – Financiera Servicios Indirectos A 3</w:t>
      </w:r>
      <w:r w:rsidR="003914D2" w:rsidRPr="003914D2">
        <w:t>0 de junio d</w:t>
      </w:r>
      <w:r w:rsidRPr="003914D2">
        <w:t>e 2018 ANH</w:t>
      </w:r>
      <w:bookmarkEnd w:id="130"/>
    </w:p>
    <w:tbl>
      <w:tblPr>
        <w:tblW w:w="9562" w:type="dxa"/>
        <w:jc w:val="center"/>
        <w:tblCellMar>
          <w:left w:w="70" w:type="dxa"/>
          <w:right w:w="70" w:type="dxa"/>
        </w:tblCellMar>
        <w:tblLook w:val="04A0" w:firstRow="1" w:lastRow="0" w:firstColumn="1" w:lastColumn="0" w:noHBand="0" w:noVBand="1"/>
      </w:tblPr>
      <w:tblGrid>
        <w:gridCol w:w="2210"/>
        <w:gridCol w:w="1422"/>
        <w:gridCol w:w="1545"/>
        <w:gridCol w:w="1599"/>
        <w:gridCol w:w="1503"/>
        <w:gridCol w:w="1283"/>
      </w:tblGrid>
      <w:tr w:rsidR="003914D2" w14:paraId="24DD157A" w14:textId="77777777" w:rsidTr="003914D2">
        <w:trPr>
          <w:trHeight w:val="533"/>
          <w:jc w:val="center"/>
        </w:trPr>
        <w:tc>
          <w:tcPr>
            <w:tcW w:w="2210"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21FE1270" w14:textId="77777777" w:rsidR="003914D2" w:rsidRDefault="003914D2">
            <w:pPr>
              <w:jc w:val="center"/>
              <w:rPr>
                <w:rFonts w:ascii="Arial" w:hAnsi="Arial" w:cs="Arial"/>
                <w:b/>
                <w:bCs/>
                <w:color w:val="000000"/>
                <w:sz w:val="16"/>
                <w:szCs w:val="16"/>
              </w:rPr>
            </w:pPr>
            <w:r>
              <w:rPr>
                <w:rFonts w:ascii="Arial" w:hAnsi="Arial" w:cs="Arial"/>
                <w:b/>
                <w:bCs/>
                <w:sz w:val="16"/>
                <w:szCs w:val="16"/>
              </w:rPr>
              <w:t>Descripción</w:t>
            </w:r>
          </w:p>
        </w:tc>
        <w:tc>
          <w:tcPr>
            <w:tcW w:w="1422" w:type="dxa"/>
            <w:tcBorders>
              <w:top w:val="single" w:sz="4" w:space="0" w:color="auto"/>
              <w:left w:val="nil"/>
              <w:bottom w:val="single" w:sz="4" w:space="0" w:color="auto"/>
              <w:right w:val="single" w:sz="4" w:space="0" w:color="auto"/>
            </w:tcBorders>
            <w:shd w:val="clear" w:color="auto" w:fill="4F81BD" w:themeFill="accent1"/>
            <w:noWrap/>
            <w:hideMark/>
          </w:tcPr>
          <w:p w14:paraId="2B161C1E"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Apropiación </w:t>
            </w:r>
          </w:p>
        </w:tc>
        <w:tc>
          <w:tcPr>
            <w:tcW w:w="1545" w:type="dxa"/>
            <w:tcBorders>
              <w:top w:val="single" w:sz="4" w:space="0" w:color="auto"/>
              <w:left w:val="nil"/>
              <w:bottom w:val="single" w:sz="4" w:space="0" w:color="auto"/>
              <w:right w:val="single" w:sz="4" w:space="0" w:color="auto"/>
            </w:tcBorders>
            <w:shd w:val="clear" w:color="auto" w:fill="4F81BD" w:themeFill="accent1"/>
            <w:noWrap/>
            <w:hideMark/>
          </w:tcPr>
          <w:p w14:paraId="0A41850A" w14:textId="77777777" w:rsidR="003914D2" w:rsidRDefault="003914D2">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599" w:type="dxa"/>
            <w:tcBorders>
              <w:top w:val="single" w:sz="4" w:space="0" w:color="auto"/>
              <w:left w:val="nil"/>
              <w:bottom w:val="single" w:sz="4" w:space="0" w:color="auto"/>
              <w:right w:val="single" w:sz="4" w:space="0" w:color="auto"/>
            </w:tcBorders>
            <w:shd w:val="clear" w:color="auto" w:fill="4F81BD" w:themeFill="accent1"/>
            <w:noWrap/>
            <w:hideMark/>
          </w:tcPr>
          <w:p w14:paraId="0E9997D1"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503" w:type="dxa"/>
            <w:tcBorders>
              <w:top w:val="single" w:sz="4" w:space="0" w:color="auto"/>
              <w:left w:val="nil"/>
              <w:bottom w:val="single" w:sz="4" w:space="0" w:color="auto"/>
              <w:right w:val="single" w:sz="4" w:space="0" w:color="auto"/>
            </w:tcBorders>
            <w:shd w:val="clear" w:color="auto" w:fill="4F81BD" w:themeFill="accent1"/>
            <w:noWrap/>
            <w:hideMark/>
          </w:tcPr>
          <w:p w14:paraId="3561F5D5"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283" w:type="dxa"/>
            <w:tcBorders>
              <w:top w:val="single" w:sz="4" w:space="0" w:color="auto"/>
              <w:left w:val="nil"/>
              <w:bottom w:val="single" w:sz="4" w:space="0" w:color="auto"/>
              <w:right w:val="single" w:sz="4" w:space="0" w:color="auto"/>
            </w:tcBorders>
            <w:shd w:val="clear" w:color="auto" w:fill="4F81BD" w:themeFill="accent1"/>
            <w:noWrap/>
            <w:hideMark/>
          </w:tcPr>
          <w:p w14:paraId="0A20BC1B" w14:textId="77777777" w:rsidR="003914D2" w:rsidRDefault="003914D2">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3914D2" w14:paraId="4C617F03" w14:textId="77777777" w:rsidTr="003914D2">
        <w:trPr>
          <w:trHeight w:val="539"/>
          <w:jc w:val="center"/>
        </w:trPr>
        <w:tc>
          <w:tcPr>
            <w:tcW w:w="2210" w:type="dxa"/>
            <w:tcBorders>
              <w:top w:val="nil"/>
              <w:left w:val="single" w:sz="4" w:space="0" w:color="auto"/>
              <w:bottom w:val="single" w:sz="4" w:space="0" w:color="auto"/>
              <w:right w:val="single" w:sz="4" w:space="0" w:color="auto"/>
            </w:tcBorders>
            <w:noWrap/>
            <w:vAlign w:val="bottom"/>
            <w:hideMark/>
          </w:tcPr>
          <w:p w14:paraId="508DAF9A" w14:textId="77777777" w:rsidR="003914D2" w:rsidRDefault="003914D2">
            <w:pPr>
              <w:rPr>
                <w:rFonts w:ascii="Arial" w:hAnsi="Arial" w:cs="Arial"/>
                <w:b/>
                <w:bCs/>
                <w:color w:val="000000"/>
                <w:sz w:val="16"/>
                <w:szCs w:val="16"/>
              </w:rPr>
            </w:pPr>
            <w:r>
              <w:rPr>
                <w:rFonts w:ascii="Arial" w:hAnsi="Arial" w:cs="Arial"/>
                <w:b/>
                <w:bCs/>
                <w:sz w:val="16"/>
                <w:szCs w:val="16"/>
              </w:rPr>
              <w:t xml:space="preserve">Gastos de Personal – </w:t>
            </w:r>
            <w:r>
              <w:rPr>
                <w:rFonts w:ascii="Arial" w:hAnsi="Arial" w:cs="Arial"/>
                <w:bCs/>
                <w:sz w:val="16"/>
                <w:szCs w:val="16"/>
              </w:rPr>
              <w:t>Servicios Personales Indirectos</w:t>
            </w:r>
          </w:p>
        </w:tc>
        <w:tc>
          <w:tcPr>
            <w:tcW w:w="1422" w:type="dxa"/>
            <w:tcBorders>
              <w:top w:val="nil"/>
              <w:left w:val="nil"/>
              <w:bottom w:val="single" w:sz="4" w:space="0" w:color="auto"/>
              <w:right w:val="single" w:sz="4" w:space="0" w:color="auto"/>
            </w:tcBorders>
            <w:noWrap/>
            <w:vAlign w:val="center"/>
            <w:hideMark/>
          </w:tcPr>
          <w:p w14:paraId="66968F52" w14:textId="77777777" w:rsidR="003914D2" w:rsidRDefault="003914D2">
            <w:pPr>
              <w:jc w:val="right"/>
              <w:rPr>
                <w:rFonts w:ascii="Arial" w:hAnsi="Arial" w:cs="Arial"/>
                <w:color w:val="000000"/>
                <w:sz w:val="16"/>
                <w:szCs w:val="16"/>
              </w:rPr>
            </w:pPr>
            <w:r>
              <w:rPr>
                <w:rFonts w:ascii="Arial" w:hAnsi="Arial" w:cs="Arial"/>
                <w:sz w:val="16"/>
                <w:szCs w:val="16"/>
              </w:rPr>
              <w:t>$ 281</w:t>
            </w:r>
          </w:p>
        </w:tc>
        <w:tc>
          <w:tcPr>
            <w:tcW w:w="1545" w:type="dxa"/>
            <w:tcBorders>
              <w:top w:val="nil"/>
              <w:left w:val="nil"/>
              <w:bottom w:val="single" w:sz="4" w:space="0" w:color="auto"/>
              <w:right w:val="single" w:sz="4" w:space="0" w:color="auto"/>
            </w:tcBorders>
            <w:noWrap/>
            <w:vAlign w:val="center"/>
            <w:hideMark/>
          </w:tcPr>
          <w:p w14:paraId="3905179A" w14:textId="77777777" w:rsidR="003914D2" w:rsidRDefault="003914D2">
            <w:pPr>
              <w:jc w:val="right"/>
              <w:rPr>
                <w:rFonts w:ascii="Arial" w:hAnsi="Arial" w:cs="Arial"/>
                <w:color w:val="000000"/>
                <w:sz w:val="16"/>
                <w:szCs w:val="16"/>
              </w:rPr>
            </w:pPr>
            <w:r>
              <w:rPr>
                <w:rFonts w:ascii="Arial" w:hAnsi="Arial" w:cs="Arial"/>
                <w:sz w:val="16"/>
                <w:szCs w:val="16"/>
              </w:rPr>
              <w:t>$ 281</w:t>
            </w:r>
          </w:p>
        </w:tc>
        <w:tc>
          <w:tcPr>
            <w:tcW w:w="1599" w:type="dxa"/>
            <w:tcBorders>
              <w:top w:val="nil"/>
              <w:left w:val="nil"/>
              <w:bottom w:val="single" w:sz="4" w:space="0" w:color="auto"/>
              <w:right w:val="single" w:sz="4" w:space="0" w:color="auto"/>
            </w:tcBorders>
            <w:noWrap/>
            <w:vAlign w:val="center"/>
            <w:hideMark/>
          </w:tcPr>
          <w:p w14:paraId="13674E7B" w14:textId="77777777" w:rsidR="003914D2" w:rsidRDefault="003914D2">
            <w:pPr>
              <w:jc w:val="right"/>
              <w:rPr>
                <w:rFonts w:ascii="Arial" w:hAnsi="Arial" w:cs="Arial"/>
                <w:color w:val="000000"/>
                <w:sz w:val="16"/>
                <w:szCs w:val="16"/>
              </w:rPr>
            </w:pPr>
            <w:r>
              <w:rPr>
                <w:rFonts w:ascii="Arial" w:hAnsi="Arial" w:cs="Arial"/>
                <w:sz w:val="16"/>
                <w:szCs w:val="16"/>
              </w:rPr>
              <w:t>$ 281</w:t>
            </w:r>
          </w:p>
        </w:tc>
        <w:tc>
          <w:tcPr>
            <w:tcW w:w="1503" w:type="dxa"/>
            <w:tcBorders>
              <w:top w:val="nil"/>
              <w:left w:val="nil"/>
              <w:bottom w:val="single" w:sz="4" w:space="0" w:color="auto"/>
              <w:right w:val="single" w:sz="4" w:space="0" w:color="auto"/>
            </w:tcBorders>
            <w:noWrap/>
            <w:vAlign w:val="center"/>
            <w:hideMark/>
          </w:tcPr>
          <w:p w14:paraId="7D3A8EDC" w14:textId="77777777" w:rsidR="003914D2" w:rsidRDefault="003914D2">
            <w:pPr>
              <w:jc w:val="right"/>
              <w:rPr>
                <w:rFonts w:ascii="Arial" w:hAnsi="Arial" w:cs="Arial"/>
                <w:color w:val="000000"/>
                <w:sz w:val="16"/>
                <w:szCs w:val="16"/>
              </w:rPr>
            </w:pPr>
            <w:r>
              <w:rPr>
                <w:rFonts w:ascii="Arial" w:hAnsi="Arial" w:cs="Arial"/>
                <w:sz w:val="16"/>
                <w:szCs w:val="16"/>
              </w:rPr>
              <w:t>$110 </w:t>
            </w:r>
          </w:p>
        </w:tc>
        <w:tc>
          <w:tcPr>
            <w:tcW w:w="1283" w:type="dxa"/>
            <w:tcBorders>
              <w:top w:val="nil"/>
              <w:left w:val="nil"/>
              <w:bottom w:val="single" w:sz="4" w:space="0" w:color="auto"/>
              <w:right w:val="single" w:sz="4" w:space="0" w:color="auto"/>
            </w:tcBorders>
            <w:noWrap/>
            <w:vAlign w:val="center"/>
            <w:hideMark/>
          </w:tcPr>
          <w:p w14:paraId="4A878761" w14:textId="77777777" w:rsidR="003914D2" w:rsidRDefault="003914D2">
            <w:pPr>
              <w:jc w:val="right"/>
              <w:rPr>
                <w:rFonts w:ascii="Arial" w:hAnsi="Arial" w:cs="Arial"/>
                <w:color w:val="000000"/>
                <w:sz w:val="16"/>
                <w:szCs w:val="16"/>
              </w:rPr>
            </w:pPr>
            <w:r>
              <w:rPr>
                <w:rFonts w:ascii="Arial" w:hAnsi="Arial" w:cs="Arial"/>
                <w:sz w:val="16"/>
                <w:szCs w:val="16"/>
              </w:rPr>
              <w:t>$110 </w:t>
            </w:r>
          </w:p>
        </w:tc>
      </w:tr>
      <w:tr w:rsidR="003914D2" w14:paraId="30BD09BE" w14:textId="77777777" w:rsidTr="003914D2">
        <w:trPr>
          <w:trHeight w:val="300"/>
          <w:jc w:val="center"/>
        </w:trPr>
        <w:tc>
          <w:tcPr>
            <w:tcW w:w="2210" w:type="dxa"/>
            <w:tcBorders>
              <w:top w:val="single" w:sz="4" w:space="0" w:color="auto"/>
              <w:left w:val="nil"/>
              <w:bottom w:val="nil"/>
              <w:right w:val="nil"/>
            </w:tcBorders>
            <w:noWrap/>
            <w:vAlign w:val="bottom"/>
            <w:hideMark/>
          </w:tcPr>
          <w:p w14:paraId="535269B5" w14:textId="77777777" w:rsidR="003914D2" w:rsidRDefault="003914D2">
            <w:pPr>
              <w:rPr>
                <w:rFonts w:ascii="Calibri" w:hAnsi="Calibri" w:cs="Times New Roman"/>
                <w:color w:val="000000"/>
                <w:sz w:val="19"/>
                <w:szCs w:val="19"/>
              </w:rPr>
            </w:pPr>
          </w:p>
        </w:tc>
        <w:tc>
          <w:tcPr>
            <w:tcW w:w="1422" w:type="dxa"/>
            <w:tcBorders>
              <w:top w:val="single" w:sz="4" w:space="0" w:color="auto"/>
              <w:left w:val="nil"/>
              <w:bottom w:val="nil"/>
              <w:right w:val="nil"/>
            </w:tcBorders>
            <w:noWrap/>
            <w:vAlign w:val="bottom"/>
            <w:hideMark/>
          </w:tcPr>
          <w:p w14:paraId="1BAE39DF" w14:textId="77777777" w:rsidR="003914D2" w:rsidRDefault="003914D2">
            <w:pPr>
              <w:rPr>
                <w:rFonts w:ascii="Calibri" w:hAnsi="Calibri" w:cs="Times New Roman"/>
                <w:color w:val="000000"/>
                <w:sz w:val="19"/>
                <w:szCs w:val="19"/>
              </w:rPr>
            </w:pPr>
          </w:p>
        </w:tc>
        <w:tc>
          <w:tcPr>
            <w:tcW w:w="1545" w:type="dxa"/>
            <w:tcBorders>
              <w:top w:val="single" w:sz="4" w:space="0" w:color="auto"/>
              <w:left w:val="nil"/>
              <w:bottom w:val="nil"/>
              <w:right w:val="nil"/>
            </w:tcBorders>
            <w:noWrap/>
            <w:vAlign w:val="bottom"/>
            <w:hideMark/>
          </w:tcPr>
          <w:p w14:paraId="05EECFD2" w14:textId="77777777" w:rsidR="003914D2" w:rsidRDefault="003914D2">
            <w:pPr>
              <w:rPr>
                <w:rFonts w:ascii="Calibri" w:hAnsi="Calibri" w:cs="Times New Roman"/>
                <w:color w:val="000000"/>
                <w:sz w:val="19"/>
                <w:szCs w:val="19"/>
              </w:rPr>
            </w:pPr>
          </w:p>
        </w:tc>
        <w:tc>
          <w:tcPr>
            <w:tcW w:w="1599" w:type="dxa"/>
            <w:tcBorders>
              <w:top w:val="single" w:sz="4" w:space="0" w:color="auto"/>
              <w:left w:val="nil"/>
              <w:bottom w:val="nil"/>
              <w:right w:val="nil"/>
            </w:tcBorders>
            <w:noWrap/>
            <w:vAlign w:val="bottom"/>
            <w:hideMark/>
          </w:tcPr>
          <w:p w14:paraId="35A75A6B" w14:textId="77777777" w:rsidR="003914D2" w:rsidRDefault="003914D2">
            <w:pPr>
              <w:rPr>
                <w:rFonts w:ascii="Calibri" w:hAnsi="Calibri" w:cs="Times New Roman"/>
                <w:color w:val="000000"/>
                <w:sz w:val="19"/>
                <w:szCs w:val="19"/>
              </w:rPr>
            </w:pPr>
          </w:p>
        </w:tc>
        <w:tc>
          <w:tcPr>
            <w:tcW w:w="1503" w:type="dxa"/>
            <w:tcBorders>
              <w:top w:val="single" w:sz="4" w:space="0" w:color="auto"/>
              <w:left w:val="nil"/>
              <w:bottom w:val="nil"/>
              <w:right w:val="nil"/>
            </w:tcBorders>
            <w:noWrap/>
            <w:vAlign w:val="bottom"/>
            <w:hideMark/>
          </w:tcPr>
          <w:p w14:paraId="70449E60" w14:textId="77777777" w:rsidR="003914D2" w:rsidRDefault="003914D2">
            <w:pPr>
              <w:rPr>
                <w:rFonts w:ascii="Calibri" w:hAnsi="Calibri" w:cs="Times New Roman"/>
                <w:color w:val="000000"/>
                <w:sz w:val="19"/>
                <w:szCs w:val="19"/>
              </w:rPr>
            </w:pPr>
          </w:p>
        </w:tc>
        <w:tc>
          <w:tcPr>
            <w:tcW w:w="1283" w:type="dxa"/>
            <w:tcBorders>
              <w:top w:val="single" w:sz="4" w:space="0" w:color="auto"/>
              <w:left w:val="nil"/>
              <w:bottom w:val="nil"/>
              <w:right w:val="nil"/>
            </w:tcBorders>
            <w:noWrap/>
            <w:vAlign w:val="bottom"/>
            <w:hideMark/>
          </w:tcPr>
          <w:p w14:paraId="137CAB1C" w14:textId="77777777" w:rsidR="003914D2" w:rsidRDefault="003914D2">
            <w:pPr>
              <w:rPr>
                <w:rFonts w:ascii="Calibri" w:hAnsi="Calibri" w:cs="Times New Roman"/>
                <w:color w:val="000000"/>
                <w:sz w:val="19"/>
                <w:szCs w:val="19"/>
              </w:rPr>
            </w:pPr>
          </w:p>
        </w:tc>
      </w:tr>
      <w:tr w:rsidR="003914D2" w14:paraId="65D346D4" w14:textId="77777777" w:rsidTr="003914D2">
        <w:trPr>
          <w:trHeight w:val="300"/>
          <w:jc w:val="center"/>
        </w:trPr>
        <w:tc>
          <w:tcPr>
            <w:tcW w:w="363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F2B9D2E" w14:textId="77777777" w:rsidR="003914D2" w:rsidRDefault="003914D2">
            <w:pPr>
              <w:jc w:val="center"/>
              <w:rPr>
                <w:rFonts w:ascii="Arial" w:hAnsi="Arial" w:cs="Arial"/>
                <w:b/>
                <w:bCs/>
                <w:color w:val="000000"/>
                <w:sz w:val="16"/>
                <w:szCs w:val="16"/>
              </w:rPr>
            </w:pPr>
            <w:r>
              <w:rPr>
                <w:rFonts w:ascii="Arial" w:hAnsi="Arial" w:cs="Arial"/>
                <w:b/>
                <w:bCs/>
                <w:sz w:val="16"/>
                <w:szCs w:val="16"/>
              </w:rPr>
              <w:t>Porcentaje de ejecución</w:t>
            </w:r>
          </w:p>
        </w:tc>
        <w:tc>
          <w:tcPr>
            <w:tcW w:w="154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739E1C7" w14:textId="77777777" w:rsidR="003914D2" w:rsidRDefault="003914D2">
            <w:pPr>
              <w:jc w:val="right"/>
              <w:rPr>
                <w:rFonts w:ascii="Arial" w:hAnsi="Arial" w:cs="Arial"/>
                <w:b/>
                <w:bCs/>
                <w:color w:val="000000"/>
                <w:sz w:val="16"/>
                <w:szCs w:val="16"/>
              </w:rPr>
            </w:pPr>
            <w:r>
              <w:rPr>
                <w:rFonts w:ascii="Arial" w:hAnsi="Arial" w:cs="Arial"/>
                <w:b/>
                <w:bCs/>
                <w:sz w:val="16"/>
                <w:szCs w:val="16"/>
              </w:rPr>
              <w:t>100%</w:t>
            </w:r>
          </w:p>
        </w:tc>
        <w:tc>
          <w:tcPr>
            <w:tcW w:w="15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29750A1" w14:textId="77777777" w:rsidR="003914D2" w:rsidRDefault="003914D2">
            <w:pPr>
              <w:jc w:val="right"/>
              <w:rPr>
                <w:rFonts w:ascii="Arial" w:hAnsi="Arial" w:cs="Arial"/>
                <w:b/>
                <w:bCs/>
                <w:color w:val="000000"/>
                <w:sz w:val="16"/>
                <w:szCs w:val="16"/>
              </w:rPr>
            </w:pPr>
            <w:r>
              <w:rPr>
                <w:rFonts w:ascii="Arial" w:hAnsi="Arial" w:cs="Arial"/>
                <w:b/>
                <w:bCs/>
                <w:sz w:val="16"/>
                <w:szCs w:val="16"/>
              </w:rPr>
              <w:t>100%</w:t>
            </w:r>
          </w:p>
        </w:tc>
        <w:tc>
          <w:tcPr>
            <w:tcW w:w="150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1FD1950" w14:textId="77777777" w:rsidR="003914D2" w:rsidRDefault="003914D2">
            <w:pPr>
              <w:jc w:val="right"/>
              <w:rPr>
                <w:rFonts w:ascii="Arial" w:hAnsi="Arial" w:cs="Arial"/>
                <w:b/>
                <w:bCs/>
                <w:color w:val="000000"/>
                <w:sz w:val="16"/>
                <w:szCs w:val="16"/>
              </w:rPr>
            </w:pPr>
            <w:r>
              <w:rPr>
                <w:rFonts w:ascii="Arial" w:hAnsi="Arial" w:cs="Arial"/>
                <w:b/>
                <w:bCs/>
                <w:sz w:val="16"/>
                <w:szCs w:val="16"/>
              </w:rPr>
              <w:t>39%</w:t>
            </w:r>
          </w:p>
        </w:tc>
        <w:tc>
          <w:tcPr>
            <w:tcW w:w="128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5C0F065" w14:textId="77777777" w:rsidR="003914D2" w:rsidRDefault="003914D2">
            <w:pPr>
              <w:jc w:val="right"/>
              <w:rPr>
                <w:rFonts w:ascii="Arial" w:hAnsi="Arial" w:cs="Arial"/>
                <w:b/>
                <w:bCs/>
                <w:color w:val="000000"/>
                <w:sz w:val="16"/>
                <w:szCs w:val="16"/>
              </w:rPr>
            </w:pPr>
            <w:r>
              <w:rPr>
                <w:rFonts w:ascii="Arial" w:hAnsi="Arial" w:cs="Arial"/>
                <w:b/>
                <w:bCs/>
                <w:sz w:val="16"/>
                <w:szCs w:val="16"/>
              </w:rPr>
              <w:t>39%</w:t>
            </w:r>
          </w:p>
        </w:tc>
      </w:tr>
    </w:tbl>
    <w:p w14:paraId="1071AD83" w14:textId="755121AF" w:rsidR="00C02282" w:rsidRPr="003914D2" w:rsidRDefault="003914D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t xml:space="preserve"> </w:t>
      </w:r>
      <w:r w:rsidR="00C02282" w:rsidRPr="003914D2">
        <w:rPr>
          <w:rFonts w:ascii="Arial" w:hAnsi="Arial" w:cs="Arial"/>
          <w:sz w:val="16"/>
          <w:szCs w:val="16"/>
          <w:lang w:eastAsia="es-ES"/>
        </w:rPr>
        <w:t>Millones de pesos</w:t>
      </w:r>
    </w:p>
    <w:p w14:paraId="741A22C0" w14:textId="3D7C8CD2" w:rsidR="00C02282" w:rsidRDefault="00C02282" w:rsidP="00C02282">
      <w:pPr>
        <w:jc w:val="center"/>
        <w:rPr>
          <w:rFonts w:ascii="Calibri" w:hAnsi="Calibri" w:cs="Calibri"/>
          <w:sz w:val="18"/>
          <w:szCs w:val="18"/>
        </w:rPr>
      </w:pPr>
      <w:r w:rsidRPr="003914D2">
        <w:rPr>
          <w:rFonts w:ascii="Calibri" w:hAnsi="Calibri" w:cs="Calibri"/>
          <w:sz w:val="18"/>
          <w:szCs w:val="18"/>
        </w:rPr>
        <w:t>Fuente SIIF</w:t>
      </w:r>
    </w:p>
    <w:p w14:paraId="6E333851" w14:textId="77777777" w:rsidR="008B5E15" w:rsidRPr="003914D2" w:rsidRDefault="008B5E15" w:rsidP="00C02282">
      <w:pPr>
        <w:jc w:val="center"/>
        <w:rPr>
          <w:rFonts w:ascii="Arial" w:hAnsi="Arial" w:cs="Arial"/>
          <w:bCs/>
          <w:lang w:val="es-MX" w:eastAsia="es-ES"/>
        </w:rPr>
      </w:pPr>
    </w:p>
    <w:p w14:paraId="7A8BCFCE" w14:textId="44861B47" w:rsidR="00C02282" w:rsidRPr="003914D2" w:rsidRDefault="00C02282" w:rsidP="003914D2">
      <w:pPr>
        <w:jc w:val="both"/>
        <w:rPr>
          <w:rFonts w:ascii="Arial" w:hAnsi="Arial" w:cs="Arial"/>
          <w:b/>
          <w:bCs/>
          <w:lang w:val="es-MX" w:eastAsia="es-ES"/>
        </w:rPr>
      </w:pPr>
      <w:r w:rsidRPr="003914D2">
        <w:rPr>
          <w:rFonts w:ascii="Arial" w:hAnsi="Arial" w:cs="Arial"/>
          <w:b/>
          <w:bCs/>
          <w:lang w:val="es-MX" w:eastAsia="es-ES"/>
        </w:rPr>
        <w:t xml:space="preserve"> Gastos Generales</w:t>
      </w:r>
    </w:p>
    <w:p w14:paraId="00139913" w14:textId="77777777" w:rsidR="003914D2" w:rsidRDefault="003914D2" w:rsidP="003914D2">
      <w:pPr>
        <w:jc w:val="both"/>
        <w:rPr>
          <w:rFonts w:ascii="Arial" w:hAnsi="Arial" w:cs="Arial"/>
          <w:lang w:val="es-MX" w:eastAsia="es-ES"/>
        </w:rPr>
      </w:pPr>
      <w:r>
        <w:rPr>
          <w:rFonts w:ascii="Arial" w:hAnsi="Arial" w:cs="Arial"/>
          <w:lang w:val="es-ES" w:eastAsia="es-ES"/>
        </w:rPr>
        <w:t>Frente a la apropiación definitiva de los gastos generales al cierre del segundo trimestre de 2018, la ejecución acumulada de compromisos presupuestales ascendió al 58%,</w:t>
      </w:r>
      <w:r>
        <w:rPr>
          <w:rFonts w:ascii="Arial" w:hAnsi="Arial" w:cs="Arial"/>
          <w:color w:val="FF0000"/>
          <w:lang w:val="es-ES" w:eastAsia="es-ES"/>
        </w:rPr>
        <w:t xml:space="preserve"> </w:t>
      </w:r>
      <w:r>
        <w:rPr>
          <w:rFonts w:ascii="Arial" w:hAnsi="Arial" w:cs="Arial"/>
          <w:lang w:val="es-MX" w:eastAsia="es-ES"/>
        </w:rPr>
        <w:t>las obligaciones al 27% y los pagos al 25%.</w:t>
      </w:r>
    </w:p>
    <w:p w14:paraId="5A4422BF" w14:textId="4252E7F0" w:rsidR="00C02282" w:rsidRPr="006A67B4" w:rsidRDefault="003914D2" w:rsidP="003914D2">
      <w:pPr>
        <w:pStyle w:val="Descripcin"/>
        <w:keepNext/>
        <w:jc w:val="center"/>
        <w:rPr>
          <w:highlight w:val="yellow"/>
        </w:rPr>
      </w:pPr>
      <w:r w:rsidRPr="003914D2">
        <w:t xml:space="preserve"> </w:t>
      </w:r>
      <w:bookmarkStart w:id="131" w:name="_Toc525652502"/>
      <w:r w:rsidR="00C02282" w:rsidRPr="003914D2">
        <w:t xml:space="preserve">Tabla </w:t>
      </w:r>
      <w:r w:rsidR="00C02282" w:rsidRPr="003914D2">
        <w:fldChar w:fldCharType="begin"/>
      </w:r>
      <w:r w:rsidR="00C02282" w:rsidRPr="003914D2">
        <w:instrText xml:space="preserve"> SEQ Tabla \* ARABIC </w:instrText>
      </w:r>
      <w:r w:rsidR="00C02282" w:rsidRPr="003914D2">
        <w:fldChar w:fldCharType="separate"/>
      </w:r>
      <w:r w:rsidR="008B4625">
        <w:rPr>
          <w:noProof/>
        </w:rPr>
        <w:t>57</w:t>
      </w:r>
      <w:r w:rsidR="00C02282" w:rsidRPr="003914D2">
        <w:fldChar w:fldCharType="end"/>
      </w:r>
      <w:r w:rsidR="00C02282" w:rsidRPr="003914D2">
        <w:t xml:space="preserve"> Ejecución Gastos Generales –</w:t>
      </w:r>
      <w:r w:rsidRPr="003914D2">
        <w:t xml:space="preserve">A 30 de junio de </w:t>
      </w:r>
      <w:r w:rsidR="00C02282" w:rsidRPr="003914D2">
        <w:t xml:space="preserve"> 2018 ANH</w:t>
      </w:r>
      <w:bookmarkEnd w:id="131"/>
    </w:p>
    <w:tbl>
      <w:tblPr>
        <w:tblW w:w="5000" w:type="pct"/>
        <w:tblCellMar>
          <w:left w:w="70" w:type="dxa"/>
          <w:right w:w="70" w:type="dxa"/>
        </w:tblCellMar>
        <w:tblLook w:val="04A0" w:firstRow="1" w:lastRow="0" w:firstColumn="1" w:lastColumn="0" w:noHBand="0" w:noVBand="1"/>
      </w:tblPr>
      <w:tblGrid>
        <w:gridCol w:w="2498"/>
        <w:gridCol w:w="1252"/>
        <w:gridCol w:w="1639"/>
        <w:gridCol w:w="1358"/>
        <w:gridCol w:w="1358"/>
        <w:gridCol w:w="1279"/>
      </w:tblGrid>
      <w:tr w:rsidR="003914D2" w14:paraId="0B690EB2" w14:textId="77777777" w:rsidTr="003914D2">
        <w:trPr>
          <w:trHeight w:val="465"/>
        </w:trPr>
        <w:tc>
          <w:tcPr>
            <w:tcW w:w="1331" w:type="pct"/>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73E7F997" w14:textId="77777777" w:rsidR="003914D2" w:rsidRDefault="003914D2">
            <w:pPr>
              <w:jc w:val="center"/>
              <w:rPr>
                <w:rFonts w:ascii="Arial" w:hAnsi="Arial" w:cs="Arial"/>
                <w:b/>
                <w:bCs/>
                <w:color w:val="000000"/>
                <w:sz w:val="16"/>
                <w:szCs w:val="16"/>
              </w:rPr>
            </w:pPr>
            <w:r>
              <w:rPr>
                <w:rFonts w:ascii="Arial" w:hAnsi="Arial" w:cs="Arial"/>
                <w:b/>
                <w:bCs/>
                <w:sz w:val="16"/>
                <w:szCs w:val="16"/>
              </w:rPr>
              <w:t>DESCRIPCIÓN</w:t>
            </w:r>
          </w:p>
        </w:tc>
        <w:tc>
          <w:tcPr>
            <w:tcW w:w="668" w:type="pct"/>
            <w:tcBorders>
              <w:top w:val="single" w:sz="8" w:space="0" w:color="auto"/>
              <w:left w:val="nil"/>
              <w:bottom w:val="single" w:sz="8" w:space="0" w:color="auto"/>
              <w:right w:val="single" w:sz="8" w:space="0" w:color="auto"/>
            </w:tcBorders>
            <w:shd w:val="clear" w:color="auto" w:fill="4F81BD" w:themeFill="accent1"/>
            <w:vAlign w:val="center"/>
            <w:hideMark/>
          </w:tcPr>
          <w:p w14:paraId="255EFA7C" w14:textId="77777777" w:rsidR="003914D2" w:rsidRDefault="003914D2">
            <w:pPr>
              <w:jc w:val="center"/>
              <w:rPr>
                <w:rFonts w:ascii="Arial" w:hAnsi="Arial" w:cs="Arial"/>
                <w:b/>
                <w:bCs/>
                <w:color w:val="000000"/>
                <w:sz w:val="16"/>
                <w:szCs w:val="16"/>
              </w:rPr>
            </w:pPr>
            <w:r>
              <w:rPr>
                <w:rFonts w:ascii="Arial" w:hAnsi="Arial" w:cs="Arial"/>
                <w:b/>
                <w:bCs/>
                <w:sz w:val="16"/>
                <w:szCs w:val="16"/>
              </w:rPr>
              <w:t>APROPIACIÓN DEFINITIVA</w:t>
            </w:r>
          </w:p>
        </w:tc>
        <w:tc>
          <w:tcPr>
            <w:tcW w:w="873" w:type="pct"/>
            <w:tcBorders>
              <w:top w:val="single" w:sz="8" w:space="0" w:color="auto"/>
              <w:left w:val="nil"/>
              <w:bottom w:val="single" w:sz="8" w:space="0" w:color="auto"/>
              <w:right w:val="single" w:sz="8" w:space="0" w:color="auto"/>
            </w:tcBorders>
            <w:shd w:val="clear" w:color="auto" w:fill="4F81BD" w:themeFill="accent1"/>
            <w:vAlign w:val="center"/>
            <w:hideMark/>
          </w:tcPr>
          <w:p w14:paraId="47BC3ECA" w14:textId="77777777" w:rsidR="003914D2" w:rsidRDefault="003914D2">
            <w:pPr>
              <w:jc w:val="center"/>
              <w:rPr>
                <w:rFonts w:ascii="Arial" w:hAnsi="Arial" w:cs="Arial"/>
                <w:b/>
                <w:bCs/>
                <w:color w:val="000000"/>
                <w:sz w:val="16"/>
                <w:szCs w:val="16"/>
              </w:rPr>
            </w:pPr>
            <w:r>
              <w:rPr>
                <w:rFonts w:ascii="Arial" w:hAnsi="Arial" w:cs="Arial"/>
                <w:b/>
                <w:bCs/>
                <w:sz w:val="16"/>
                <w:szCs w:val="16"/>
              </w:rPr>
              <w:t>DISPONIBILIDADES ACUMULADAS</w:t>
            </w:r>
          </w:p>
        </w:tc>
        <w:tc>
          <w:tcPr>
            <w:tcW w:w="723" w:type="pct"/>
            <w:tcBorders>
              <w:top w:val="single" w:sz="8" w:space="0" w:color="auto"/>
              <w:left w:val="nil"/>
              <w:bottom w:val="single" w:sz="8" w:space="0" w:color="auto"/>
              <w:right w:val="single" w:sz="8" w:space="0" w:color="auto"/>
            </w:tcBorders>
            <w:shd w:val="clear" w:color="auto" w:fill="4F81BD" w:themeFill="accent1"/>
            <w:vAlign w:val="center"/>
            <w:hideMark/>
          </w:tcPr>
          <w:p w14:paraId="1BC199C3" w14:textId="77777777" w:rsidR="003914D2" w:rsidRDefault="003914D2">
            <w:pPr>
              <w:jc w:val="center"/>
              <w:rPr>
                <w:rFonts w:ascii="Arial" w:hAnsi="Arial" w:cs="Arial"/>
                <w:b/>
                <w:bCs/>
                <w:color w:val="000000"/>
                <w:sz w:val="16"/>
                <w:szCs w:val="16"/>
              </w:rPr>
            </w:pPr>
            <w:r>
              <w:rPr>
                <w:rFonts w:ascii="Arial" w:hAnsi="Arial" w:cs="Arial"/>
                <w:b/>
                <w:bCs/>
                <w:sz w:val="16"/>
                <w:szCs w:val="16"/>
              </w:rPr>
              <w:t>COMPROMISOS ACUMULADOS</w:t>
            </w:r>
          </w:p>
        </w:tc>
        <w:tc>
          <w:tcPr>
            <w:tcW w:w="723" w:type="pct"/>
            <w:tcBorders>
              <w:top w:val="single" w:sz="8" w:space="0" w:color="auto"/>
              <w:left w:val="nil"/>
              <w:bottom w:val="single" w:sz="8" w:space="0" w:color="auto"/>
              <w:right w:val="single" w:sz="8" w:space="0" w:color="auto"/>
            </w:tcBorders>
            <w:shd w:val="clear" w:color="auto" w:fill="4F81BD" w:themeFill="accent1"/>
            <w:vAlign w:val="center"/>
            <w:hideMark/>
          </w:tcPr>
          <w:p w14:paraId="6D34812A" w14:textId="77777777" w:rsidR="003914D2" w:rsidRDefault="003914D2">
            <w:pPr>
              <w:jc w:val="center"/>
              <w:rPr>
                <w:rFonts w:ascii="Arial" w:hAnsi="Arial" w:cs="Arial"/>
                <w:b/>
                <w:bCs/>
                <w:color w:val="000000"/>
                <w:sz w:val="16"/>
                <w:szCs w:val="16"/>
              </w:rPr>
            </w:pPr>
            <w:r>
              <w:rPr>
                <w:rFonts w:ascii="Arial" w:hAnsi="Arial" w:cs="Arial"/>
                <w:b/>
                <w:bCs/>
                <w:sz w:val="16"/>
                <w:szCs w:val="16"/>
              </w:rPr>
              <w:t>OBLIGACIONES ACUMULADAS</w:t>
            </w:r>
          </w:p>
        </w:tc>
        <w:tc>
          <w:tcPr>
            <w:tcW w:w="681" w:type="pct"/>
            <w:tcBorders>
              <w:top w:val="single" w:sz="8" w:space="0" w:color="auto"/>
              <w:left w:val="nil"/>
              <w:bottom w:val="single" w:sz="8" w:space="0" w:color="auto"/>
              <w:right w:val="single" w:sz="8" w:space="0" w:color="auto"/>
            </w:tcBorders>
            <w:shd w:val="clear" w:color="auto" w:fill="4F81BD" w:themeFill="accent1"/>
            <w:vAlign w:val="center"/>
            <w:hideMark/>
          </w:tcPr>
          <w:p w14:paraId="124C125C" w14:textId="77777777" w:rsidR="003914D2" w:rsidRDefault="003914D2">
            <w:pPr>
              <w:jc w:val="center"/>
              <w:rPr>
                <w:rFonts w:ascii="Arial" w:hAnsi="Arial" w:cs="Arial"/>
                <w:b/>
                <w:bCs/>
                <w:color w:val="000000"/>
                <w:sz w:val="16"/>
                <w:szCs w:val="16"/>
              </w:rPr>
            </w:pPr>
            <w:r>
              <w:rPr>
                <w:rFonts w:ascii="Arial" w:hAnsi="Arial" w:cs="Arial"/>
                <w:b/>
                <w:bCs/>
                <w:sz w:val="16"/>
                <w:szCs w:val="16"/>
              </w:rPr>
              <w:t>PAGOS ACUMULADOS</w:t>
            </w:r>
          </w:p>
        </w:tc>
      </w:tr>
      <w:tr w:rsidR="003914D2" w14:paraId="6853622A" w14:textId="77777777" w:rsidTr="003914D2">
        <w:trPr>
          <w:trHeight w:val="315"/>
        </w:trPr>
        <w:tc>
          <w:tcPr>
            <w:tcW w:w="1331" w:type="pct"/>
            <w:tcBorders>
              <w:top w:val="nil"/>
              <w:left w:val="single" w:sz="8" w:space="0" w:color="auto"/>
              <w:bottom w:val="single" w:sz="8" w:space="0" w:color="auto"/>
              <w:right w:val="single" w:sz="8" w:space="0" w:color="auto"/>
            </w:tcBorders>
            <w:noWrap/>
            <w:vAlign w:val="center"/>
            <w:hideMark/>
          </w:tcPr>
          <w:p w14:paraId="586569C7" w14:textId="77777777" w:rsidR="003914D2" w:rsidRDefault="003914D2">
            <w:pPr>
              <w:rPr>
                <w:rFonts w:ascii="Arial" w:hAnsi="Arial" w:cs="Arial"/>
                <w:color w:val="000000"/>
                <w:sz w:val="16"/>
                <w:szCs w:val="16"/>
              </w:rPr>
            </w:pPr>
            <w:r>
              <w:rPr>
                <w:rFonts w:ascii="Arial" w:hAnsi="Arial" w:cs="Arial"/>
                <w:sz w:val="16"/>
                <w:szCs w:val="16"/>
              </w:rPr>
              <w:t>Adquisición de Bienes y Servicios</w:t>
            </w:r>
          </w:p>
        </w:tc>
        <w:tc>
          <w:tcPr>
            <w:tcW w:w="668" w:type="pct"/>
            <w:tcBorders>
              <w:top w:val="nil"/>
              <w:left w:val="nil"/>
              <w:bottom w:val="single" w:sz="8" w:space="0" w:color="auto"/>
              <w:right w:val="single" w:sz="8" w:space="0" w:color="auto"/>
            </w:tcBorders>
            <w:noWrap/>
            <w:vAlign w:val="center"/>
            <w:hideMark/>
          </w:tcPr>
          <w:p w14:paraId="4597CA17" w14:textId="77777777" w:rsidR="003914D2" w:rsidRDefault="003914D2">
            <w:pPr>
              <w:jc w:val="right"/>
              <w:rPr>
                <w:rFonts w:ascii="Arial" w:hAnsi="Arial" w:cs="Arial"/>
                <w:color w:val="000000"/>
                <w:sz w:val="16"/>
                <w:szCs w:val="16"/>
              </w:rPr>
            </w:pPr>
            <w:r>
              <w:rPr>
                <w:rFonts w:ascii="Arial" w:hAnsi="Arial" w:cs="Arial"/>
                <w:sz w:val="16"/>
                <w:szCs w:val="16"/>
              </w:rPr>
              <w:t>7.641</w:t>
            </w:r>
          </w:p>
        </w:tc>
        <w:tc>
          <w:tcPr>
            <w:tcW w:w="873" w:type="pct"/>
            <w:tcBorders>
              <w:top w:val="nil"/>
              <w:left w:val="nil"/>
              <w:bottom w:val="single" w:sz="8" w:space="0" w:color="auto"/>
              <w:right w:val="single" w:sz="8" w:space="0" w:color="auto"/>
            </w:tcBorders>
            <w:noWrap/>
            <w:vAlign w:val="center"/>
            <w:hideMark/>
          </w:tcPr>
          <w:p w14:paraId="6B30A32D" w14:textId="77777777" w:rsidR="003914D2" w:rsidRDefault="003914D2">
            <w:pPr>
              <w:jc w:val="right"/>
              <w:rPr>
                <w:rFonts w:ascii="Arial" w:hAnsi="Arial" w:cs="Arial"/>
                <w:color w:val="000000"/>
                <w:sz w:val="16"/>
                <w:szCs w:val="16"/>
              </w:rPr>
            </w:pPr>
            <w:r>
              <w:rPr>
                <w:rFonts w:ascii="Arial" w:hAnsi="Arial" w:cs="Arial"/>
                <w:sz w:val="16"/>
                <w:szCs w:val="16"/>
              </w:rPr>
              <w:t>6.466</w:t>
            </w:r>
          </w:p>
        </w:tc>
        <w:tc>
          <w:tcPr>
            <w:tcW w:w="723" w:type="pct"/>
            <w:tcBorders>
              <w:top w:val="nil"/>
              <w:left w:val="nil"/>
              <w:bottom w:val="single" w:sz="8" w:space="0" w:color="auto"/>
              <w:right w:val="single" w:sz="8" w:space="0" w:color="auto"/>
            </w:tcBorders>
            <w:noWrap/>
            <w:vAlign w:val="center"/>
            <w:hideMark/>
          </w:tcPr>
          <w:p w14:paraId="43F0F8D9" w14:textId="77777777" w:rsidR="003914D2" w:rsidRDefault="003914D2">
            <w:pPr>
              <w:jc w:val="right"/>
              <w:rPr>
                <w:rFonts w:ascii="Arial" w:hAnsi="Arial" w:cs="Arial"/>
                <w:color w:val="000000"/>
                <w:sz w:val="16"/>
                <w:szCs w:val="16"/>
              </w:rPr>
            </w:pPr>
            <w:r>
              <w:rPr>
                <w:rFonts w:ascii="Arial" w:hAnsi="Arial" w:cs="Arial"/>
                <w:sz w:val="16"/>
                <w:szCs w:val="16"/>
              </w:rPr>
              <w:t>4.563</w:t>
            </w:r>
          </w:p>
        </w:tc>
        <w:tc>
          <w:tcPr>
            <w:tcW w:w="723" w:type="pct"/>
            <w:tcBorders>
              <w:top w:val="nil"/>
              <w:left w:val="nil"/>
              <w:bottom w:val="single" w:sz="8" w:space="0" w:color="auto"/>
              <w:right w:val="single" w:sz="8" w:space="0" w:color="auto"/>
            </w:tcBorders>
            <w:noWrap/>
            <w:vAlign w:val="center"/>
            <w:hideMark/>
          </w:tcPr>
          <w:p w14:paraId="0E876E48" w14:textId="77777777" w:rsidR="003914D2" w:rsidRDefault="003914D2">
            <w:pPr>
              <w:jc w:val="right"/>
              <w:rPr>
                <w:rFonts w:ascii="Arial" w:hAnsi="Arial" w:cs="Arial"/>
                <w:color w:val="000000"/>
                <w:sz w:val="16"/>
                <w:szCs w:val="16"/>
              </w:rPr>
            </w:pPr>
            <w:r>
              <w:rPr>
                <w:rFonts w:ascii="Arial" w:hAnsi="Arial" w:cs="Arial"/>
                <w:sz w:val="16"/>
                <w:szCs w:val="16"/>
              </w:rPr>
              <w:t>1.955</w:t>
            </w:r>
          </w:p>
        </w:tc>
        <w:tc>
          <w:tcPr>
            <w:tcW w:w="681" w:type="pct"/>
            <w:tcBorders>
              <w:top w:val="nil"/>
              <w:left w:val="nil"/>
              <w:bottom w:val="single" w:sz="8" w:space="0" w:color="auto"/>
              <w:right w:val="single" w:sz="8" w:space="0" w:color="auto"/>
            </w:tcBorders>
            <w:noWrap/>
            <w:vAlign w:val="center"/>
            <w:hideMark/>
          </w:tcPr>
          <w:p w14:paraId="7C9E84A3" w14:textId="77777777" w:rsidR="003914D2" w:rsidRDefault="003914D2">
            <w:pPr>
              <w:jc w:val="right"/>
              <w:rPr>
                <w:rFonts w:ascii="Arial" w:hAnsi="Arial" w:cs="Arial"/>
                <w:color w:val="000000"/>
                <w:sz w:val="16"/>
                <w:szCs w:val="16"/>
              </w:rPr>
            </w:pPr>
            <w:r>
              <w:rPr>
                <w:rFonts w:ascii="Arial" w:hAnsi="Arial" w:cs="Arial"/>
                <w:sz w:val="16"/>
                <w:szCs w:val="16"/>
              </w:rPr>
              <w:t>1.754</w:t>
            </w:r>
          </w:p>
        </w:tc>
      </w:tr>
      <w:tr w:rsidR="003914D2" w14:paraId="6608B191" w14:textId="77777777" w:rsidTr="003914D2">
        <w:trPr>
          <w:trHeight w:val="315"/>
        </w:trPr>
        <w:tc>
          <w:tcPr>
            <w:tcW w:w="1331" w:type="pct"/>
            <w:tcBorders>
              <w:top w:val="nil"/>
              <w:left w:val="single" w:sz="8" w:space="0" w:color="auto"/>
              <w:bottom w:val="single" w:sz="8" w:space="0" w:color="auto"/>
              <w:right w:val="single" w:sz="8" w:space="0" w:color="auto"/>
            </w:tcBorders>
            <w:noWrap/>
            <w:vAlign w:val="center"/>
            <w:hideMark/>
          </w:tcPr>
          <w:p w14:paraId="61E9D653" w14:textId="77777777" w:rsidR="003914D2" w:rsidRDefault="003914D2">
            <w:pPr>
              <w:rPr>
                <w:rFonts w:ascii="Arial" w:hAnsi="Arial" w:cs="Arial"/>
                <w:color w:val="000000"/>
                <w:sz w:val="16"/>
                <w:szCs w:val="16"/>
              </w:rPr>
            </w:pPr>
            <w:r>
              <w:rPr>
                <w:rFonts w:ascii="Arial" w:hAnsi="Arial" w:cs="Arial"/>
                <w:sz w:val="16"/>
                <w:szCs w:val="16"/>
              </w:rPr>
              <w:t>Impuestos y Multas</w:t>
            </w:r>
          </w:p>
        </w:tc>
        <w:tc>
          <w:tcPr>
            <w:tcW w:w="668" w:type="pct"/>
            <w:tcBorders>
              <w:top w:val="nil"/>
              <w:left w:val="nil"/>
              <w:bottom w:val="single" w:sz="8" w:space="0" w:color="auto"/>
              <w:right w:val="single" w:sz="8" w:space="0" w:color="auto"/>
            </w:tcBorders>
            <w:noWrap/>
            <w:vAlign w:val="center"/>
            <w:hideMark/>
          </w:tcPr>
          <w:p w14:paraId="62D00BA9" w14:textId="77777777" w:rsidR="003914D2" w:rsidRDefault="003914D2">
            <w:pPr>
              <w:jc w:val="right"/>
              <w:rPr>
                <w:rFonts w:ascii="Arial" w:hAnsi="Arial" w:cs="Arial"/>
                <w:color w:val="000000"/>
                <w:sz w:val="16"/>
                <w:szCs w:val="16"/>
              </w:rPr>
            </w:pPr>
            <w:r>
              <w:rPr>
                <w:rFonts w:ascii="Arial" w:hAnsi="Arial" w:cs="Arial"/>
                <w:sz w:val="16"/>
                <w:szCs w:val="16"/>
              </w:rPr>
              <w:t>913</w:t>
            </w:r>
          </w:p>
        </w:tc>
        <w:tc>
          <w:tcPr>
            <w:tcW w:w="873" w:type="pct"/>
            <w:tcBorders>
              <w:top w:val="nil"/>
              <w:left w:val="nil"/>
              <w:bottom w:val="single" w:sz="8" w:space="0" w:color="auto"/>
              <w:right w:val="single" w:sz="8" w:space="0" w:color="auto"/>
            </w:tcBorders>
            <w:noWrap/>
            <w:vAlign w:val="center"/>
            <w:hideMark/>
          </w:tcPr>
          <w:p w14:paraId="625C469B" w14:textId="77777777" w:rsidR="003914D2" w:rsidRDefault="003914D2">
            <w:pPr>
              <w:jc w:val="right"/>
              <w:rPr>
                <w:rFonts w:ascii="Arial" w:hAnsi="Arial" w:cs="Arial"/>
                <w:color w:val="000000"/>
                <w:sz w:val="16"/>
                <w:szCs w:val="16"/>
              </w:rPr>
            </w:pPr>
            <w:r>
              <w:rPr>
                <w:rFonts w:ascii="Arial" w:hAnsi="Arial" w:cs="Arial"/>
                <w:sz w:val="16"/>
                <w:szCs w:val="16"/>
              </w:rPr>
              <w:t>428</w:t>
            </w:r>
          </w:p>
        </w:tc>
        <w:tc>
          <w:tcPr>
            <w:tcW w:w="723" w:type="pct"/>
            <w:tcBorders>
              <w:top w:val="nil"/>
              <w:left w:val="nil"/>
              <w:bottom w:val="single" w:sz="8" w:space="0" w:color="auto"/>
              <w:right w:val="single" w:sz="8" w:space="0" w:color="auto"/>
            </w:tcBorders>
            <w:noWrap/>
            <w:vAlign w:val="center"/>
            <w:hideMark/>
          </w:tcPr>
          <w:p w14:paraId="090D9DF3" w14:textId="77777777" w:rsidR="003914D2" w:rsidRDefault="003914D2">
            <w:pPr>
              <w:jc w:val="right"/>
              <w:rPr>
                <w:rFonts w:ascii="Arial" w:hAnsi="Arial" w:cs="Arial"/>
                <w:color w:val="000000"/>
                <w:sz w:val="16"/>
                <w:szCs w:val="16"/>
              </w:rPr>
            </w:pPr>
            <w:r>
              <w:rPr>
                <w:rFonts w:ascii="Arial" w:hAnsi="Arial" w:cs="Arial"/>
                <w:sz w:val="16"/>
                <w:szCs w:val="16"/>
              </w:rPr>
              <w:t>425</w:t>
            </w:r>
          </w:p>
        </w:tc>
        <w:tc>
          <w:tcPr>
            <w:tcW w:w="723" w:type="pct"/>
            <w:tcBorders>
              <w:top w:val="nil"/>
              <w:left w:val="nil"/>
              <w:bottom w:val="single" w:sz="8" w:space="0" w:color="auto"/>
              <w:right w:val="single" w:sz="8" w:space="0" w:color="auto"/>
            </w:tcBorders>
            <w:noWrap/>
            <w:vAlign w:val="center"/>
            <w:hideMark/>
          </w:tcPr>
          <w:p w14:paraId="6A712D7F" w14:textId="77777777" w:rsidR="003914D2" w:rsidRDefault="003914D2">
            <w:pPr>
              <w:jc w:val="right"/>
              <w:rPr>
                <w:rFonts w:ascii="Arial" w:hAnsi="Arial" w:cs="Arial"/>
                <w:color w:val="000000"/>
                <w:sz w:val="16"/>
                <w:szCs w:val="16"/>
              </w:rPr>
            </w:pPr>
            <w:r>
              <w:rPr>
                <w:rFonts w:ascii="Arial" w:hAnsi="Arial" w:cs="Arial"/>
                <w:sz w:val="16"/>
                <w:szCs w:val="16"/>
              </w:rPr>
              <w:t>382</w:t>
            </w:r>
          </w:p>
        </w:tc>
        <w:tc>
          <w:tcPr>
            <w:tcW w:w="681" w:type="pct"/>
            <w:tcBorders>
              <w:top w:val="nil"/>
              <w:left w:val="nil"/>
              <w:bottom w:val="single" w:sz="8" w:space="0" w:color="auto"/>
              <w:right w:val="single" w:sz="8" w:space="0" w:color="auto"/>
            </w:tcBorders>
            <w:noWrap/>
            <w:vAlign w:val="center"/>
            <w:hideMark/>
          </w:tcPr>
          <w:p w14:paraId="12EB4026" w14:textId="77777777" w:rsidR="003914D2" w:rsidRDefault="003914D2">
            <w:pPr>
              <w:jc w:val="right"/>
              <w:rPr>
                <w:rFonts w:ascii="Arial" w:hAnsi="Arial" w:cs="Arial"/>
                <w:color w:val="000000"/>
                <w:sz w:val="16"/>
                <w:szCs w:val="16"/>
              </w:rPr>
            </w:pPr>
            <w:r>
              <w:rPr>
                <w:rFonts w:ascii="Arial" w:hAnsi="Arial" w:cs="Arial"/>
                <w:sz w:val="16"/>
                <w:szCs w:val="16"/>
              </w:rPr>
              <w:t>382</w:t>
            </w:r>
          </w:p>
        </w:tc>
      </w:tr>
      <w:tr w:rsidR="003914D2" w14:paraId="2C529312" w14:textId="77777777" w:rsidTr="003914D2">
        <w:trPr>
          <w:trHeight w:val="315"/>
        </w:trPr>
        <w:tc>
          <w:tcPr>
            <w:tcW w:w="1331" w:type="pct"/>
            <w:tcBorders>
              <w:top w:val="nil"/>
              <w:left w:val="single" w:sz="8" w:space="0" w:color="auto"/>
              <w:bottom w:val="single" w:sz="8" w:space="0" w:color="auto"/>
              <w:right w:val="single" w:sz="8" w:space="0" w:color="auto"/>
            </w:tcBorders>
            <w:vAlign w:val="center"/>
            <w:hideMark/>
          </w:tcPr>
          <w:p w14:paraId="7690F79E" w14:textId="77777777" w:rsidR="003914D2" w:rsidRDefault="003914D2">
            <w:pPr>
              <w:rPr>
                <w:rFonts w:ascii="Arial" w:hAnsi="Arial" w:cs="Arial"/>
                <w:color w:val="000000"/>
                <w:sz w:val="16"/>
                <w:szCs w:val="16"/>
              </w:rPr>
            </w:pPr>
            <w:r>
              <w:rPr>
                <w:rFonts w:ascii="Arial" w:hAnsi="Arial" w:cs="Arial"/>
                <w:sz w:val="16"/>
                <w:szCs w:val="16"/>
              </w:rPr>
              <w:t>Total, Gastos Generales</w:t>
            </w:r>
          </w:p>
        </w:tc>
        <w:tc>
          <w:tcPr>
            <w:tcW w:w="668" w:type="pct"/>
            <w:tcBorders>
              <w:top w:val="nil"/>
              <w:left w:val="nil"/>
              <w:bottom w:val="single" w:sz="8" w:space="0" w:color="auto"/>
              <w:right w:val="single" w:sz="8" w:space="0" w:color="auto"/>
            </w:tcBorders>
            <w:noWrap/>
            <w:vAlign w:val="center"/>
            <w:hideMark/>
          </w:tcPr>
          <w:p w14:paraId="3278507A" w14:textId="77777777" w:rsidR="003914D2" w:rsidRDefault="003914D2">
            <w:pPr>
              <w:jc w:val="right"/>
              <w:rPr>
                <w:rFonts w:ascii="Arial" w:hAnsi="Arial" w:cs="Arial"/>
                <w:b/>
                <w:bCs/>
                <w:color w:val="000000"/>
                <w:sz w:val="16"/>
                <w:szCs w:val="16"/>
              </w:rPr>
            </w:pPr>
            <w:r>
              <w:rPr>
                <w:rFonts w:ascii="Arial" w:hAnsi="Arial" w:cs="Arial"/>
                <w:b/>
                <w:bCs/>
                <w:sz w:val="16"/>
                <w:szCs w:val="16"/>
              </w:rPr>
              <w:t>8.554</w:t>
            </w:r>
          </w:p>
        </w:tc>
        <w:tc>
          <w:tcPr>
            <w:tcW w:w="873" w:type="pct"/>
            <w:tcBorders>
              <w:top w:val="nil"/>
              <w:left w:val="nil"/>
              <w:bottom w:val="single" w:sz="8" w:space="0" w:color="auto"/>
              <w:right w:val="single" w:sz="8" w:space="0" w:color="auto"/>
            </w:tcBorders>
            <w:noWrap/>
            <w:vAlign w:val="center"/>
            <w:hideMark/>
          </w:tcPr>
          <w:p w14:paraId="4CB41756" w14:textId="77777777" w:rsidR="003914D2" w:rsidRDefault="003914D2">
            <w:pPr>
              <w:jc w:val="right"/>
              <w:rPr>
                <w:rFonts w:ascii="Arial" w:hAnsi="Arial" w:cs="Arial"/>
                <w:b/>
                <w:bCs/>
                <w:color w:val="000000"/>
                <w:sz w:val="16"/>
                <w:szCs w:val="16"/>
              </w:rPr>
            </w:pPr>
            <w:r>
              <w:rPr>
                <w:rFonts w:ascii="Arial" w:hAnsi="Arial" w:cs="Arial"/>
                <w:b/>
                <w:bCs/>
                <w:sz w:val="16"/>
                <w:szCs w:val="16"/>
              </w:rPr>
              <w:t>6.894</w:t>
            </w:r>
          </w:p>
        </w:tc>
        <w:tc>
          <w:tcPr>
            <w:tcW w:w="723" w:type="pct"/>
            <w:tcBorders>
              <w:top w:val="nil"/>
              <w:left w:val="nil"/>
              <w:bottom w:val="single" w:sz="8" w:space="0" w:color="auto"/>
              <w:right w:val="single" w:sz="8" w:space="0" w:color="auto"/>
            </w:tcBorders>
            <w:noWrap/>
            <w:vAlign w:val="center"/>
            <w:hideMark/>
          </w:tcPr>
          <w:p w14:paraId="33F00EDE" w14:textId="77777777" w:rsidR="003914D2" w:rsidRDefault="003914D2">
            <w:pPr>
              <w:jc w:val="right"/>
              <w:rPr>
                <w:rFonts w:ascii="Arial" w:hAnsi="Arial" w:cs="Arial"/>
                <w:b/>
                <w:bCs/>
                <w:color w:val="000000"/>
                <w:sz w:val="16"/>
                <w:szCs w:val="16"/>
              </w:rPr>
            </w:pPr>
            <w:r>
              <w:rPr>
                <w:rFonts w:ascii="Arial" w:hAnsi="Arial" w:cs="Arial"/>
                <w:b/>
                <w:bCs/>
                <w:sz w:val="16"/>
                <w:szCs w:val="16"/>
              </w:rPr>
              <w:t>4.987</w:t>
            </w:r>
          </w:p>
        </w:tc>
        <w:tc>
          <w:tcPr>
            <w:tcW w:w="723" w:type="pct"/>
            <w:tcBorders>
              <w:top w:val="nil"/>
              <w:left w:val="nil"/>
              <w:bottom w:val="single" w:sz="8" w:space="0" w:color="auto"/>
              <w:right w:val="single" w:sz="8" w:space="0" w:color="auto"/>
            </w:tcBorders>
            <w:noWrap/>
            <w:vAlign w:val="center"/>
            <w:hideMark/>
          </w:tcPr>
          <w:p w14:paraId="1B771F36" w14:textId="77777777" w:rsidR="003914D2" w:rsidRDefault="003914D2">
            <w:pPr>
              <w:jc w:val="right"/>
              <w:rPr>
                <w:rFonts w:ascii="Arial" w:hAnsi="Arial" w:cs="Arial"/>
                <w:b/>
                <w:bCs/>
                <w:color w:val="000000"/>
                <w:sz w:val="16"/>
                <w:szCs w:val="16"/>
              </w:rPr>
            </w:pPr>
            <w:r>
              <w:rPr>
                <w:rFonts w:ascii="Arial" w:hAnsi="Arial" w:cs="Arial"/>
                <w:b/>
                <w:bCs/>
                <w:sz w:val="16"/>
                <w:szCs w:val="16"/>
              </w:rPr>
              <w:t>2.337</w:t>
            </w:r>
          </w:p>
        </w:tc>
        <w:tc>
          <w:tcPr>
            <w:tcW w:w="681" w:type="pct"/>
            <w:tcBorders>
              <w:top w:val="nil"/>
              <w:left w:val="nil"/>
              <w:bottom w:val="single" w:sz="8" w:space="0" w:color="auto"/>
              <w:right w:val="single" w:sz="8" w:space="0" w:color="auto"/>
            </w:tcBorders>
            <w:noWrap/>
            <w:vAlign w:val="center"/>
            <w:hideMark/>
          </w:tcPr>
          <w:p w14:paraId="43F515D0" w14:textId="77777777" w:rsidR="003914D2" w:rsidRDefault="003914D2">
            <w:pPr>
              <w:jc w:val="right"/>
              <w:rPr>
                <w:rFonts w:ascii="Arial" w:hAnsi="Arial" w:cs="Arial"/>
                <w:b/>
                <w:bCs/>
                <w:color w:val="000000"/>
                <w:sz w:val="16"/>
                <w:szCs w:val="16"/>
              </w:rPr>
            </w:pPr>
            <w:r>
              <w:rPr>
                <w:rFonts w:ascii="Arial" w:hAnsi="Arial" w:cs="Arial"/>
                <w:b/>
                <w:bCs/>
                <w:sz w:val="16"/>
                <w:szCs w:val="16"/>
              </w:rPr>
              <w:t>2.136</w:t>
            </w:r>
          </w:p>
        </w:tc>
      </w:tr>
      <w:tr w:rsidR="003914D2" w14:paraId="26FEA0A9" w14:textId="77777777" w:rsidTr="003914D2">
        <w:trPr>
          <w:trHeight w:val="315"/>
        </w:trPr>
        <w:tc>
          <w:tcPr>
            <w:tcW w:w="2000" w:type="pct"/>
            <w:gridSpan w:val="2"/>
            <w:tcBorders>
              <w:top w:val="single" w:sz="8" w:space="0" w:color="auto"/>
              <w:left w:val="single" w:sz="8" w:space="0" w:color="auto"/>
              <w:bottom w:val="single" w:sz="8" w:space="0" w:color="auto"/>
              <w:right w:val="single" w:sz="8" w:space="0" w:color="000000"/>
            </w:tcBorders>
            <w:shd w:val="clear" w:color="auto" w:fill="4F81BD" w:themeFill="accent1"/>
            <w:vAlign w:val="center"/>
            <w:hideMark/>
          </w:tcPr>
          <w:p w14:paraId="76E0F074" w14:textId="77777777" w:rsidR="003914D2" w:rsidRDefault="003914D2">
            <w:pPr>
              <w:rPr>
                <w:rFonts w:ascii="Arial" w:hAnsi="Arial" w:cs="Arial"/>
                <w:b/>
                <w:bCs/>
                <w:color w:val="000000"/>
                <w:sz w:val="16"/>
                <w:szCs w:val="16"/>
              </w:rPr>
            </w:pPr>
            <w:r>
              <w:rPr>
                <w:rFonts w:ascii="Arial" w:hAnsi="Arial" w:cs="Arial"/>
                <w:b/>
                <w:bCs/>
                <w:sz w:val="16"/>
                <w:szCs w:val="16"/>
              </w:rPr>
              <w:t>% de Ejecución</w:t>
            </w:r>
          </w:p>
        </w:tc>
        <w:tc>
          <w:tcPr>
            <w:tcW w:w="873" w:type="pct"/>
            <w:tcBorders>
              <w:top w:val="nil"/>
              <w:left w:val="nil"/>
              <w:bottom w:val="single" w:sz="8" w:space="0" w:color="auto"/>
              <w:right w:val="single" w:sz="8" w:space="0" w:color="auto"/>
            </w:tcBorders>
            <w:shd w:val="clear" w:color="auto" w:fill="4F81BD" w:themeFill="accent1"/>
            <w:noWrap/>
            <w:vAlign w:val="center"/>
            <w:hideMark/>
          </w:tcPr>
          <w:p w14:paraId="2E7586F5" w14:textId="77777777" w:rsidR="003914D2" w:rsidRDefault="003914D2">
            <w:pPr>
              <w:jc w:val="right"/>
              <w:rPr>
                <w:rFonts w:ascii="Arial" w:hAnsi="Arial" w:cs="Arial"/>
                <w:b/>
                <w:bCs/>
                <w:color w:val="000000"/>
                <w:sz w:val="16"/>
                <w:szCs w:val="16"/>
              </w:rPr>
            </w:pPr>
            <w:r>
              <w:rPr>
                <w:rFonts w:ascii="Arial" w:hAnsi="Arial" w:cs="Arial"/>
                <w:b/>
                <w:bCs/>
                <w:sz w:val="16"/>
                <w:szCs w:val="16"/>
              </w:rPr>
              <w:t>81%</w:t>
            </w:r>
          </w:p>
        </w:tc>
        <w:tc>
          <w:tcPr>
            <w:tcW w:w="723" w:type="pct"/>
            <w:tcBorders>
              <w:top w:val="nil"/>
              <w:left w:val="nil"/>
              <w:bottom w:val="single" w:sz="8" w:space="0" w:color="auto"/>
              <w:right w:val="single" w:sz="8" w:space="0" w:color="auto"/>
            </w:tcBorders>
            <w:shd w:val="clear" w:color="auto" w:fill="4F81BD" w:themeFill="accent1"/>
            <w:noWrap/>
            <w:vAlign w:val="center"/>
            <w:hideMark/>
          </w:tcPr>
          <w:p w14:paraId="6DC71F5F" w14:textId="77777777" w:rsidR="003914D2" w:rsidRDefault="003914D2">
            <w:pPr>
              <w:jc w:val="right"/>
              <w:rPr>
                <w:rFonts w:ascii="Arial" w:hAnsi="Arial" w:cs="Arial"/>
                <w:b/>
                <w:bCs/>
                <w:color w:val="000000"/>
                <w:sz w:val="16"/>
                <w:szCs w:val="16"/>
              </w:rPr>
            </w:pPr>
            <w:r>
              <w:rPr>
                <w:rFonts w:ascii="Arial" w:hAnsi="Arial" w:cs="Arial"/>
                <w:b/>
                <w:bCs/>
                <w:sz w:val="16"/>
                <w:szCs w:val="16"/>
              </w:rPr>
              <w:t>58%</w:t>
            </w:r>
          </w:p>
        </w:tc>
        <w:tc>
          <w:tcPr>
            <w:tcW w:w="723" w:type="pct"/>
            <w:tcBorders>
              <w:top w:val="nil"/>
              <w:left w:val="nil"/>
              <w:bottom w:val="single" w:sz="8" w:space="0" w:color="auto"/>
              <w:right w:val="single" w:sz="8" w:space="0" w:color="auto"/>
            </w:tcBorders>
            <w:shd w:val="clear" w:color="auto" w:fill="4F81BD" w:themeFill="accent1"/>
            <w:noWrap/>
            <w:vAlign w:val="center"/>
            <w:hideMark/>
          </w:tcPr>
          <w:p w14:paraId="0B0B6C76" w14:textId="77777777" w:rsidR="003914D2" w:rsidRDefault="003914D2">
            <w:pPr>
              <w:jc w:val="right"/>
              <w:rPr>
                <w:rFonts w:ascii="Arial" w:hAnsi="Arial" w:cs="Arial"/>
                <w:b/>
                <w:bCs/>
                <w:color w:val="000000"/>
                <w:sz w:val="16"/>
                <w:szCs w:val="16"/>
              </w:rPr>
            </w:pPr>
            <w:r>
              <w:rPr>
                <w:rFonts w:ascii="Arial" w:hAnsi="Arial" w:cs="Arial"/>
                <w:b/>
                <w:bCs/>
                <w:sz w:val="16"/>
                <w:szCs w:val="16"/>
              </w:rPr>
              <w:t>27%</w:t>
            </w:r>
          </w:p>
        </w:tc>
        <w:tc>
          <w:tcPr>
            <w:tcW w:w="681" w:type="pct"/>
            <w:tcBorders>
              <w:top w:val="nil"/>
              <w:left w:val="nil"/>
              <w:bottom w:val="single" w:sz="8" w:space="0" w:color="auto"/>
              <w:right w:val="single" w:sz="8" w:space="0" w:color="auto"/>
            </w:tcBorders>
            <w:shd w:val="clear" w:color="auto" w:fill="4F81BD" w:themeFill="accent1"/>
            <w:noWrap/>
            <w:vAlign w:val="center"/>
            <w:hideMark/>
          </w:tcPr>
          <w:p w14:paraId="504CA263" w14:textId="77777777" w:rsidR="003914D2" w:rsidRDefault="003914D2">
            <w:pPr>
              <w:jc w:val="right"/>
              <w:rPr>
                <w:rFonts w:ascii="Arial" w:hAnsi="Arial" w:cs="Arial"/>
                <w:b/>
                <w:bCs/>
                <w:color w:val="000000"/>
                <w:sz w:val="16"/>
                <w:szCs w:val="16"/>
              </w:rPr>
            </w:pPr>
            <w:r>
              <w:rPr>
                <w:rFonts w:ascii="Arial" w:hAnsi="Arial" w:cs="Arial"/>
                <w:b/>
                <w:bCs/>
                <w:sz w:val="16"/>
                <w:szCs w:val="16"/>
              </w:rPr>
              <w:t>25%</w:t>
            </w:r>
          </w:p>
        </w:tc>
      </w:tr>
    </w:tbl>
    <w:p w14:paraId="5CC4CE2D" w14:textId="11662E11" w:rsidR="00C02282" w:rsidRPr="003914D2" w:rsidRDefault="003914D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t xml:space="preserve"> </w:t>
      </w:r>
      <w:r w:rsidR="00C02282" w:rsidRPr="003914D2">
        <w:rPr>
          <w:rFonts w:ascii="Arial" w:hAnsi="Arial" w:cs="Arial"/>
          <w:sz w:val="16"/>
          <w:szCs w:val="16"/>
          <w:lang w:eastAsia="es-ES"/>
        </w:rPr>
        <w:t>Millones de pesos</w:t>
      </w:r>
    </w:p>
    <w:p w14:paraId="05267B9A" w14:textId="4C1F8359" w:rsidR="00C02282" w:rsidRDefault="00C02282" w:rsidP="00C02282">
      <w:pPr>
        <w:jc w:val="center"/>
        <w:rPr>
          <w:rFonts w:ascii="Calibri" w:hAnsi="Calibri" w:cs="Calibri"/>
          <w:sz w:val="18"/>
          <w:szCs w:val="18"/>
        </w:rPr>
      </w:pPr>
      <w:r w:rsidRPr="003914D2">
        <w:rPr>
          <w:rFonts w:ascii="Calibri" w:hAnsi="Calibri" w:cs="Calibri"/>
          <w:sz w:val="18"/>
          <w:szCs w:val="18"/>
        </w:rPr>
        <w:t>Fuente SIIF</w:t>
      </w:r>
    </w:p>
    <w:p w14:paraId="6FFED195" w14:textId="77777777" w:rsidR="00803CC6" w:rsidRPr="003914D2" w:rsidRDefault="00803CC6" w:rsidP="00C02282">
      <w:pPr>
        <w:jc w:val="center"/>
        <w:rPr>
          <w:rFonts w:ascii="Arial" w:hAnsi="Arial" w:cs="Arial"/>
          <w:bCs/>
          <w:lang w:val="es-MX" w:eastAsia="es-ES"/>
        </w:rPr>
      </w:pPr>
    </w:p>
    <w:p w14:paraId="01668AFF" w14:textId="77777777" w:rsidR="00C02282" w:rsidRPr="003914D2" w:rsidRDefault="00C02282" w:rsidP="00C02282">
      <w:pPr>
        <w:jc w:val="both"/>
        <w:rPr>
          <w:rFonts w:ascii="Arial" w:hAnsi="Arial" w:cs="Arial"/>
          <w:b/>
          <w:lang w:val="es-ES" w:eastAsia="es-ES"/>
        </w:rPr>
      </w:pPr>
      <w:r w:rsidRPr="003914D2">
        <w:rPr>
          <w:rFonts w:ascii="Arial" w:hAnsi="Arial" w:cs="Arial"/>
          <w:b/>
          <w:lang w:val="es-ES" w:eastAsia="es-ES"/>
        </w:rPr>
        <w:t>Adquisición de Bienes y Servicios:</w:t>
      </w:r>
    </w:p>
    <w:p w14:paraId="4B802AF0" w14:textId="1B840C76" w:rsidR="00C02282" w:rsidRPr="006A67B4" w:rsidRDefault="003914D2" w:rsidP="003914D2">
      <w:pPr>
        <w:jc w:val="both"/>
        <w:rPr>
          <w:rFonts w:ascii="Arial" w:hAnsi="Arial" w:cs="Arial"/>
          <w:sz w:val="16"/>
          <w:szCs w:val="16"/>
          <w:highlight w:val="yellow"/>
        </w:rPr>
      </w:pPr>
      <w:r>
        <w:rPr>
          <w:rFonts w:ascii="Arial" w:hAnsi="Arial" w:cs="Arial"/>
          <w:lang w:val="es-ES" w:eastAsia="es-ES"/>
        </w:rPr>
        <w:t>El rubro de adquisición de bienes y servicios presentó una ejecución acumulada a 30 de junio de 2018 del 60% en compromisos y del 26% en obligaciones; el detalle se presenta en el siguiente cuadro:</w:t>
      </w:r>
      <w:r w:rsidR="00C02282" w:rsidRPr="006A67B4">
        <w:rPr>
          <w:rFonts w:ascii="Arial" w:hAnsi="Arial" w:cs="Arial"/>
          <w:b/>
          <w:sz w:val="16"/>
          <w:szCs w:val="16"/>
          <w:highlight w:val="yellow"/>
        </w:rPr>
        <w:t xml:space="preserve"> </w:t>
      </w:r>
    </w:p>
    <w:p w14:paraId="0EFC0B2A" w14:textId="299F4B1E" w:rsidR="00C02282" w:rsidRPr="003914D2" w:rsidRDefault="00C02282" w:rsidP="00C02282">
      <w:pPr>
        <w:pStyle w:val="Descripcin"/>
        <w:keepNext/>
        <w:jc w:val="center"/>
      </w:pPr>
      <w:bookmarkStart w:id="132" w:name="_Toc525652503"/>
      <w:r w:rsidRPr="003914D2">
        <w:lastRenderedPageBreak/>
        <w:t xml:space="preserve">Tabla </w:t>
      </w:r>
      <w:r w:rsidRPr="003914D2">
        <w:fldChar w:fldCharType="begin"/>
      </w:r>
      <w:r w:rsidRPr="003914D2">
        <w:instrText xml:space="preserve"> SEQ Tabla \* ARABIC </w:instrText>
      </w:r>
      <w:r w:rsidRPr="003914D2">
        <w:fldChar w:fldCharType="separate"/>
      </w:r>
      <w:r w:rsidR="008B4625">
        <w:rPr>
          <w:noProof/>
        </w:rPr>
        <w:t>58</w:t>
      </w:r>
      <w:r w:rsidRPr="003914D2">
        <w:fldChar w:fldCharType="end"/>
      </w:r>
      <w:r w:rsidRPr="003914D2">
        <w:t xml:space="preserve"> Ejecución Gastos Generales –Adqu</w:t>
      </w:r>
      <w:r w:rsidR="003914D2" w:rsidRPr="003914D2">
        <w:t xml:space="preserve">isición de bienes y Servicios 30 de junio de </w:t>
      </w:r>
      <w:r w:rsidRPr="003914D2">
        <w:t xml:space="preserve"> 2018 ANH</w:t>
      </w:r>
      <w:bookmarkEnd w:id="132"/>
    </w:p>
    <w:tbl>
      <w:tblPr>
        <w:tblW w:w="7838" w:type="dxa"/>
        <w:tblCellMar>
          <w:left w:w="70" w:type="dxa"/>
          <w:right w:w="70" w:type="dxa"/>
        </w:tblCellMar>
        <w:tblLook w:val="04A0" w:firstRow="1" w:lastRow="0" w:firstColumn="1" w:lastColumn="0" w:noHBand="0" w:noVBand="1"/>
      </w:tblPr>
      <w:tblGrid>
        <w:gridCol w:w="1967"/>
        <w:gridCol w:w="1483"/>
        <w:gridCol w:w="1081"/>
        <w:gridCol w:w="1725"/>
        <w:gridCol w:w="1672"/>
        <w:gridCol w:w="1456"/>
      </w:tblGrid>
      <w:tr w:rsidR="003914D2" w14:paraId="3422D35A" w14:textId="77777777" w:rsidTr="00803CC6">
        <w:trPr>
          <w:trHeight w:val="589"/>
          <w:tblHeader/>
        </w:trPr>
        <w:tc>
          <w:tcPr>
            <w:tcW w:w="0" w:type="auto"/>
            <w:tcBorders>
              <w:top w:val="single" w:sz="8" w:space="0" w:color="auto"/>
              <w:left w:val="single" w:sz="8" w:space="0" w:color="auto"/>
              <w:bottom w:val="nil"/>
              <w:right w:val="single" w:sz="8" w:space="0" w:color="auto"/>
            </w:tcBorders>
            <w:shd w:val="clear" w:color="auto" w:fill="4F81BD" w:themeFill="accent1"/>
            <w:vAlign w:val="center"/>
            <w:hideMark/>
          </w:tcPr>
          <w:p w14:paraId="339AAA3C" w14:textId="77777777" w:rsidR="003914D2" w:rsidRDefault="003914D2">
            <w:pPr>
              <w:jc w:val="center"/>
              <w:rPr>
                <w:rFonts w:ascii="Arial" w:hAnsi="Arial" w:cs="Arial"/>
                <w:b/>
                <w:bCs/>
                <w:color w:val="000000"/>
                <w:sz w:val="16"/>
                <w:szCs w:val="16"/>
              </w:rPr>
            </w:pPr>
            <w:r>
              <w:rPr>
                <w:rFonts w:ascii="Arial" w:hAnsi="Arial" w:cs="Arial"/>
                <w:b/>
                <w:bCs/>
                <w:sz w:val="16"/>
                <w:szCs w:val="16"/>
              </w:rPr>
              <w:t>DESCRIPCIÓN</w:t>
            </w:r>
          </w:p>
        </w:tc>
        <w:tc>
          <w:tcPr>
            <w:tcW w:w="0" w:type="auto"/>
            <w:tcBorders>
              <w:top w:val="single" w:sz="8" w:space="0" w:color="auto"/>
              <w:left w:val="nil"/>
              <w:bottom w:val="nil"/>
              <w:right w:val="single" w:sz="8" w:space="0" w:color="auto"/>
            </w:tcBorders>
            <w:shd w:val="clear" w:color="auto" w:fill="4F81BD" w:themeFill="accent1"/>
            <w:vAlign w:val="center"/>
            <w:hideMark/>
          </w:tcPr>
          <w:p w14:paraId="4F819C7C" w14:textId="77777777" w:rsidR="003914D2" w:rsidRDefault="003914D2">
            <w:pPr>
              <w:jc w:val="center"/>
              <w:rPr>
                <w:rFonts w:ascii="Arial" w:hAnsi="Arial" w:cs="Arial"/>
                <w:b/>
                <w:bCs/>
                <w:color w:val="000000"/>
                <w:sz w:val="16"/>
                <w:szCs w:val="16"/>
              </w:rPr>
            </w:pPr>
            <w:r>
              <w:rPr>
                <w:rFonts w:ascii="Arial" w:hAnsi="Arial" w:cs="Arial"/>
                <w:b/>
                <w:bCs/>
                <w:sz w:val="16"/>
                <w:szCs w:val="16"/>
              </w:rPr>
              <w:t>APROPIACIÓN DEFINITIVA</w:t>
            </w:r>
          </w:p>
        </w:tc>
        <w:tc>
          <w:tcPr>
            <w:tcW w:w="0" w:type="auto"/>
            <w:tcBorders>
              <w:top w:val="single" w:sz="8" w:space="0" w:color="auto"/>
              <w:left w:val="nil"/>
              <w:bottom w:val="nil"/>
              <w:right w:val="single" w:sz="8" w:space="0" w:color="auto"/>
            </w:tcBorders>
            <w:shd w:val="clear" w:color="auto" w:fill="4F81BD" w:themeFill="accent1"/>
            <w:vAlign w:val="center"/>
            <w:hideMark/>
          </w:tcPr>
          <w:p w14:paraId="3A5D0EF9" w14:textId="77777777" w:rsidR="003914D2" w:rsidRDefault="003914D2">
            <w:pPr>
              <w:jc w:val="center"/>
              <w:rPr>
                <w:rFonts w:ascii="Arial" w:hAnsi="Arial" w:cs="Arial"/>
                <w:b/>
                <w:bCs/>
                <w:color w:val="000000"/>
                <w:sz w:val="16"/>
                <w:szCs w:val="16"/>
              </w:rPr>
            </w:pPr>
            <w:r>
              <w:rPr>
                <w:rFonts w:ascii="Arial" w:hAnsi="Arial" w:cs="Arial"/>
                <w:b/>
                <w:bCs/>
                <w:sz w:val="16"/>
                <w:szCs w:val="16"/>
              </w:rPr>
              <w:t>DISPONIBILIDADES ACUMULADAS</w:t>
            </w:r>
          </w:p>
        </w:tc>
        <w:tc>
          <w:tcPr>
            <w:tcW w:w="0" w:type="auto"/>
            <w:tcBorders>
              <w:top w:val="single" w:sz="8" w:space="0" w:color="auto"/>
              <w:left w:val="nil"/>
              <w:bottom w:val="single" w:sz="8" w:space="0" w:color="auto"/>
              <w:right w:val="single" w:sz="8" w:space="0" w:color="auto"/>
            </w:tcBorders>
            <w:shd w:val="clear" w:color="auto" w:fill="4F81BD" w:themeFill="accent1"/>
            <w:vAlign w:val="center"/>
            <w:hideMark/>
          </w:tcPr>
          <w:p w14:paraId="1F143CB4" w14:textId="77777777" w:rsidR="003914D2" w:rsidRDefault="003914D2">
            <w:pPr>
              <w:jc w:val="center"/>
              <w:rPr>
                <w:rFonts w:ascii="Arial" w:hAnsi="Arial" w:cs="Arial"/>
                <w:b/>
                <w:bCs/>
                <w:color w:val="000000"/>
                <w:sz w:val="16"/>
                <w:szCs w:val="16"/>
              </w:rPr>
            </w:pPr>
            <w:r>
              <w:rPr>
                <w:rFonts w:ascii="Arial" w:hAnsi="Arial" w:cs="Arial"/>
                <w:b/>
                <w:bCs/>
                <w:sz w:val="16"/>
                <w:szCs w:val="16"/>
              </w:rPr>
              <w:t>COMPROMISOS ACUMULADOS</w:t>
            </w:r>
          </w:p>
        </w:tc>
        <w:tc>
          <w:tcPr>
            <w:tcW w:w="0" w:type="auto"/>
            <w:tcBorders>
              <w:top w:val="single" w:sz="8" w:space="0" w:color="auto"/>
              <w:left w:val="nil"/>
              <w:bottom w:val="nil"/>
              <w:right w:val="single" w:sz="8" w:space="0" w:color="auto"/>
            </w:tcBorders>
            <w:shd w:val="clear" w:color="auto" w:fill="4F81BD" w:themeFill="accent1"/>
            <w:vAlign w:val="center"/>
            <w:hideMark/>
          </w:tcPr>
          <w:p w14:paraId="66697B7D" w14:textId="77777777" w:rsidR="003914D2" w:rsidRDefault="003914D2">
            <w:pPr>
              <w:jc w:val="center"/>
              <w:rPr>
                <w:rFonts w:ascii="Arial" w:hAnsi="Arial" w:cs="Arial"/>
                <w:b/>
                <w:bCs/>
                <w:color w:val="000000"/>
                <w:sz w:val="16"/>
                <w:szCs w:val="16"/>
              </w:rPr>
            </w:pPr>
            <w:r>
              <w:rPr>
                <w:rFonts w:ascii="Arial" w:hAnsi="Arial" w:cs="Arial"/>
                <w:b/>
                <w:bCs/>
                <w:sz w:val="16"/>
                <w:szCs w:val="16"/>
              </w:rPr>
              <w:t>OBLIGACIONES ACUMULADAS</w:t>
            </w:r>
          </w:p>
        </w:tc>
        <w:tc>
          <w:tcPr>
            <w:tcW w:w="0" w:type="auto"/>
            <w:tcBorders>
              <w:top w:val="single" w:sz="8" w:space="0" w:color="auto"/>
              <w:left w:val="nil"/>
              <w:bottom w:val="nil"/>
              <w:right w:val="single" w:sz="8" w:space="0" w:color="auto"/>
            </w:tcBorders>
            <w:shd w:val="clear" w:color="auto" w:fill="4F81BD" w:themeFill="accent1"/>
            <w:vAlign w:val="center"/>
            <w:hideMark/>
          </w:tcPr>
          <w:p w14:paraId="77B349CA" w14:textId="77777777" w:rsidR="003914D2" w:rsidRDefault="003914D2">
            <w:pPr>
              <w:jc w:val="center"/>
              <w:rPr>
                <w:rFonts w:ascii="Arial" w:hAnsi="Arial" w:cs="Arial"/>
                <w:b/>
                <w:bCs/>
                <w:color w:val="000000"/>
                <w:sz w:val="16"/>
                <w:szCs w:val="16"/>
              </w:rPr>
            </w:pPr>
            <w:r>
              <w:rPr>
                <w:rFonts w:ascii="Arial" w:hAnsi="Arial" w:cs="Arial"/>
                <w:b/>
                <w:bCs/>
                <w:sz w:val="16"/>
                <w:szCs w:val="16"/>
              </w:rPr>
              <w:t>PAGOS ACUMULADOS</w:t>
            </w:r>
          </w:p>
        </w:tc>
      </w:tr>
      <w:tr w:rsidR="003914D2" w14:paraId="7FC56DEA" w14:textId="77777777" w:rsidTr="00803CC6">
        <w:trPr>
          <w:trHeight w:val="296"/>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12FF09" w14:textId="77777777" w:rsidR="003914D2" w:rsidRDefault="003914D2">
            <w:pPr>
              <w:rPr>
                <w:rFonts w:ascii="Arial" w:hAnsi="Arial" w:cs="Arial"/>
                <w:color w:val="000000"/>
                <w:sz w:val="16"/>
                <w:szCs w:val="16"/>
              </w:rPr>
            </w:pPr>
            <w:r>
              <w:rPr>
                <w:rFonts w:ascii="Arial" w:hAnsi="Arial" w:cs="Arial"/>
                <w:sz w:val="16"/>
                <w:szCs w:val="16"/>
              </w:rPr>
              <w:t xml:space="preserve"> Otras Compras de Equipo </w:t>
            </w:r>
          </w:p>
        </w:tc>
        <w:tc>
          <w:tcPr>
            <w:tcW w:w="0" w:type="auto"/>
            <w:tcBorders>
              <w:top w:val="single" w:sz="8" w:space="0" w:color="auto"/>
              <w:left w:val="nil"/>
              <w:bottom w:val="single" w:sz="8" w:space="0" w:color="auto"/>
              <w:right w:val="single" w:sz="8" w:space="0" w:color="auto"/>
            </w:tcBorders>
            <w:noWrap/>
            <w:vAlign w:val="center"/>
            <w:hideMark/>
          </w:tcPr>
          <w:p w14:paraId="6ECEBFDA" w14:textId="77777777" w:rsidR="003914D2" w:rsidRDefault="003914D2">
            <w:pPr>
              <w:jc w:val="right"/>
              <w:rPr>
                <w:rFonts w:ascii="Arial" w:hAnsi="Arial" w:cs="Arial"/>
                <w:color w:val="000000"/>
                <w:sz w:val="16"/>
                <w:szCs w:val="16"/>
              </w:rPr>
            </w:pPr>
            <w:r>
              <w:rPr>
                <w:rFonts w:ascii="Arial" w:hAnsi="Arial" w:cs="Arial"/>
                <w:sz w:val="16"/>
                <w:szCs w:val="16"/>
              </w:rPr>
              <w:t xml:space="preserve">                                                2 </w:t>
            </w:r>
          </w:p>
        </w:tc>
        <w:tc>
          <w:tcPr>
            <w:tcW w:w="0" w:type="auto"/>
            <w:tcBorders>
              <w:top w:val="single" w:sz="8" w:space="0" w:color="auto"/>
              <w:left w:val="nil"/>
              <w:bottom w:val="single" w:sz="8" w:space="0" w:color="auto"/>
              <w:right w:val="single" w:sz="8" w:space="0" w:color="auto"/>
            </w:tcBorders>
            <w:noWrap/>
            <w:vAlign w:val="center"/>
            <w:hideMark/>
          </w:tcPr>
          <w:p w14:paraId="0CA30842"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65807B67"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single" w:sz="8" w:space="0" w:color="auto"/>
              <w:left w:val="nil"/>
              <w:bottom w:val="single" w:sz="8" w:space="0" w:color="auto"/>
              <w:right w:val="single" w:sz="8" w:space="0" w:color="auto"/>
            </w:tcBorders>
            <w:noWrap/>
            <w:vAlign w:val="center"/>
            <w:hideMark/>
          </w:tcPr>
          <w:p w14:paraId="0D0B1DCD"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single" w:sz="8" w:space="0" w:color="auto"/>
              <w:left w:val="nil"/>
              <w:bottom w:val="single" w:sz="8" w:space="0" w:color="auto"/>
              <w:right w:val="single" w:sz="8" w:space="0" w:color="auto"/>
            </w:tcBorders>
            <w:noWrap/>
            <w:vAlign w:val="center"/>
            <w:hideMark/>
          </w:tcPr>
          <w:p w14:paraId="7E82ECDA"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r>
      <w:tr w:rsidR="003914D2" w14:paraId="5235266C"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54169A79" w14:textId="77777777" w:rsidR="003914D2" w:rsidRDefault="003914D2">
            <w:pPr>
              <w:rPr>
                <w:rFonts w:ascii="Arial" w:hAnsi="Arial" w:cs="Arial"/>
                <w:color w:val="000000"/>
                <w:sz w:val="16"/>
                <w:szCs w:val="16"/>
              </w:rPr>
            </w:pPr>
            <w:r>
              <w:rPr>
                <w:rFonts w:ascii="Arial" w:hAnsi="Arial" w:cs="Arial"/>
                <w:sz w:val="16"/>
                <w:szCs w:val="16"/>
              </w:rPr>
              <w:t xml:space="preserve"> Enseres y Equipos de Oficina </w:t>
            </w:r>
          </w:p>
        </w:tc>
        <w:tc>
          <w:tcPr>
            <w:tcW w:w="0" w:type="auto"/>
            <w:tcBorders>
              <w:top w:val="nil"/>
              <w:left w:val="nil"/>
              <w:bottom w:val="single" w:sz="8" w:space="0" w:color="auto"/>
              <w:right w:val="single" w:sz="8" w:space="0" w:color="auto"/>
            </w:tcBorders>
            <w:noWrap/>
            <w:vAlign w:val="center"/>
            <w:hideMark/>
          </w:tcPr>
          <w:p w14:paraId="02310687" w14:textId="77777777" w:rsidR="003914D2" w:rsidRDefault="003914D2">
            <w:pPr>
              <w:jc w:val="right"/>
              <w:rPr>
                <w:rFonts w:ascii="Arial" w:hAnsi="Arial" w:cs="Arial"/>
                <w:color w:val="000000"/>
                <w:sz w:val="16"/>
                <w:szCs w:val="16"/>
              </w:rPr>
            </w:pPr>
            <w:r>
              <w:rPr>
                <w:rFonts w:ascii="Arial" w:hAnsi="Arial" w:cs="Arial"/>
                <w:sz w:val="16"/>
                <w:szCs w:val="16"/>
              </w:rPr>
              <w:t xml:space="preserve">                                              75 </w:t>
            </w:r>
          </w:p>
        </w:tc>
        <w:tc>
          <w:tcPr>
            <w:tcW w:w="0" w:type="auto"/>
            <w:tcBorders>
              <w:top w:val="nil"/>
              <w:left w:val="nil"/>
              <w:bottom w:val="single" w:sz="8" w:space="0" w:color="auto"/>
              <w:right w:val="single" w:sz="8" w:space="0" w:color="auto"/>
            </w:tcBorders>
            <w:noWrap/>
            <w:vAlign w:val="center"/>
            <w:hideMark/>
          </w:tcPr>
          <w:p w14:paraId="2DD4121B" w14:textId="77777777" w:rsidR="003914D2" w:rsidRDefault="003914D2">
            <w:pPr>
              <w:jc w:val="right"/>
              <w:rPr>
                <w:rFonts w:ascii="Arial" w:hAnsi="Arial" w:cs="Arial"/>
                <w:color w:val="000000"/>
                <w:sz w:val="16"/>
                <w:szCs w:val="16"/>
              </w:rPr>
            </w:pPr>
            <w:r>
              <w:rPr>
                <w:rFonts w:ascii="Arial" w:hAnsi="Arial" w:cs="Arial"/>
                <w:sz w:val="16"/>
                <w:szCs w:val="16"/>
              </w:rPr>
              <w:t xml:space="preserve">                               54 </w:t>
            </w:r>
          </w:p>
        </w:tc>
        <w:tc>
          <w:tcPr>
            <w:tcW w:w="0" w:type="auto"/>
            <w:tcBorders>
              <w:top w:val="nil"/>
              <w:left w:val="nil"/>
              <w:bottom w:val="single" w:sz="8" w:space="0" w:color="auto"/>
              <w:right w:val="single" w:sz="8" w:space="0" w:color="auto"/>
            </w:tcBorders>
            <w:noWrap/>
            <w:vAlign w:val="center"/>
            <w:hideMark/>
          </w:tcPr>
          <w:p w14:paraId="3BC75DF8" w14:textId="77777777" w:rsidR="003914D2" w:rsidRDefault="003914D2">
            <w:pPr>
              <w:jc w:val="right"/>
              <w:rPr>
                <w:rFonts w:ascii="Arial" w:hAnsi="Arial" w:cs="Arial"/>
                <w:color w:val="000000"/>
                <w:sz w:val="16"/>
                <w:szCs w:val="16"/>
              </w:rPr>
            </w:pPr>
            <w:r>
              <w:rPr>
                <w:rFonts w:ascii="Arial" w:hAnsi="Arial" w:cs="Arial"/>
                <w:sz w:val="16"/>
                <w:szCs w:val="16"/>
              </w:rPr>
              <w:t xml:space="preserve">                                                       54 </w:t>
            </w:r>
          </w:p>
        </w:tc>
        <w:tc>
          <w:tcPr>
            <w:tcW w:w="0" w:type="auto"/>
            <w:tcBorders>
              <w:top w:val="nil"/>
              <w:left w:val="nil"/>
              <w:bottom w:val="single" w:sz="8" w:space="0" w:color="auto"/>
              <w:right w:val="single" w:sz="8" w:space="0" w:color="auto"/>
            </w:tcBorders>
            <w:noWrap/>
            <w:vAlign w:val="center"/>
            <w:hideMark/>
          </w:tcPr>
          <w:p w14:paraId="6A6CBA80" w14:textId="77777777" w:rsidR="003914D2" w:rsidRDefault="003914D2">
            <w:pPr>
              <w:jc w:val="right"/>
              <w:rPr>
                <w:rFonts w:ascii="Arial" w:hAnsi="Arial" w:cs="Arial"/>
                <w:color w:val="000000"/>
                <w:sz w:val="16"/>
                <w:szCs w:val="16"/>
              </w:rPr>
            </w:pPr>
            <w:r>
              <w:rPr>
                <w:rFonts w:ascii="Arial" w:hAnsi="Arial" w:cs="Arial"/>
                <w:sz w:val="16"/>
                <w:szCs w:val="16"/>
              </w:rPr>
              <w:t xml:space="preserve">                                                     54 </w:t>
            </w:r>
          </w:p>
        </w:tc>
        <w:tc>
          <w:tcPr>
            <w:tcW w:w="0" w:type="auto"/>
            <w:tcBorders>
              <w:top w:val="nil"/>
              <w:left w:val="nil"/>
              <w:bottom w:val="single" w:sz="8" w:space="0" w:color="auto"/>
              <w:right w:val="single" w:sz="8" w:space="0" w:color="auto"/>
            </w:tcBorders>
            <w:noWrap/>
            <w:vAlign w:val="center"/>
            <w:hideMark/>
          </w:tcPr>
          <w:p w14:paraId="683B9E4F" w14:textId="77777777" w:rsidR="003914D2" w:rsidRDefault="003914D2">
            <w:pPr>
              <w:jc w:val="right"/>
              <w:rPr>
                <w:rFonts w:ascii="Arial" w:hAnsi="Arial" w:cs="Arial"/>
                <w:color w:val="000000"/>
                <w:sz w:val="16"/>
                <w:szCs w:val="16"/>
              </w:rPr>
            </w:pPr>
            <w:r>
              <w:rPr>
                <w:rFonts w:ascii="Arial" w:hAnsi="Arial" w:cs="Arial"/>
                <w:sz w:val="16"/>
                <w:szCs w:val="16"/>
              </w:rPr>
              <w:t xml:space="preserve">                                             54 </w:t>
            </w:r>
          </w:p>
        </w:tc>
      </w:tr>
      <w:tr w:rsidR="003914D2" w14:paraId="023AD06E"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5C0FE263" w14:textId="77777777" w:rsidR="003914D2" w:rsidRDefault="003914D2">
            <w:pPr>
              <w:rPr>
                <w:rFonts w:ascii="Arial" w:hAnsi="Arial" w:cs="Arial"/>
                <w:color w:val="000000"/>
                <w:sz w:val="16"/>
                <w:szCs w:val="16"/>
              </w:rPr>
            </w:pPr>
            <w:r>
              <w:rPr>
                <w:rFonts w:ascii="Arial" w:hAnsi="Arial" w:cs="Arial"/>
                <w:sz w:val="16"/>
                <w:szCs w:val="16"/>
              </w:rPr>
              <w:t xml:space="preserve"> Materiales y Suministros </w:t>
            </w:r>
          </w:p>
        </w:tc>
        <w:tc>
          <w:tcPr>
            <w:tcW w:w="0" w:type="auto"/>
            <w:tcBorders>
              <w:top w:val="nil"/>
              <w:left w:val="nil"/>
              <w:bottom w:val="single" w:sz="8" w:space="0" w:color="auto"/>
              <w:right w:val="single" w:sz="8" w:space="0" w:color="auto"/>
            </w:tcBorders>
            <w:noWrap/>
            <w:vAlign w:val="center"/>
            <w:hideMark/>
          </w:tcPr>
          <w:p w14:paraId="686CD20B" w14:textId="77777777" w:rsidR="003914D2" w:rsidRDefault="003914D2">
            <w:pPr>
              <w:jc w:val="right"/>
              <w:rPr>
                <w:rFonts w:ascii="Arial" w:hAnsi="Arial" w:cs="Arial"/>
                <w:color w:val="000000"/>
                <w:sz w:val="16"/>
                <w:szCs w:val="16"/>
              </w:rPr>
            </w:pPr>
            <w:r>
              <w:rPr>
                <w:rFonts w:ascii="Arial" w:hAnsi="Arial" w:cs="Arial"/>
                <w:sz w:val="16"/>
                <w:szCs w:val="16"/>
              </w:rPr>
              <w:t xml:space="preserve">                                            157 </w:t>
            </w:r>
          </w:p>
        </w:tc>
        <w:tc>
          <w:tcPr>
            <w:tcW w:w="0" w:type="auto"/>
            <w:tcBorders>
              <w:top w:val="nil"/>
              <w:left w:val="nil"/>
              <w:bottom w:val="single" w:sz="8" w:space="0" w:color="auto"/>
              <w:right w:val="single" w:sz="8" w:space="0" w:color="auto"/>
            </w:tcBorders>
            <w:noWrap/>
            <w:vAlign w:val="center"/>
            <w:hideMark/>
          </w:tcPr>
          <w:p w14:paraId="31C2E748" w14:textId="77777777" w:rsidR="003914D2" w:rsidRDefault="003914D2">
            <w:pPr>
              <w:jc w:val="right"/>
              <w:rPr>
                <w:rFonts w:ascii="Arial" w:hAnsi="Arial" w:cs="Arial"/>
                <w:color w:val="000000"/>
                <w:sz w:val="16"/>
                <w:szCs w:val="16"/>
              </w:rPr>
            </w:pPr>
            <w:r>
              <w:rPr>
                <w:rFonts w:ascii="Arial" w:hAnsi="Arial" w:cs="Arial"/>
                <w:sz w:val="16"/>
                <w:szCs w:val="16"/>
              </w:rPr>
              <w:t xml:space="preserve">                             131 </w:t>
            </w:r>
          </w:p>
        </w:tc>
        <w:tc>
          <w:tcPr>
            <w:tcW w:w="0" w:type="auto"/>
            <w:tcBorders>
              <w:top w:val="nil"/>
              <w:left w:val="nil"/>
              <w:bottom w:val="single" w:sz="8" w:space="0" w:color="auto"/>
              <w:right w:val="single" w:sz="8" w:space="0" w:color="auto"/>
            </w:tcBorders>
            <w:noWrap/>
            <w:vAlign w:val="center"/>
            <w:hideMark/>
          </w:tcPr>
          <w:p w14:paraId="1D2F9597" w14:textId="77777777" w:rsidR="003914D2" w:rsidRDefault="003914D2">
            <w:pPr>
              <w:jc w:val="right"/>
              <w:rPr>
                <w:rFonts w:ascii="Arial" w:hAnsi="Arial" w:cs="Arial"/>
                <w:color w:val="000000"/>
                <w:sz w:val="16"/>
                <w:szCs w:val="16"/>
              </w:rPr>
            </w:pPr>
            <w:r>
              <w:rPr>
                <w:rFonts w:ascii="Arial" w:hAnsi="Arial" w:cs="Arial"/>
                <w:sz w:val="16"/>
                <w:szCs w:val="16"/>
              </w:rPr>
              <w:t xml:space="preserve">                                                     120 </w:t>
            </w:r>
          </w:p>
        </w:tc>
        <w:tc>
          <w:tcPr>
            <w:tcW w:w="0" w:type="auto"/>
            <w:tcBorders>
              <w:top w:val="nil"/>
              <w:left w:val="nil"/>
              <w:bottom w:val="single" w:sz="8" w:space="0" w:color="auto"/>
              <w:right w:val="single" w:sz="8" w:space="0" w:color="auto"/>
            </w:tcBorders>
            <w:noWrap/>
            <w:vAlign w:val="center"/>
            <w:hideMark/>
          </w:tcPr>
          <w:p w14:paraId="458A92EE" w14:textId="77777777" w:rsidR="003914D2" w:rsidRDefault="003914D2">
            <w:pPr>
              <w:jc w:val="right"/>
              <w:rPr>
                <w:rFonts w:ascii="Arial" w:hAnsi="Arial" w:cs="Arial"/>
                <w:color w:val="000000"/>
                <w:sz w:val="16"/>
                <w:szCs w:val="16"/>
              </w:rPr>
            </w:pPr>
            <w:r>
              <w:rPr>
                <w:rFonts w:ascii="Arial" w:hAnsi="Arial" w:cs="Arial"/>
                <w:sz w:val="16"/>
                <w:szCs w:val="16"/>
              </w:rPr>
              <w:t xml:space="preserve">                                                     25 </w:t>
            </w:r>
          </w:p>
        </w:tc>
        <w:tc>
          <w:tcPr>
            <w:tcW w:w="0" w:type="auto"/>
            <w:tcBorders>
              <w:top w:val="nil"/>
              <w:left w:val="nil"/>
              <w:bottom w:val="single" w:sz="8" w:space="0" w:color="auto"/>
              <w:right w:val="single" w:sz="8" w:space="0" w:color="auto"/>
            </w:tcBorders>
            <w:noWrap/>
            <w:vAlign w:val="center"/>
            <w:hideMark/>
          </w:tcPr>
          <w:p w14:paraId="70337C77" w14:textId="77777777" w:rsidR="003914D2" w:rsidRDefault="003914D2">
            <w:pPr>
              <w:jc w:val="right"/>
              <w:rPr>
                <w:rFonts w:ascii="Arial" w:hAnsi="Arial" w:cs="Arial"/>
                <w:color w:val="000000"/>
                <w:sz w:val="16"/>
                <w:szCs w:val="16"/>
              </w:rPr>
            </w:pPr>
            <w:r>
              <w:rPr>
                <w:rFonts w:ascii="Arial" w:hAnsi="Arial" w:cs="Arial"/>
                <w:sz w:val="16"/>
                <w:szCs w:val="16"/>
              </w:rPr>
              <w:t xml:space="preserve">                                             25 </w:t>
            </w:r>
          </w:p>
        </w:tc>
      </w:tr>
      <w:tr w:rsidR="003914D2" w14:paraId="05184725"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255AAE5B" w14:textId="77777777" w:rsidR="003914D2" w:rsidRDefault="003914D2">
            <w:pPr>
              <w:rPr>
                <w:rFonts w:ascii="Arial" w:hAnsi="Arial" w:cs="Arial"/>
                <w:color w:val="000000"/>
                <w:sz w:val="16"/>
                <w:szCs w:val="16"/>
              </w:rPr>
            </w:pPr>
            <w:r>
              <w:rPr>
                <w:rFonts w:ascii="Arial" w:hAnsi="Arial" w:cs="Arial"/>
                <w:sz w:val="16"/>
                <w:szCs w:val="16"/>
              </w:rPr>
              <w:t xml:space="preserve"> Mantenimiento </w:t>
            </w:r>
          </w:p>
        </w:tc>
        <w:tc>
          <w:tcPr>
            <w:tcW w:w="0" w:type="auto"/>
            <w:tcBorders>
              <w:top w:val="nil"/>
              <w:left w:val="nil"/>
              <w:bottom w:val="single" w:sz="8" w:space="0" w:color="auto"/>
              <w:right w:val="single" w:sz="8" w:space="0" w:color="auto"/>
            </w:tcBorders>
            <w:noWrap/>
            <w:vAlign w:val="center"/>
            <w:hideMark/>
          </w:tcPr>
          <w:p w14:paraId="22DF9ADA" w14:textId="77777777" w:rsidR="003914D2" w:rsidRDefault="003914D2">
            <w:pPr>
              <w:jc w:val="right"/>
              <w:rPr>
                <w:rFonts w:ascii="Arial" w:hAnsi="Arial" w:cs="Arial"/>
                <w:color w:val="000000"/>
                <w:sz w:val="16"/>
                <w:szCs w:val="16"/>
              </w:rPr>
            </w:pPr>
            <w:r>
              <w:rPr>
                <w:rFonts w:ascii="Arial" w:hAnsi="Arial" w:cs="Arial"/>
                <w:sz w:val="16"/>
                <w:szCs w:val="16"/>
              </w:rPr>
              <w:t xml:space="preserve">                                         1.146 </w:t>
            </w:r>
          </w:p>
        </w:tc>
        <w:tc>
          <w:tcPr>
            <w:tcW w:w="0" w:type="auto"/>
            <w:tcBorders>
              <w:top w:val="nil"/>
              <w:left w:val="nil"/>
              <w:bottom w:val="single" w:sz="8" w:space="0" w:color="auto"/>
              <w:right w:val="single" w:sz="8" w:space="0" w:color="auto"/>
            </w:tcBorders>
            <w:noWrap/>
            <w:vAlign w:val="center"/>
            <w:hideMark/>
          </w:tcPr>
          <w:p w14:paraId="774453BD" w14:textId="77777777" w:rsidR="003914D2" w:rsidRDefault="003914D2">
            <w:pPr>
              <w:jc w:val="right"/>
              <w:rPr>
                <w:rFonts w:ascii="Arial" w:hAnsi="Arial" w:cs="Arial"/>
                <w:color w:val="000000"/>
                <w:sz w:val="16"/>
                <w:szCs w:val="16"/>
              </w:rPr>
            </w:pPr>
            <w:r>
              <w:rPr>
                <w:rFonts w:ascii="Arial" w:hAnsi="Arial" w:cs="Arial"/>
                <w:sz w:val="16"/>
                <w:szCs w:val="16"/>
              </w:rPr>
              <w:t xml:space="preserve">                          1.058 </w:t>
            </w:r>
          </w:p>
        </w:tc>
        <w:tc>
          <w:tcPr>
            <w:tcW w:w="0" w:type="auto"/>
            <w:tcBorders>
              <w:top w:val="nil"/>
              <w:left w:val="nil"/>
              <w:bottom w:val="single" w:sz="8" w:space="0" w:color="auto"/>
              <w:right w:val="single" w:sz="8" w:space="0" w:color="auto"/>
            </w:tcBorders>
            <w:noWrap/>
            <w:vAlign w:val="center"/>
            <w:hideMark/>
          </w:tcPr>
          <w:p w14:paraId="134D82DB" w14:textId="77777777" w:rsidR="003914D2" w:rsidRDefault="003914D2">
            <w:pPr>
              <w:jc w:val="right"/>
              <w:rPr>
                <w:rFonts w:ascii="Arial" w:hAnsi="Arial" w:cs="Arial"/>
                <w:color w:val="000000"/>
                <w:sz w:val="16"/>
                <w:szCs w:val="16"/>
              </w:rPr>
            </w:pPr>
            <w:r>
              <w:rPr>
                <w:rFonts w:ascii="Arial" w:hAnsi="Arial" w:cs="Arial"/>
                <w:sz w:val="16"/>
                <w:szCs w:val="16"/>
              </w:rPr>
              <w:t xml:space="preserve">                                                     916 </w:t>
            </w:r>
          </w:p>
        </w:tc>
        <w:tc>
          <w:tcPr>
            <w:tcW w:w="0" w:type="auto"/>
            <w:tcBorders>
              <w:top w:val="nil"/>
              <w:left w:val="nil"/>
              <w:bottom w:val="single" w:sz="8" w:space="0" w:color="auto"/>
              <w:right w:val="single" w:sz="8" w:space="0" w:color="auto"/>
            </w:tcBorders>
            <w:noWrap/>
            <w:vAlign w:val="center"/>
            <w:hideMark/>
          </w:tcPr>
          <w:p w14:paraId="1FA1D584" w14:textId="77777777" w:rsidR="003914D2" w:rsidRDefault="003914D2">
            <w:pPr>
              <w:jc w:val="right"/>
              <w:rPr>
                <w:rFonts w:ascii="Arial" w:hAnsi="Arial" w:cs="Arial"/>
                <w:color w:val="000000"/>
                <w:sz w:val="16"/>
                <w:szCs w:val="16"/>
              </w:rPr>
            </w:pPr>
            <w:r>
              <w:rPr>
                <w:rFonts w:ascii="Arial" w:hAnsi="Arial" w:cs="Arial"/>
                <w:sz w:val="16"/>
                <w:szCs w:val="16"/>
              </w:rPr>
              <w:t xml:space="preserve">                                                   611 </w:t>
            </w:r>
          </w:p>
        </w:tc>
        <w:tc>
          <w:tcPr>
            <w:tcW w:w="0" w:type="auto"/>
            <w:tcBorders>
              <w:top w:val="nil"/>
              <w:left w:val="nil"/>
              <w:bottom w:val="single" w:sz="8" w:space="0" w:color="auto"/>
              <w:right w:val="single" w:sz="8" w:space="0" w:color="auto"/>
            </w:tcBorders>
            <w:noWrap/>
            <w:vAlign w:val="center"/>
            <w:hideMark/>
          </w:tcPr>
          <w:p w14:paraId="1E88E725" w14:textId="77777777" w:rsidR="003914D2" w:rsidRDefault="003914D2">
            <w:pPr>
              <w:jc w:val="right"/>
              <w:rPr>
                <w:rFonts w:ascii="Arial" w:hAnsi="Arial" w:cs="Arial"/>
                <w:color w:val="000000"/>
                <w:sz w:val="16"/>
                <w:szCs w:val="16"/>
              </w:rPr>
            </w:pPr>
            <w:r>
              <w:rPr>
                <w:rFonts w:ascii="Arial" w:hAnsi="Arial" w:cs="Arial"/>
                <w:sz w:val="16"/>
                <w:szCs w:val="16"/>
              </w:rPr>
              <w:t xml:space="preserve">                                           611 </w:t>
            </w:r>
          </w:p>
        </w:tc>
      </w:tr>
      <w:tr w:rsidR="003914D2" w14:paraId="2C3C92B2"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0F6DFB9C" w14:textId="77777777" w:rsidR="003914D2" w:rsidRDefault="003914D2">
            <w:pPr>
              <w:rPr>
                <w:rFonts w:ascii="Arial" w:hAnsi="Arial" w:cs="Arial"/>
                <w:color w:val="000000"/>
                <w:sz w:val="16"/>
                <w:szCs w:val="16"/>
              </w:rPr>
            </w:pPr>
            <w:r>
              <w:rPr>
                <w:rFonts w:ascii="Arial" w:hAnsi="Arial" w:cs="Arial"/>
                <w:sz w:val="16"/>
                <w:szCs w:val="16"/>
              </w:rPr>
              <w:t xml:space="preserve"> Comunicaciones y Transporte </w:t>
            </w:r>
          </w:p>
        </w:tc>
        <w:tc>
          <w:tcPr>
            <w:tcW w:w="0" w:type="auto"/>
            <w:tcBorders>
              <w:top w:val="nil"/>
              <w:left w:val="nil"/>
              <w:bottom w:val="single" w:sz="8" w:space="0" w:color="auto"/>
              <w:right w:val="single" w:sz="8" w:space="0" w:color="auto"/>
            </w:tcBorders>
            <w:noWrap/>
            <w:vAlign w:val="center"/>
            <w:hideMark/>
          </w:tcPr>
          <w:p w14:paraId="095A46BF" w14:textId="77777777" w:rsidR="003914D2" w:rsidRDefault="003914D2">
            <w:pPr>
              <w:jc w:val="right"/>
              <w:rPr>
                <w:rFonts w:ascii="Arial" w:hAnsi="Arial" w:cs="Arial"/>
                <w:color w:val="000000"/>
                <w:sz w:val="16"/>
                <w:szCs w:val="16"/>
              </w:rPr>
            </w:pPr>
            <w:r>
              <w:rPr>
                <w:rFonts w:ascii="Arial" w:hAnsi="Arial" w:cs="Arial"/>
                <w:sz w:val="16"/>
                <w:szCs w:val="16"/>
              </w:rPr>
              <w:t xml:space="preserve">                                              97 </w:t>
            </w:r>
          </w:p>
        </w:tc>
        <w:tc>
          <w:tcPr>
            <w:tcW w:w="0" w:type="auto"/>
            <w:tcBorders>
              <w:top w:val="nil"/>
              <w:left w:val="nil"/>
              <w:bottom w:val="single" w:sz="8" w:space="0" w:color="auto"/>
              <w:right w:val="single" w:sz="8" w:space="0" w:color="auto"/>
            </w:tcBorders>
            <w:noWrap/>
            <w:vAlign w:val="center"/>
            <w:hideMark/>
          </w:tcPr>
          <w:p w14:paraId="6758D444" w14:textId="77777777" w:rsidR="003914D2" w:rsidRDefault="003914D2">
            <w:pPr>
              <w:jc w:val="right"/>
              <w:rPr>
                <w:rFonts w:ascii="Arial" w:hAnsi="Arial" w:cs="Arial"/>
                <w:color w:val="000000"/>
                <w:sz w:val="16"/>
                <w:szCs w:val="16"/>
              </w:rPr>
            </w:pPr>
            <w:r>
              <w:rPr>
                <w:rFonts w:ascii="Arial" w:hAnsi="Arial" w:cs="Arial"/>
                <w:sz w:val="16"/>
                <w:szCs w:val="16"/>
              </w:rPr>
              <w:t xml:space="preserve">                               43 </w:t>
            </w:r>
          </w:p>
        </w:tc>
        <w:tc>
          <w:tcPr>
            <w:tcW w:w="0" w:type="auto"/>
            <w:tcBorders>
              <w:top w:val="nil"/>
              <w:left w:val="nil"/>
              <w:bottom w:val="single" w:sz="8" w:space="0" w:color="auto"/>
              <w:right w:val="single" w:sz="8" w:space="0" w:color="auto"/>
            </w:tcBorders>
            <w:noWrap/>
            <w:vAlign w:val="center"/>
            <w:hideMark/>
          </w:tcPr>
          <w:p w14:paraId="55D42E76" w14:textId="77777777" w:rsidR="003914D2" w:rsidRDefault="003914D2">
            <w:pPr>
              <w:jc w:val="right"/>
              <w:rPr>
                <w:rFonts w:ascii="Arial" w:hAnsi="Arial" w:cs="Arial"/>
                <w:color w:val="000000"/>
                <w:sz w:val="16"/>
                <w:szCs w:val="16"/>
              </w:rPr>
            </w:pPr>
            <w:r>
              <w:rPr>
                <w:rFonts w:ascii="Arial" w:hAnsi="Arial" w:cs="Arial"/>
                <w:sz w:val="16"/>
                <w:szCs w:val="16"/>
              </w:rPr>
              <w:t xml:space="preserve">                                                       26 </w:t>
            </w:r>
          </w:p>
        </w:tc>
        <w:tc>
          <w:tcPr>
            <w:tcW w:w="0" w:type="auto"/>
            <w:tcBorders>
              <w:top w:val="nil"/>
              <w:left w:val="nil"/>
              <w:bottom w:val="single" w:sz="8" w:space="0" w:color="auto"/>
              <w:right w:val="single" w:sz="8" w:space="0" w:color="auto"/>
            </w:tcBorders>
            <w:noWrap/>
            <w:vAlign w:val="center"/>
            <w:hideMark/>
          </w:tcPr>
          <w:p w14:paraId="48074513" w14:textId="77777777" w:rsidR="003914D2" w:rsidRDefault="003914D2">
            <w:pPr>
              <w:jc w:val="right"/>
              <w:rPr>
                <w:rFonts w:ascii="Arial" w:hAnsi="Arial" w:cs="Arial"/>
                <w:color w:val="000000"/>
                <w:sz w:val="16"/>
                <w:szCs w:val="16"/>
              </w:rPr>
            </w:pPr>
            <w:r>
              <w:rPr>
                <w:rFonts w:ascii="Arial" w:hAnsi="Arial" w:cs="Arial"/>
                <w:sz w:val="16"/>
                <w:szCs w:val="16"/>
              </w:rPr>
              <w:t xml:space="preserve">                                                       1 </w:t>
            </w:r>
          </w:p>
        </w:tc>
        <w:tc>
          <w:tcPr>
            <w:tcW w:w="0" w:type="auto"/>
            <w:tcBorders>
              <w:top w:val="nil"/>
              <w:left w:val="nil"/>
              <w:bottom w:val="single" w:sz="8" w:space="0" w:color="auto"/>
              <w:right w:val="single" w:sz="8" w:space="0" w:color="auto"/>
            </w:tcBorders>
            <w:noWrap/>
            <w:vAlign w:val="center"/>
            <w:hideMark/>
          </w:tcPr>
          <w:p w14:paraId="59F1CC6F" w14:textId="77777777" w:rsidR="003914D2" w:rsidRDefault="003914D2">
            <w:pPr>
              <w:jc w:val="right"/>
              <w:rPr>
                <w:rFonts w:ascii="Arial" w:hAnsi="Arial" w:cs="Arial"/>
                <w:color w:val="000000"/>
                <w:sz w:val="16"/>
                <w:szCs w:val="16"/>
              </w:rPr>
            </w:pPr>
            <w:r>
              <w:rPr>
                <w:rFonts w:ascii="Arial" w:hAnsi="Arial" w:cs="Arial"/>
                <w:sz w:val="16"/>
                <w:szCs w:val="16"/>
              </w:rPr>
              <w:t xml:space="preserve">                                               1 </w:t>
            </w:r>
          </w:p>
        </w:tc>
      </w:tr>
      <w:tr w:rsidR="003914D2" w14:paraId="15654F78"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2AD47E5F" w14:textId="77777777" w:rsidR="003914D2" w:rsidRDefault="003914D2">
            <w:pPr>
              <w:rPr>
                <w:rFonts w:ascii="Arial" w:hAnsi="Arial" w:cs="Arial"/>
                <w:color w:val="000000"/>
                <w:sz w:val="16"/>
                <w:szCs w:val="16"/>
              </w:rPr>
            </w:pPr>
            <w:r>
              <w:rPr>
                <w:rFonts w:ascii="Arial" w:hAnsi="Arial" w:cs="Arial"/>
                <w:sz w:val="16"/>
                <w:szCs w:val="16"/>
              </w:rPr>
              <w:t xml:space="preserve"> Impresos y Publicaciones </w:t>
            </w:r>
          </w:p>
        </w:tc>
        <w:tc>
          <w:tcPr>
            <w:tcW w:w="0" w:type="auto"/>
            <w:tcBorders>
              <w:top w:val="nil"/>
              <w:left w:val="nil"/>
              <w:bottom w:val="single" w:sz="8" w:space="0" w:color="auto"/>
              <w:right w:val="single" w:sz="8" w:space="0" w:color="auto"/>
            </w:tcBorders>
            <w:noWrap/>
            <w:vAlign w:val="center"/>
            <w:hideMark/>
          </w:tcPr>
          <w:p w14:paraId="3500D5D5" w14:textId="77777777" w:rsidR="003914D2" w:rsidRDefault="003914D2">
            <w:pPr>
              <w:jc w:val="right"/>
              <w:rPr>
                <w:rFonts w:ascii="Arial" w:hAnsi="Arial" w:cs="Arial"/>
                <w:color w:val="000000"/>
                <w:sz w:val="16"/>
                <w:szCs w:val="16"/>
              </w:rPr>
            </w:pPr>
            <w:r>
              <w:rPr>
                <w:rFonts w:ascii="Arial" w:hAnsi="Arial" w:cs="Arial"/>
                <w:sz w:val="16"/>
                <w:szCs w:val="16"/>
              </w:rPr>
              <w:t xml:space="preserve">                                              31 </w:t>
            </w:r>
          </w:p>
        </w:tc>
        <w:tc>
          <w:tcPr>
            <w:tcW w:w="0" w:type="auto"/>
            <w:tcBorders>
              <w:top w:val="nil"/>
              <w:left w:val="nil"/>
              <w:bottom w:val="single" w:sz="8" w:space="0" w:color="auto"/>
              <w:right w:val="single" w:sz="8" w:space="0" w:color="auto"/>
            </w:tcBorders>
            <w:noWrap/>
            <w:vAlign w:val="center"/>
            <w:hideMark/>
          </w:tcPr>
          <w:p w14:paraId="7C18259D" w14:textId="77777777" w:rsidR="003914D2" w:rsidRDefault="003914D2">
            <w:pPr>
              <w:jc w:val="right"/>
              <w:rPr>
                <w:rFonts w:ascii="Arial" w:hAnsi="Arial" w:cs="Arial"/>
                <w:color w:val="000000"/>
                <w:sz w:val="16"/>
                <w:szCs w:val="16"/>
              </w:rPr>
            </w:pPr>
            <w:r>
              <w:rPr>
                <w:rFonts w:ascii="Arial" w:hAnsi="Arial" w:cs="Arial"/>
                <w:sz w:val="16"/>
                <w:szCs w:val="16"/>
              </w:rPr>
              <w:t xml:space="preserve">                                 5 </w:t>
            </w:r>
          </w:p>
        </w:tc>
        <w:tc>
          <w:tcPr>
            <w:tcW w:w="0" w:type="auto"/>
            <w:tcBorders>
              <w:top w:val="nil"/>
              <w:left w:val="nil"/>
              <w:bottom w:val="single" w:sz="8" w:space="0" w:color="auto"/>
              <w:right w:val="single" w:sz="8" w:space="0" w:color="auto"/>
            </w:tcBorders>
            <w:noWrap/>
            <w:vAlign w:val="center"/>
            <w:hideMark/>
          </w:tcPr>
          <w:p w14:paraId="4568050D" w14:textId="77777777" w:rsidR="003914D2" w:rsidRDefault="003914D2">
            <w:pPr>
              <w:jc w:val="right"/>
              <w:rPr>
                <w:rFonts w:ascii="Arial" w:hAnsi="Arial" w:cs="Arial"/>
                <w:color w:val="000000"/>
                <w:sz w:val="16"/>
                <w:szCs w:val="16"/>
              </w:rPr>
            </w:pPr>
            <w:r>
              <w:rPr>
                <w:rFonts w:ascii="Arial" w:hAnsi="Arial" w:cs="Arial"/>
                <w:sz w:val="16"/>
                <w:szCs w:val="16"/>
              </w:rPr>
              <w:t xml:space="preserve">                                                         5 </w:t>
            </w:r>
          </w:p>
        </w:tc>
        <w:tc>
          <w:tcPr>
            <w:tcW w:w="0" w:type="auto"/>
            <w:tcBorders>
              <w:top w:val="nil"/>
              <w:left w:val="nil"/>
              <w:bottom w:val="single" w:sz="8" w:space="0" w:color="auto"/>
              <w:right w:val="single" w:sz="8" w:space="0" w:color="auto"/>
            </w:tcBorders>
            <w:noWrap/>
            <w:vAlign w:val="center"/>
            <w:hideMark/>
          </w:tcPr>
          <w:p w14:paraId="429697B8" w14:textId="77777777" w:rsidR="003914D2" w:rsidRDefault="003914D2">
            <w:pPr>
              <w:jc w:val="right"/>
              <w:rPr>
                <w:rFonts w:ascii="Arial" w:hAnsi="Arial" w:cs="Arial"/>
                <w:color w:val="000000"/>
                <w:sz w:val="16"/>
                <w:szCs w:val="16"/>
              </w:rPr>
            </w:pPr>
            <w:r>
              <w:rPr>
                <w:rFonts w:ascii="Arial" w:hAnsi="Arial" w:cs="Arial"/>
                <w:sz w:val="16"/>
                <w:szCs w:val="16"/>
              </w:rPr>
              <w:t xml:space="preserve">                                                       1 </w:t>
            </w:r>
          </w:p>
        </w:tc>
        <w:tc>
          <w:tcPr>
            <w:tcW w:w="0" w:type="auto"/>
            <w:tcBorders>
              <w:top w:val="nil"/>
              <w:left w:val="nil"/>
              <w:bottom w:val="single" w:sz="8" w:space="0" w:color="auto"/>
              <w:right w:val="single" w:sz="8" w:space="0" w:color="auto"/>
            </w:tcBorders>
            <w:noWrap/>
            <w:vAlign w:val="center"/>
            <w:hideMark/>
          </w:tcPr>
          <w:p w14:paraId="26473913" w14:textId="77777777" w:rsidR="003914D2" w:rsidRDefault="003914D2">
            <w:pPr>
              <w:jc w:val="right"/>
              <w:rPr>
                <w:rFonts w:ascii="Arial" w:hAnsi="Arial" w:cs="Arial"/>
                <w:color w:val="000000"/>
                <w:sz w:val="16"/>
                <w:szCs w:val="16"/>
              </w:rPr>
            </w:pPr>
            <w:r>
              <w:rPr>
                <w:rFonts w:ascii="Arial" w:hAnsi="Arial" w:cs="Arial"/>
                <w:sz w:val="16"/>
                <w:szCs w:val="16"/>
              </w:rPr>
              <w:t xml:space="preserve">                                               1 </w:t>
            </w:r>
          </w:p>
        </w:tc>
      </w:tr>
      <w:tr w:rsidR="003914D2" w14:paraId="336E76E8"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6AA65F98" w14:textId="77777777" w:rsidR="003914D2" w:rsidRDefault="003914D2">
            <w:pPr>
              <w:rPr>
                <w:rFonts w:ascii="Arial" w:hAnsi="Arial" w:cs="Arial"/>
                <w:color w:val="000000"/>
                <w:sz w:val="16"/>
                <w:szCs w:val="16"/>
              </w:rPr>
            </w:pPr>
            <w:r>
              <w:rPr>
                <w:rFonts w:ascii="Arial" w:hAnsi="Arial" w:cs="Arial"/>
                <w:sz w:val="16"/>
                <w:szCs w:val="16"/>
              </w:rPr>
              <w:t xml:space="preserve"> Servicios Públicos </w:t>
            </w:r>
          </w:p>
        </w:tc>
        <w:tc>
          <w:tcPr>
            <w:tcW w:w="0" w:type="auto"/>
            <w:tcBorders>
              <w:top w:val="nil"/>
              <w:left w:val="nil"/>
              <w:bottom w:val="single" w:sz="8" w:space="0" w:color="auto"/>
              <w:right w:val="single" w:sz="8" w:space="0" w:color="auto"/>
            </w:tcBorders>
            <w:noWrap/>
            <w:vAlign w:val="center"/>
            <w:hideMark/>
          </w:tcPr>
          <w:p w14:paraId="0BAE427B" w14:textId="77777777" w:rsidR="003914D2" w:rsidRDefault="003914D2">
            <w:pPr>
              <w:jc w:val="right"/>
              <w:rPr>
                <w:rFonts w:ascii="Arial" w:hAnsi="Arial" w:cs="Arial"/>
                <w:color w:val="000000"/>
                <w:sz w:val="16"/>
                <w:szCs w:val="16"/>
              </w:rPr>
            </w:pPr>
            <w:r>
              <w:rPr>
                <w:rFonts w:ascii="Arial" w:hAnsi="Arial" w:cs="Arial"/>
                <w:sz w:val="16"/>
                <w:szCs w:val="16"/>
              </w:rPr>
              <w:t xml:space="preserve">                                            463 </w:t>
            </w:r>
          </w:p>
        </w:tc>
        <w:tc>
          <w:tcPr>
            <w:tcW w:w="0" w:type="auto"/>
            <w:tcBorders>
              <w:top w:val="nil"/>
              <w:left w:val="nil"/>
              <w:bottom w:val="single" w:sz="8" w:space="0" w:color="auto"/>
              <w:right w:val="single" w:sz="8" w:space="0" w:color="auto"/>
            </w:tcBorders>
            <w:noWrap/>
            <w:vAlign w:val="center"/>
            <w:hideMark/>
          </w:tcPr>
          <w:p w14:paraId="3739309E" w14:textId="77777777" w:rsidR="003914D2" w:rsidRDefault="003914D2">
            <w:pPr>
              <w:jc w:val="right"/>
              <w:rPr>
                <w:rFonts w:ascii="Arial" w:hAnsi="Arial" w:cs="Arial"/>
                <w:color w:val="000000"/>
                <w:sz w:val="16"/>
                <w:szCs w:val="16"/>
              </w:rPr>
            </w:pPr>
            <w:r>
              <w:rPr>
                <w:rFonts w:ascii="Arial" w:hAnsi="Arial" w:cs="Arial"/>
                <w:sz w:val="16"/>
                <w:szCs w:val="16"/>
              </w:rPr>
              <w:t xml:space="preserve">                             463 </w:t>
            </w:r>
          </w:p>
        </w:tc>
        <w:tc>
          <w:tcPr>
            <w:tcW w:w="0" w:type="auto"/>
            <w:tcBorders>
              <w:top w:val="nil"/>
              <w:left w:val="nil"/>
              <w:bottom w:val="single" w:sz="8" w:space="0" w:color="auto"/>
              <w:right w:val="single" w:sz="8" w:space="0" w:color="auto"/>
            </w:tcBorders>
            <w:noWrap/>
            <w:vAlign w:val="center"/>
            <w:hideMark/>
          </w:tcPr>
          <w:p w14:paraId="280ADF43" w14:textId="77777777" w:rsidR="003914D2" w:rsidRDefault="003914D2">
            <w:pPr>
              <w:jc w:val="right"/>
              <w:rPr>
                <w:rFonts w:ascii="Arial" w:hAnsi="Arial" w:cs="Arial"/>
                <w:color w:val="000000"/>
                <w:sz w:val="16"/>
                <w:szCs w:val="16"/>
              </w:rPr>
            </w:pPr>
            <w:r>
              <w:rPr>
                <w:rFonts w:ascii="Arial" w:hAnsi="Arial" w:cs="Arial"/>
                <w:sz w:val="16"/>
                <w:szCs w:val="16"/>
              </w:rPr>
              <w:t xml:space="preserve">                                                     463 </w:t>
            </w:r>
          </w:p>
        </w:tc>
        <w:tc>
          <w:tcPr>
            <w:tcW w:w="0" w:type="auto"/>
            <w:tcBorders>
              <w:top w:val="nil"/>
              <w:left w:val="nil"/>
              <w:bottom w:val="single" w:sz="8" w:space="0" w:color="auto"/>
              <w:right w:val="single" w:sz="8" w:space="0" w:color="auto"/>
            </w:tcBorders>
            <w:noWrap/>
            <w:vAlign w:val="center"/>
            <w:hideMark/>
          </w:tcPr>
          <w:p w14:paraId="4423DA37" w14:textId="77777777" w:rsidR="003914D2" w:rsidRDefault="003914D2">
            <w:pPr>
              <w:jc w:val="right"/>
              <w:rPr>
                <w:rFonts w:ascii="Arial" w:hAnsi="Arial" w:cs="Arial"/>
                <w:color w:val="000000"/>
                <w:sz w:val="16"/>
                <w:szCs w:val="16"/>
              </w:rPr>
            </w:pPr>
            <w:r>
              <w:rPr>
                <w:rFonts w:ascii="Arial" w:hAnsi="Arial" w:cs="Arial"/>
                <w:sz w:val="16"/>
                <w:szCs w:val="16"/>
              </w:rPr>
              <w:t xml:space="preserve">                                                   201 </w:t>
            </w:r>
          </w:p>
        </w:tc>
        <w:tc>
          <w:tcPr>
            <w:tcW w:w="0" w:type="auto"/>
            <w:tcBorders>
              <w:top w:val="nil"/>
              <w:left w:val="nil"/>
              <w:bottom w:val="single" w:sz="8" w:space="0" w:color="auto"/>
              <w:right w:val="single" w:sz="8" w:space="0" w:color="auto"/>
            </w:tcBorders>
            <w:noWrap/>
            <w:vAlign w:val="center"/>
            <w:hideMark/>
          </w:tcPr>
          <w:p w14:paraId="2E7757C2" w14:textId="77777777" w:rsidR="003914D2" w:rsidRDefault="003914D2">
            <w:pPr>
              <w:jc w:val="right"/>
              <w:rPr>
                <w:rFonts w:ascii="Arial" w:hAnsi="Arial" w:cs="Arial"/>
                <w:color w:val="000000"/>
                <w:sz w:val="16"/>
                <w:szCs w:val="16"/>
              </w:rPr>
            </w:pPr>
            <w:r>
              <w:rPr>
                <w:rFonts w:ascii="Arial" w:hAnsi="Arial" w:cs="Arial"/>
                <w:sz w:val="16"/>
                <w:szCs w:val="16"/>
              </w:rPr>
              <w:t xml:space="preserve">                                           196 </w:t>
            </w:r>
          </w:p>
        </w:tc>
      </w:tr>
      <w:tr w:rsidR="003914D2" w14:paraId="18DA57E5"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2FD47C6C" w14:textId="77777777" w:rsidR="003914D2" w:rsidRDefault="003914D2">
            <w:pPr>
              <w:rPr>
                <w:rFonts w:ascii="Arial" w:hAnsi="Arial" w:cs="Arial"/>
                <w:color w:val="000000"/>
                <w:sz w:val="16"/>
                <w:szCs w:val="16"/>
              </w:rPr>
            </w:pPr>
            <w:r>
              <w:rPr>
                <w:rFonts w:ascii="Arial" w:hAnsi="Arial" w:cs="Arial"/>
                <w:sz w:val="16"/>
                <w:szCs w:val="16"/>
              </w:rPr>
              <w:t xml:space="preserve"> Seguros </w:t>
            </w:r>
          </w:p>
        </w:tc>
        <w:tc>
          <w:tcPr>
            <w:tcW w:w="0" w:type="auto"/>
            <w:tcBorders>
              <w:top w:val="nil"/>
              <w:left w:val="nil"/>
              <w:bottom w:val="single" w:sz="8" w:space="0" w:color="auto"/>
              <w:right w:val="single" w:sz="8" w:space="0" w:color="auto"/>
            </w:tcBorders>
            <w:noWrap/>
            <w:vAlign w:val="center"/>
            <w:hideMark/>
          </w:tcPr>
          <w:p w14:paraId="05B6026C" w14:textId="77777777" w:rsidR="003914D2" w:rsidRDefault="003914D2">
            <w:pPr>
              <w:jc w:val="right"/>
              <w:rPr>
                <w:rFonts w:ascii="Arial" w:hAnsi="Arial" w:cs="Arial"/>
                <w:color w:val="000000"/>
                <w:sz w:val="16"/>
                <w:szCs w:val="16"/>
              </w:rPr>
            </w:pPr>
            <w:r>
              <w:rPr>
                <w:rFonts w:ascii="Arial" w:hAnsi="Arial" w:cs="Arial"/>
                <w:sz w:val="16"/>
                <w:szCs w:val="16"/>
              </w:rPr>
              <w:t xml:space="preserve">                                         1.694 </w:t>
            </w:r>
          </w:p>
        </w:tc>
        <w:tc>
          <w:tcPr>
            <w:tcW w:w="0" w:type="auto"/>
            <w:tcBorders>
              <w:top w:val="nil"/>
              <w:left w:val="nil"/>
              <w:bottom w:val="single" w:sz="8" w:space="0" w:color="auto"/>
              <w:right w:val="single" w:sz="8" w:space="0" w:color="auto"/>
            </w:tcBorders>
            <w:noWrap/>
            <w:vAlign w:val="center"/>
            <w:hideMark/>
          </w:tcPr>
          <w:p w14:paraId="32878BC7" w14:textId="77777777" w:rsidR="003914D2" w:rsidRDefault="003914D2">
            <w:pPr>
              <w:jc w:val="right"/>
              <w:rPr>
                <w:rFonts w:ascii="Arial" w:hAnsi="Arial" w:cs="Arial"/>
                <w:color w:val="000000"/>
                <w:sz w:val="16"/>
                <w:szCs w:val="16"/>
              </w:rPr>
            </w:pPr>
            <w:r>
              <w:rPr>
                <w:rFonts w:ascii="Arial" w:hAnsi="Arial" w:cs="Arial"/>
                <w:sz w:val="16"/>
                <w:szCs w:val="16"/>
              </w:rPr>
              <w:t xml:space="preserve">                          1.694 </w:t>
            </w:r>
          </w:p>
        </w:tc>
        <w:tc>
          <w:tcPr>
            <w:tcW w:w="0" w:type="auto"/>
            <w:tcBorders>
              <w:top w:val="nil"/>
              <w:left w:val="nil"/>
              <w:bottom w:val="single" w:sz="8" w:space="0" w:color="auto"/>
              <w:right w:val="single" w:sz="8" w:space="0" w:color="auto"/>
            </w:tcBorders>
            <w:noWrap/>
            <w:vAlign w:val="center"/>
            <w:hideMark/>
          </w:tcPr>
          <w:p w14:paraId="150A2105" w14:textId="77777777" w:rsidR="003914D2" w:rsidRDefault="003914D2">
            <w:pPr>
              <w:jc w:val="right"/>
              <w:rPr>
                <w:rFonts w:ascii="Arial" w:hAnsi="Arial" w:cs="Arial"/>
                <w:color w:val="000000"/>
                <w:sz w:val="16"/>
                <w:szCs w:val="16"/>
              </w:rPr>
            </w:pPr>
            <w:r>
              <w:rPr>
                <w:rFonts w:ascii="Arial" w:hAnsi="Arial" w:cs="Arial"/>
                <w:sz w:val="16"/>
                <w:szCs w:val="16"/>
              </w:rPr>
              <w:t xml:space="preserve">                                                         1 </w:t>
            </w:r>
          </w:p>
        </w:tc>
        <w:tc>
          <w:tcPr>
            <w:tcW w:w="0" w:type="auto"/>
            <w:tcBorders>
              <w:top w:val="nil"/>
              <w:left w:val="nil"/>
              <w:bottom w:val="single" w:sz="8" w:space="0" w:color="auto"/>
              <w:right w:val="single" w:sz="8" w:space="0" w:color="auto"/>
            </w:tcBorders>
            <w:noWrap/>
            <w:vAlign w:val="center"/>
            <w:hideMark/>
          </w:tcPr>
          <w:p w14:paraId="40A17A7C"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0DE4AD55"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r>
      <w:tr w:rsidR="003914D2" w14:paraId="62DC51F4"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0B6AA0A5" w14:textId="77777777" w:rsidR="003914D2" w:rsidRDefault="003914D2">
            <w:pPr>
              <w:rPr>
                <w:rFonts w:ascii="Arial" w:hAnsi="Arial" w:cs="Arial"/>
                <w:color w:val="000000"/>
                <w:sz w:val="16"/>
                <w:szCs w:val="16"/>
              </w:rPr>
            </w:pPr>
            <w:r>
              <w:rPr>
                <w:rFonts w:ascii="Arial" w:hAnsi="Arial" w:cs="Arial"/>
                <w:sz w:val="16"/>
                <w:szCs w:val="16"/>
              </w:rPr>
              <w:t xml:space="preserve"> Arrendamientos </w:t>
            </w:r>
          </w:p>
        </w:tc>
        <w:tc>
          <w:tcPr>
            <w:tcW w:w="0" w:type="auto"/>
            <w:tcBorders>
              <w:top w:val="nil"/>
              <w:left w:val="nil"/>
              <w:bottom w:val="single" w:sz="8" w:space="0" w:color="auto"/>
              <w:right w:val="single" w:sz="8" w:space="0" w:color="auto"/>
            </w:tcBorders>
            <w:noWrap/>
            <w:vAlign w:val="center"/>
            <w:hideMark/>
          </w:tcPr>
          <w:p w14:paraId="14A1931D"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159589B8"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24D10494"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01A9661B"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5ABEC018"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r>
      <w:tr w:rsidR="003914D2" w14:paraId="706FBC70"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3940DEE6" w14:textId="77777777" w:rsidR="003914D2" w:rsidRDefault="003914D2">
            <w:pPr>
              <w:rPr>
                <w:rFonts w:ascii="Arial" w:hAnsi="Arial" w:cs="Arial"/>
                <w:color w:val="000000"/>
                <w:sz w:val="16"/>
                <w:szCs w:val="16"/>
              </w:rPr>
            </w:pPr>
            <w:r>
              <w:rPr>
                <w:rFonts w:ascii="Arial" w:hAnsi="Arial" w:cs="Arial"/>
                <w:sz w:val="16"/>
                <w:szCs w:val="16"/>
              </w:rPr>
              <w:t xml:space="preserve"> Viáticos y Gastos de Viaje </w:t>
            </w:r>
          </w:p>
        </w:tc>
        <w:tc>
          <w:tcPr>
            <w:tcW w:w="0" w:type="auto"/>
            <w:tcBorders>
              <w:top w:val="nil"/>
              <w:left w:val="nil"/>
              <w:bottom w:val="single" w:sz="8" w:space="0" w:color="auto"/>
              <w:right w:val="single" w:sz="8" w:space="0" w:color="auto"/>
            </w:tcBorders>
            <w:noWrap/>
            <w:vAlign w:val="center"/>
            <w:hideMark/>
          </w:tcPr>
          <w:p w14:paraId="08B3EE8E" w14:textId="77777777" w:rsidR="003914D2" w:rsidRDefault="003914D2">
            <w:pPr>
              <w:jc w:val="right"/>
              <w:rPr>
                <w:rFonts w:ascii="Arial" w:hAnsi="Arial" w:cs="Arial"/>
                <w:color w:val="000000"/>
                <w:sz w:val="16"/>
                <w:szCs w:val="16"/>
              </w:rPr>
            </w:pPr>
            <w:r>
              <w:rPr>
                <w:rFonts w:ascii="Arial" w:hAnsi="Arial" w:cs="Arial"/>
                <w:sz w:val="16"/>
                <w:szCs w:val="16"/>
              </w:rPr>
              <w:t xml:space="preserve">                                            102 </w:t>
            </w:r>
          </w:p>
        </w:tc>
        <w:tc>
          <w:tcPr>
            <w:tcW w:w="0" w:type="auto"/>
            <w:tcBorders>
              <w:top w:val="nil"/>
              <w:left w:val="nil"/>
              <w:bottom w:val="single" w:sz="8" w:space="0" w:color="auto"/>
              <w:right w:val="single" w:sz="8" w:space="0" w:color="auto"/>
            </w:tcBorders>
            <w:noWrap/>
            <w:vAlign w:val="center"/>
            <w:hideMark/>
          </w:tcPr>
          <w:p w14:paraId="79D37E9F" w14:textId="77777777" w:rsidR="003914D2" w:rsidRDefault="003914D2">
            <w:pPr>
              <w:jc w:val="right"/>
              <w:rPr>
                <w:rFonts w:ascii="Arial" w:hAnsi="Arial" w:cs="Arial"/>
                <w:color w:val="000000"/>
                <w:sz w:val="16"/>
                <w:szCs w:val="16"/>
              </w:rPr>
            </w:pPr>
            <w:r>
              <w:rPr>
                <w:rFonts w:ascii="Arial" w:hAnsi="Arial" w:cs="Arial"/>
                <w:sz w:val="16"/>
                <w:szCs w:val="16"/>
              </w:rPr>
              <w:t xml:space="preserve">                             101 </w:t>
            </w:r>
          </w:p>
        </w:tc>
        <w:tc>
          <w:tcPr>
            <w:tcW w:w="0" w:type="auto"/>
            <w:tcBorders>
              <w:top w:val="nil"/>
              <w:left w:val="nil"/>
              <w:bottom w:val="single" w:sz="8" w:space="0" w:color="auto"/>
              <w:right w:val="single" w:sz="8" w:space="0" w:color="auto"/>
            </w:tcBorders>
            <w:noWrap/>
            <w:vAlign w:val="center"/>
            <w:hideMark/>
          </w:tcPr>
          <w:p w14:paraId="41AD8D14" w14:textId="77777777" w:rsidR="003914D2" w:rsidRDefault="003914D2">
            <w:pPr>
              <w:jc w:val="right"/>
              <w:rPr>
                <w:rFonts w:ascii="Arial" w:hAnsi="Arial" w:cs="Arial"/>
                <w:color w:val="000000"/>
                <w:sz w:val="16"/>
                <w:szCs w:val="16"/>
              </w:rPr>
            </w:pPr>
            <w:r>
              <w:rPr>
                <w:rFonts w:ascii="Arial" w:hAnsi="Arial" w:cs="Arial"/>
                <w:sz w:val="16"/>
                <w:szCs w:val="16"/>
              </w:rPr>
              <w:t xml:space="preserve">                                                       80 </w:t>
            </w:r>
          </w:p>
        </w:tc>
        <w:tc>
          <w:tcPr>
            <w:tcW w:w="0" w:type="auto"/>
            <w:tcBorders>
              <w:top w:val="nil"/>
              <w:left w:val="nil"/>
              <w:bottom w:val="single" w:sz="8" w:space="0" w:color="auto"/>
              <w:right w:val="single" w:sz="8" w:space="0" w:color="auto"/>
            </w:tcBorders>
            <w:noWrap/>
            <w:vAlign w:val="center"/>
            <w:hideMark/>
          </w:tcPr>
          <w:p w14:paraId="3A0A00B9" w14:textId="77777777" w:rsidR="003914D2" w:rsidRDefault="003914D2">
            <w:pPr>
              <w:jc w:val="right"/>
              <w:rPr>
                <w:rFonts w:ascii="Arial" w:hAnsi="Arial" w:cs="Arial"/>
                <w:color w:val="000000"/>
                <w:sz w:val="16"/>
                <w:szCs w:val="16"/>
              </w:rPr>
            </w:pPr>
            <w:r>
              <w:rPr>
                <w:rFonts w:ascii="Arial" w:hAnsi="Arial" w:cs="Arial"/>
                <w:sz w:val="16"/>
                <w:szCs w:val="16"/>
              </w:rPr>
              <w:t xml:space="preserve">                                                     79 </w:t>
            </w:r>
          </w:p>
        </w:tc>
        <w:tc>
          <w:tcPr>
            <w:tcW w:w="0" w:type="auto"/>
            <w:tcBorders>
              <w:top w:val="nil"/>
              <w:left w:val="nil"/>
              <w:bottom w:val="single" w:sz="8" w:space="0" w:color="auto"/>
              <w:right w:val="single" w:sz="8" w:space="0" w:color="auto"/>
            </w:tcBorders>
            <w:noWrap/>
            <w:vAlign w:val="center"/>
            <w:hideMark/>
          </w:tcPr>
          <w:p w14:paraId="2CCA857C" w14:textId="77777777" w:rsidR="003914D2" w:rsidRDefault="003914D2">
            <w:pPr>
              <w:jc w:val="right"/>
              <w:rPr>
                <w:rFonts w:ascii="Arial" w:hAnsi="Arial" w:cs="Arial"/>
                <w:color w:val="000000"/>
                <w:sz w:val="16"/>
                <w:szCs w:val="16"/>
              </w:rPr>
            </w:pPr>
            <w:r>
              <w:rPr>
                <w:rFonts w:ascii="Arial" w:hAnsi="Arial" w:cs="Arial"/>
                <w:sz w:val="16"/>
                <w:szCs w:val="16"/>
              </w:rPr>
              <w:t xml:space="preserve">                                             78 </w:t>
            </w:r>
          </w:p>
        </w:tc>
      </w:tr>
      <w:tr w:rsidR="003914D2" w14:paraId="5F00E590"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099CFF17" w14:textId="77777777" w:rsidR="003914D2" w:rsidRDefault="003914D2">
            <w:pPr>
              <w:rPr>
                <w:rFonts w:ascii="Arial" w:hAnsi="Arial" w:cs="Arial"/>
                <w:color w:val="000000"/>
                <w:sz w:val="16"/>
                <w:szCs w:val="16"/>
              </w:rPr>
            </w:pPr>
            <w:r>
              <w:rPr>
                <w:rFonts w:ascii="Arial" w:hAnsi="Arial" w:cs="Arial"/>
                <w:sz w:val="16"/>
                <w:szCs w:val="16"/>
              </w:rPr>
              <w:t xml:space="preserve"> Gastos Imprevistos </w:t>
            </w:r>
          </w:p>
        </w:tc>
        <w:tc>
          <w:tcPr>
            <w:tcW w:w="0" w:type="auto"/>
            <w:tcBorders>
              <w:top w:val="nil"/>
              <w:left w:val="nil"/>
              <w:bottom w:val="single" w:sz="8" w:space="0" w:color="auto"/>
              <w:right w:val="single" w:sz="8" w:space="0" w:color="auto"/>
            </w:tcBorders>
            <w:noWrap/>
            <w:vAlign w:val="center"/>
            <w:hideMark/>
          </w:tcPr>
          <w:p w14:paraId="66F2C622" w14:textId="77777777" w:rsidR="003914D2" w:rsidRDefault="003914D2">
            <w:pPr>
              <w:jc w:val="right"/>
              <w:rPr>
                <w:rFonts w:ascii="Arial" w:hAnsi="Arial" w:cs="Arial"/>
                <w:color w:val="000000"/>
                <w:sz w:val="16"/>
                <w:szCs w:val="16"/>
              </w:rPr>
            </w:pPr>
            <w:r>
              <w:rPr>
                <w:rFonts w:ascii="Arial" w:hAnsi="Arial" w:cs="Arial"/>
                <w:sz w:val="16"/>
                <w:szCs w:val="16"/>
              </w:rPr>
              <w:t xml:space="preserve">                                              11 </w:t>
            </w:r>
          </w:p>
        </w:tc>
        <w:tc>
          <w:tcPr>
            <w:tcW w:w="0" w:type="auto"/>
            <w:tcBorders>
              <w:top w:val="nil"/>
              <w:left w:val="nil"/>
              <w:bottom w:val="single" w:sz="8" w:space="0" w:color="auto"/>
              <w:right w:val="single" w:sz="8" w:space="0" w:color="auto"/>
            </w:tcBorders>
            <w:noWrap/>
            <w:vAlign w:val="center"/>
            <w:hideMark/>
          </w:tcPr>
          <w:p w14:paraId="0AA7E9B6"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66BD990C"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12A54877"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8" w:space="0" w:color="auto"/>
              <w:right w:val="single" w:sz="8" w:space="0" w:color="auto"/>
            </w:tcBorders>
            <w:noWrap/>
            <w:vAlign w:val="center"/>
            <w:hideMark/>
          </w:tcPr>
          <w:p w14:paraId="69D9AE4E"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r>
      <w:tr w:rsidR="003914D2" w14:paraId="7B5BE4B9" w14:textId="77777777" w:rsidTr="00803CC6">
        <w:trPr>
          <w:trHeight w:val="437"/>
        </w:trPr>
        <w:tc>
          <w:tcPr>
            <w:tcW w:w="0" w:type="auto"/>
            <w:tcBorders>
              <w:top w:val="nil"/>
              <w:left w:val="single" w:sz="8" w:space="0" w:color="auto"/>
              <w:bottom w:val="single" w:sz="4" w:space="0" w:color="auto"/>
              <w:right w:val="single" w:sz="8" w:space="0" w:color="auto"/>
            </w:tcBorders>
            <w:vAlign w:val="center"/>
            <w:hideMark/>
          </w:tcPr>
          <w:p w14:paraId="4073AF7C" w14:textId="77777777" w:rsidR="003914D2" w:rsidRDefault="003914D2">
            <w:pPr>
              <w:rPr>
                <w:rFonts w:ascii="Arial" w:hAnsi="Arial" w:cs="Arial"/>
                <w:color w:val="000000"/>
                <w:sz w:val="16"/>
                <w:szCs w:val="16"/>
              </w:rPr>
            </w:pPr>
            <w:r>
              <w:rPr>
                <w:rFonts w:ascii="Arial" w:hAnsi="Arial" w:cs="Arial"/>
                <w:sz w:val="16"/>
                <w:szCs w:val="16"/>
              </w:rPr>
              <w:t xml:space="preserve"> Capacitación, Bienestar Social y Estímulos </w:t>
            </w:r>
          </w:p>
        </w:tc>
        <w:tc>
          <w:tcPr>
            <w:tcW w:w="0" w:type="auto"/>
            <w:tcBorders>
              <w:top w:val="nil"/>
              <w:left w:val="nil"/>
              <w:bottom w:val="single" w:sz="4" w:space="0" w:color="auto"/>
              <w:right w:val="single" w:sz="8" w:space="0" w:color="auto"/>
            </w:tcBorders>
            <w:noWrap/>
            <w:vAlign w:val="center"/>
            <w:hideMark/>
          </w:tcPr>
          <w:p w14:paraId="312010A6" w14:textId="77777777" w:rsidR="003914D2" w:rsidRDefault="003914D2">
            <w:pPr>
              <w:jc w:val="right"/>
              <w:rPr>
                <w:rFonts w:ascii="Arial" w:hAnsi="Arial" w:cs="Arial"/>
                <w:color w:val="000000"/>
                <w:sz w:val="16"/>
                <w:szCs w:val="16"/>
              </w:rPr>
            </w:pPr>
            <w:r>
              <w:rPr>
                <w:rFonts w:ascii="Arial" w:hAnsi="Arial" w:cs="Arial"/>
                <w:sz w:val="16"/>
                <w:szCs w:val="16"/>
              </w:rPr>
              <w:t xml:space="preserve">                                            789 </w:t>
            </w:r>
          </w:p>
        </w:tc>
        <w:tc>
          <w:tcPr>
            <w:tcW w:w="0" w:type="auto"/>
            <w:tcBorders>
              <w:top w:val="nil"/>
              <w:left w:val="nil"/>
              <w:bottom w:val="single" w:sz="4" w:space="0" w:color="auto"/>
              <w:right w:val="single" w:sz="8" w:space="0" w:color="auto"/>
            </w:tcBorders>
            <w:noWrap/>
            <w:vAlign w:val="center"/>
            <w:hideMark/>
          </w:tcPr>
          <w:p w14:paraId="362B79A9" w14:textId="77777777" w:rsidR="003914D2" w:rsidRDefault="003914D2">
            <w:pPr>
              <w:jc w:val="right"/>
              <w:rPr>
                <w:rFonts w:ascii="Arial" w:hAnsi="Arial" w:cs="Arial"/>
                <w:color w:val="000000"/>
                <w:sz w:val="16"/>
                <w:szCs w:val="16"/>
              </w:rPr>
            </w:pPr>
            <w:r>
              <w:rPr>
                <w:rFonts w:ascii="Arial" w:hAnsi="Arial" w:cs="Arial"/>
                <w:sz w:val="16"/>
                <w:szCs w:val="16"/>
              </w:rPr>
              <w:t xml:space="preserve">                             391 </w:t>
            </w:r>
          </w:p>
        </w:tc>
        <w:tc>
          <w:tcPr>
            <w:tcW w:w="0" w:type="auto"/>
            <w:tcBorders>
              <w:top w:val="nil"/>
              <w:left w:val="nil"/>
              <w:bottom w:val="single" w:sz="4" w:space="0" w:color="auto"/>
              <w:right w:val="single" w:sz="8" w:space="0" w:color="auto"/>
            </w:tcBorders>
            <w:noWrap/>
            <w:vAlign w:val="center"/>
            <w:hideMark/>
          </w:tcPr>
          <w:p w14:paraId="3CE71B91" w14:textId="77777777" w:rsidR="003914D2" w:rsidRDefault="003914D2">
            <w:pPr>
              <w:jc w:val="right"/>
              <w:rPr>
                <w:rFonts w:ascii="Arial" w:hAnsi="Arial" w:cs="Arial"/>
                <w:color w:val="000000"/>
                <w:sz w:val="16"/>
                <w:szCs w:val="16"/>
              </w:rPr>
            </w:pPr>
            <w:r>
              <w:rPr>
                <w:rFonts w:ascii="Arial" w:hAnsi="Arial" w:cs="Arial"/>
                <w:sz w:val="16"/>
                <w:szCs w:val="16"/>
              </w:rPr>
              <w:t xml:space="preserve">                                                     391 </w:t>
            </w:r>
          </w:p>
        </w:tc>
        <w:tc>
          <w:tcPr>
            <w:tcW w:w="0" w:type="auto"/>
            <w:tcBorders>
              <w:top w:val="nil"/>
              <w:left w:val="nil"/>
              <w:bottom w:val="single" w:sz="4" w:space="0" w:color="auto"/>
              <w:right w:val="single" w:sz="8" w:space="0" w:color="auto"/>
            </w:tcBorders>
            <w:noWrap/>
            <w:vAlign w:val="center"/>
            <w:hideMark/>
          </w:tcPr>
          <w:p w14:paraId="091954FB"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nil"/>
              <w:left w:val="nil"/>
              <w:bottom w:val="single" w:sz="4" w:space="0" w:color="auto"/>
              <w:right w:val="single" w:sz="8" w:space="0" w:color="auto"/>
            </w:tcBorders>
            <w:noWrap/>
            <w:vAlign w:val="center"/>
            <w:hideMark/>
          </w:tcPr>
          <w:p w14:paraId="2BDDE9B7"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r>
      <w:tr w:rsidR="003914D2" w14:paraId="53B557F9" w14:textId="77777777" w:rsidTr="00803CC6">
        <w:trPr>
          <w:trHeight w:val="296"/>
        </w:trPr>
        <w:tc>
          <w:tcPr>
            <w:tcW w:w="0" w:type="auto"/>
            <w:tcBorders>
              <w:top w:val="single" w:sz="4" w:space="0" w:color="auto"/>
              <w:left w:val="single" w:sz="8" w:space="0" w:color="auto"/>
              <w:bottom w:val="single" w:sz="8" w:space="0" w:color="auto"/>
              <w:right w:val="single" w:sz="8" w:space="0" w:color="auto"/>
            </w:tcBorders>
            <w:noWrap/>
            <w:vAlign w:val="center"/>
            <w:hideMark/>
          </w:tcPr>
          <w:p w14:paraId="0F6285D8" w14:textId="77777777" w:rsidR="003914D2" w:rsidRDefault="003914D2">
            <w:pPr>
              <w:rPr>
                <w:rFonts w:ascii="Arial" w:hAnsi="Arial" w:cs="Arial"/>
                <w:color w:val="000000"/>
                <w:sz w:val="16"/>
                <w:szCs w:val="16"/>
              </w:rPr>
            </w:pPr>
            <w:r>
              <w:rPr>
                <w:rFonts w:ascii="Arial" w:hAnsi="Arial" w:cs="Arial"/>
                <w:sz w:val="16"/>
                <w:szCs w:val="16"/>
              </w:rPr>
              <w:t xml:space="preserve"> Otros Gastos por adquisición de Bienes </w:t>
            </w:r>
          </w:p>
        </w:tc>
        <w:tc>
          <w:tcPr>
            <w:tcW w:w="0" w:type="auto"/>
            <w:tcBorders>
              <w:top w:val="single" w:sz="4" w:space="0" w:color="auto"/>
              <w:left w:val="nil"/>
              <w:bottom w:val="single" w:sz="8" w:space="0" w:color="auto"/>
              <w:right w:val="single" w:sz="8" w:space="0" w:color="auto"/>
            </w:tcBorders>
            <w:noWrap/>
            <w:vAlign w:val="center"/>
            <w:hideMark/>
          </w:tcPr>
          <w:p w14:paraId="51B573E1" w14:textId="77777777" w:rsidR="003914D2" w:rsidRDefault="003914D2">
            <w:pPr>
              <w:jc w:val="right"/>
              <w:rPr>
                <w:rFonts w:ascii="Arial" w:hAnsi="Arial" w:cs="Arial"/>
                <w:color w:val="000000"/>
                <w:sz w:val="16"/>
                <w:szCs w:val="16"/>
              </w:rPr>
            </w:pPr>
            <w:r>
              <w:rPr>
                <w:rFonts w:ascii="Arial" w:hAnsi="Arial" w:cs="Arial"/>
                <w:sz w:val="16"/>
                <w:szCs w:val="16"/>
              </w:rPr>
              <w:t xml:space="preserve">                                                1 </w:t>
            </w:r>
          </w:p>
        </w:tc>
        <w:tc>
          <w:tcPr>
            <w:tcW w:w="0" w:type="auto"/>
            <w:tcBorders>
              <w:top w:val="single" w:sz="4" w:space="0" w:color="auto"/>
              <w:left w:val="nil"/>
              <w:bottom w:val="single" w:sz="8" w:space="0" w:color="auto"/>
              <w:right w:val="single" w:sz="8" w:space="0" w:color="auto"/>
            </w:tcBorders>
            <w:noWrap/>
            <w:vAlign w:val="center"/>
            <w:hideMark/>
          </w:tcPr>
          <w:p w14:paraId="392B525C"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single" w:sz="4" w:space="0" w:color="auto"/>
              <w:left w:val="nil"/>
              <w:bottom w:val="single" w:sz="8" w:space="0" w:color="auto"/>
              <w:right w:val="single" w:sz="8" w:space="0" w:color="auto"/>
            </w:tcBorders>
            <w:noWrap/>
            <w:vAlign w:val="center"/>
            <w:hideMark/>
          </w:tcPr>
          <w:p w14:paraId="4E03622C"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single" w:sz="4" w:space="0" w:color="auto"/>
              <w:left w:val="nil"/>
              <w:bottom w:val="single" w:sz="8" w:space="0" w:color="auto"/>
              <w:right w:val="single" w:sz="8" w:space="0" w:color="auto"/>
            </w:tcBorders>
            <w:noWrap/>
            <w:vAlign w:val="center"/>
            <w:hideMark/>
          </w:tcPr>
          <w:p w14:paraId="72DA0826"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c>
          <w:tcPr>
            <w:tcW w:w="0" w:type="auto"/>
            <w:tcBorders>
              <w:top w:val="single" w:sz="4" w:space="0" w:color="auto"/>
              <w:left w:val="nil"/>
              <w:bottom w:val="single" w:sz="8" w:space="0" w:color="auto"/>
              <w:right w:val="single" w:sz="8" w:space="0" w:color="auto"/>
            </w:tcBorders>
            <w:noWrap/>
            <w:vAlign w:val="center"/>
            <w:hideMark/>
          </w:tcPr>
          <w:p w14:paraId="317795AA" w14:textId="77777777" w:rsidR="003914D2" w:rsidRDefault="003914D2">
            <w:pPr>
              <w:jc w:val="right"/>
              <w:rPr>
                <w:rFonts w:ascii="Arial" w:hAnsi="Arial" w:cs="Arial"/>
                <w:color w:val="000000"/>
                <w:sz w:val="16"/>
                <w:szCs w:val="16"/>
              </w:rPr>
            </w:pPr>
            <w:r>
              <w:rPr>
                <w:rFonts w:ascii="Arial" w:hAnsi="Arial" w:cs="Arial"/>
                <w:sz w:val="16"/>
                <w:szCs w:val="16"/>
              </w:rPr>
              <w:t xml:space="preserve">                                              -   </w:t>
            </w:r>
          </w:p>
        </w:tc>
      </w:tr>
      <w:tr w:rsidR="003914D2" w14:paraId="0CD713E8" w14:textId="77777777" w:rsidTr="00803CC6">
        <w:trPr>
          <w:trHeight w:val="296"/>
        </w:trPr>
        <w:tc>
          <w:tcPr>
            <w:tcW w:w="0" w:type="auto"/>
            <w:tcBorders>
              <w:top w:val="nil"/>
              <w:left w:val="single" w:sz="8" w:space="0" w:color="auto"/>
              <w:bottom w:val="single" w:sz="8" w:space="0" w:color="auto"/>
              <w:right w:val="single" w:sz="8" w:space="0" w:color="auto"/>
            </w:tcBorders>
            <w:noWrap/>
            <w:vAlign w:val="center"/>
            <w:hideMark/>
          </w:tcPr>
          <w:p w14:paraId="6EFCD4A7" w14:textId="77777777" w:rsidR="003914D2" w:rsidRDefault="003914D2">
            <w:pPr>
              <w:rPr>
                <w:rFonts w:ascii="Arial" w:hAnsi="Arial" w:cs="Arial"/>
                <w:color w:val="000000"/>
                <w:sz w:val="16"/>
                <w:szCs w:val="16"/>
              </w:rPr>
            </w:pPr>
            <w:r>
              <w:rPr>
                <w:rFonts w:ascii="Arial" w:hAnsi="Arial" w:cs="Arial"/>
                <w:sz w:val="16"/>
                <w:szCs w:val="16"/>
              </w:rPr>
              <w:t xml:space="preserve"> Otros Gastos por adquisición de Servicios </w:t>
            </w:r>
          </w:p>
        </w:tc>
        <w:tc>
          <w:tcPr>
            <w:tcW w:w="0" w:type="auto"/>
            <w:tcBorders>
              <w:top w:val="nil"/>
              <w:left w:val="nil"/>
              <w:bottom w:val="single" w:sz="8" w:space="0" w:color="auto"/>
              <w:right w:val="single" w:sz="8" w:space="0" w:color="auto"/>
            </w:tcBorders>
            <w:noWrap/>
            <w:vAlign w:val="center"/>
            <w:hideMark/>
          </w:tcPr>
          <w:p w14:paraId="74770BC4" w14:textId="77777777" w:rsidR="003914D2" w:rsidRDefault="003914D2">
            <w:pPr>
              <w:jc w:val="right"/>
              <w:rPr>
                <w:rFonts w:ascii="Arial" w:hAnsi="Arial" w:cs="Arial"/>
                <w:color w:val="000000"/>
                <w:sz w:val="16"/>
                <w:szCs w:val="16"/>
              </w:rPr>
            </w:pPr>
            <w:r>
              <w:rPr>
                <w:rFonts w:ascii="Arial" w:hAnsi="Arial" w:cs="Arial"/>
                <w:sz w:val="16"/>
                <w:szCs w:val="16"/>
              </w:rPr>
              <w:t xml:space="preserve">                                         3.068 </w:t>
            </w:r>
          </w:p>
        </w:tc>
        <w:tc>
          <w:tcPr>
            <w:tcW w:w="0" w:type="auto"/>
            <w:tcBorders>
              <w:top w:val="nil"/>
              <w:left w:val="nil"/>
              <w:bottom w:val="single" w:sz="8" w:space="0" w:color="auto"/>
              <w:right w:val="single" w:sz="8" w:space="0" w:color="auto"/>
            </w:tcBorders>
            <w:noWrap/>
            <w:vAlign w:val="center"/>
            <w:hideMark/>
          </w:tcPr>
          <w:p w14:paraId="160B5D36" w14:textId="77777777" w:rsidR="003914D2" w:rsidRDefault="003914D2">
            <w:pPr>
              <w:jc w:val="right"/>
              <w:rPr>
                <w:rFonts w:ascii="Arial" w:hAnsi="Arial" w:cs="Arial"/>
                <w:color w:val="000000"/>
                <w:sz w:val="16"/>
                <w:szCs w:val="16"/>
              </w:rPr>
            </w:pPr>
            <w:r>
              <w:rPr>
                <w:rFonts w:ascii="Arial" w:hAnsi="Arial" w:cs="Arial"/>
                <w:sz w:val="16"/>
                <w:szCs w:val="16"/>
              </w:rPr>
              <w:t xml:space="preserve">                          2.520 </w:t>
            </w:r>
          </w:p>
        </w:tc>
        <w:tc>
          <w:tcPr>
            <w:tcW w:w="0" w:type="auto"/>
            <w:tcBorders>
              <w:top w:val="nil"/>
              <w:left w:val="nil"/>
              <w:bottom w:val="single" w:sz="8" w:space="0" w:color="auto"/>
              <w:right w:val="single" w:sz="8" w:space="0" w:color="auto"/>
            </w:tcBorders>
            <w:noWrap/>
            <w:vAlign w:val="center"/>
            <w:hideMark/>
          </w:tcPr>
          <w:p w14:paraId="4D038F99" w14:textId="77777777" w:rsidR="003914D2" w:rsidRDefault="003914D2">
            <w:pPr>
              <w:jc w:val="right"/>
              <w:rPr>
                <w:rFonts w:ascii="Arial" w:hAnsi="Arial" w:cs="Arial"/>
                <w:color w:val="000000"/>
                <w:sz w:val="16"/>
                <w:szCs w:val="16"/>
              </w:rPr>
            </w:pPr>
            <w:r>
              <w:rPr>
                <w:rFonts w:ascii="Arial" w:hAnsi="Arial" w:cs="Arial"/>
                <w:sz w:val="16"/>
                <w:szCs w:val="16"/>
              </w:rPr>
              <w:t xml:space="preserve">                                                  2.499 </w:t>
            </w:r>
          </w:p>
        </w:tc>
        <w:tc>
          <w:tcPr>
            <w:tcW w:w="0" w:type="auto"/>
            <w:tcBorders>
              <w:top w:val="nil"/>
              <w:left w:val="nil"/>
              <w:bottom w:val="single" w:sz="8" w:space="0" w:color="auto"/>
              <w:right w:val="single" w:sz="8" w:space="0" w:color="auto"/>
            </w:tcBorders>
            <w:noWrap/>
            <w:vAlign w:val="center"/>
            <w:hideMark/>
          </w:tcPr>
          <w:p w14:paraId="1CA8B627" w14:textId="77777777" w:rsidR="003914D2" w:rsidRDefault="003914D2">
            <w:pPr>
              <w:jc w:val="right"/>
              <w:rPr>
                <w:rFonts w:ascii="Arial" w:hAnsi="Arial" w:cs="Arial"/>
                <w:color w:val="000000"/>
                <w:sz w:val="16"/>
                <w:szCs w:val="16"/>
              </w:rPr>
            </w:pPr>
            <w:r>
              <w:rPr>
                <w:rFonts w:ascii="Arial" w:hAnsi="Arial" w:cs="Arial"/>
                <w:sz w:val="16"/>
                <w:szCs w:val="16"/>
              </w:rPr>
              <w:t xml:space="preserve">                                                   978 </w:t>
            </w:r>
          </w:p>
        </w:tc>
        <w:tc>
          <w:tcPr>
            <w:tcW w:w="0" w:type="auto"/>
            <w:tcBorders>
              <w:top w:val="nil"/>
              <w:left w:val="nil"/>
              <w:bottom w:val="single" w:sz="8" w:space="0" w:color="auto"/>
              <w:right w:val="single" w:sz="8" w:space="0" w:color="auto"/>
            </w:tcBorders>
            <w:noWrap/>
            <w:vAlign w:val="center"/>
            <w:hideMark/>
          </w:tcPr>
          <w:p w14:paraId="0F60BA48" w14:textId="77777777" w:rsidR="003914D2" w:rsidRDefault="003914D2">
            <w:pPr>
              <w:jc w:val="right"/>
              <w:rPr>
                <w:rFonts w:ascii="Arial" w:hAnsi="Arial" w:cs="Arial"/>
                <w:color w:val="000000"/>
                <w:sz w:val="16"/>
                <w:szCs w:val="16"/>
              </w:rPr>
            </w:pPr>
            <w:r>
              <w:rPr>
                <w:rFonts w:ascii="Arial" w:hAnsi="Arial" w:cs="Arial"/>
                <w:sz w:val="16"/>
                <w:szCs w:val="16"/>
              </w:rPr>
              <w:t xml:space="preserve">                                           783 </w:t>
            </w:r>
          </w:p>
        </w:tc>
      </w:tr>
      <w:tr w:rsidR="003914D2" w14:paraId="3EE4F450" w14:textId="77777777" w:rsidTr="00803CC6">
        <w:trPr>
          <w:trHeight w:val="437"/>
        </w:trPr>
        <w:tc>
          <w:tcPr>
            <w:tcW w:w="0" w:type="auto"/>
            <w:tcBorders>
              <w:top w:val="nil"/>
              <w:left w:val="single" w:sz="8" w:space="0" w:color="auto"/>
              <w:bottom w:val="single" w:sz="8" w:space="0" w:color="auto"/>
              <w:right w:val="single" w:sz="8" w:space="0" w:color="auto"/>
            </w:tcBorders>
            <w:shd w:val="clear" w:color="auto" w:fill="4F81BD" w:themeFill="accent1"/>
            <w:vAlign w:val="center"/>
            <w:hideMark/>
          </w:tcPr>
          <w:p w14:paraId="32236427" w14:textId="77777777" w:rsidR="003914D2" w:rsidRDefault="003914D2">
            <w:pPr>
              <w:rPr>
                <w:rFonts w:ascii="Arial" w:hAnsi="Arial" w:cs="Arial"/>
                <w:b/>
                <w:bCs/>
                <w:color w:val="000000"/>
                <w:sz w:val="16"/>
                <w:szCs w:val="16"/>
              </w:rPr>
            </w:pPr>
            <w:r>
              <w:rPr>
                <w:rFonts w:ascii="Arial" w:hAnsi="Arial" w:cs="Arial"/>
                <w:b/>
                <w:bCs/>
                <w:sz w:val="16"/>
                <w:szCs w:val="16"/>
              </w:rPr>
              <w:t>Total, Adquisición de Bienes y Servicios</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2C600D7" w14:textId="77777777" w:rsidR="003914D2" w:rsidRDefault="003914D2">
            <w:pPr>
              <w:jc w:val="right"/>
              <w:rPr>
                <w:rFonts w:ascii="Arial" w:hAnsi="Arial" w:cs="Arial"/>
                <w:b/>
                <w:bCs/>
                <w:color w:val="000000"/>
                <w:sz w:val="16"/>
                <w:szCs w:val="16"/>
              </w:rPr>
            </w:pPr>
            <w:r>
              <w:rPr>
                <w:rFonts w:ascii="Arial" w:hAnsi="Arial" w:cs="Arial"/>
                <w:b/>
                <w:bCs/>
                <w:sz w:val="16"/>
                <w:szCs w:val="16"/>
              </w:rPr>
              <w:t>7.641</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511AF552" w14:textId="77777777" w:rsidR="003914D2" w:rsidRDefault="003914D2">
            <w:pPr>
              <w:jc w:val="right"/>
              <w:rPr>
                <w:rFonts w:ascii="Arial" w:hAnsi="Arial" w:cs="Arial"/>
                <w:b/>
                <w:bCs/>
                <w:color w:val="000000"/>
                <w:sz w:val="16"/>
                <w:szCs w:val="16"/>
              </w:rPr>
            </w:pPr>
            <w:r>
              <w:rPr>
                <w:rFonts w:ascii="Arial" w:hAnsi="Arial" w:cs="Arial"/>
                <w:b/>
                <w:bCs/>
                <w:sz w:val="16"/>
                <w:szCs w:val="16"/>
              </w:rPr>
              <w:t>6.466</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24233FE" w14:textId="77777777" w:rsidR="003914D2" w:rsidRDefault="003914D2">
            <w:pPr>
              <w:jc w:val="right"/>
              <w:rPr>
                <w:rFonts w:ascii="Arial" w:hAnsi="Arial" w:cs="Arial"/>
                <w:b/>
                <w:bCs/>
                <w:color w:val="000000"/>
                <w:sz w:val="16"/>
                <w:szCs w:val="16"/>
              </w:rPr>
            </w:pPr>
            <w:r>
              <w:rPr>
                <w:rFonts w:ascii="Arial" w:hAnsi="Arial" w:cs="Arial"/>
                <w:b/>
                <w:bCs/>
                <w:sz w:val="16"/>
                <w:szCs w:val="16"/>
              </w:rPr>
              <w:t>4.562</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0D14BA7" w14:textId="77777777" w:rsidR="003914D2" w:rsidRDefault="003914D2">
            <w:pPr>
              <w:jc w:val="right"/>
              <w:rPr>
                <w:rFonts w:ascii="Arial" w:hAnsi="Arial" w:cs="Arial"/>
                <w:b/>
                <w:bCs/>
                <w:color w:val="000000"/>
                <w:sz w:val="16"/>
                <w:szCs w:val="16"/>
              </w:rPr>
            </w:pPr>
            <w:r>
              <w:rPr>
                <w:rFonts w:ascii="Arial" w:hAnsi="Arial" w:cs="Arial"/>
                <w:b/>
                <w:bCs/>
                <w:sz w:val="16"/>
                <w:szCs w:val="16"/>
              </w:rPr>
              <w:t>1.954</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484FF7DF" w14:textId="77777777" w:rsidR="003914D2" w:rsidRDefault="003914D2">
            <w:pPr>
              <w:jc w:val="right"/>
              <w:rPr>
                <w:rFonts w:ascii="Arial" w:hAnsi="Arial" w:cs="Arial"/>
                <w:b/>
                <w:bCs/>
                <w:color w:val="000000"/>
                <w:sz w:val="16"/>
                <w:szCs w:val="16"/>
              </w:rPr>
            </w:pPr>
            <w:r>
              <w:rPr>
                <w:rFonts w:ascii="Arial" w:hAnsi="Arial" w:cs="Arial"/>
                <w:b/>
                <w:bCs/>
                <w:sz w:val="16"/>
                <w:szCs w:val="16"/>
              </w:rPr>
              <w:t>1.754</w:t>
            </w:r>
          </w:p>
        </w:tc>
      </w:tr>
      <w:tr w:rsidR="003914D2" w14:paraId="7D23DD06" w14:textId="77777777" w:rsidTr="00803CC6">
        <w:trPr>
          <w:trHeight w:val="296"/>
        </w:trPr>
        <w:tc>
          <w:tcPr>
            <w:tcW w:w="0" w:type="auto"/>
            <w:gridSpan w:val="2"/>
            <w:tcBorders>
              <w:top w:val="single" w:sz="8" w:space="0" w:color="auto"/>
              <w:left w:val="single" w:sz="8" w:space="0" w:color="auto"/>
              <w:bottom w:val="single" w:sz="8" w:space="0" w:color="auto"/>
              <w:right w:val="single" w:sz="8" w:space="0" w:color="000000"/>
            </w:tcBorders>
            <w:shd w:val="clear" w:color="auto" w:fill="4F81BD" w:themeFill="accent1"/>
            <w:vAlign w:val="center"/>
            <w:hideMark/>
          </w:tcPr>
          <w:p w14:paraId="707D73C8" w14:textId="77777777" w:rsidR="003914D2" w:rsidRDefault="003914D2">
            <w:pPr>
              <w:rPr>
                <w:rFonts w:ascii="Arial" w:hAnsi="Arial" w:cs="Arial"/>
                <w:b/>
                <w:bCs/>
                <w:color w:val="000000"/>
                <w:sz w:val="16"/>
                <w:szCs w:val="16"/>
              </w:rPr>
            </w:pPr>
            <w:r>
              <w:rPr>
                <w:rFonts w:ascii="Arial" w:hAnsi="Arial" w:cs="Arial"/>
                <w:b/>
                <w:bCs/>
                <w:sz w:val="16"/>
                <w:szCs w:val="16"/>
              </w:rPr>
              <w:t>% de Ejecución</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7CFADE1" w14:textId="77777777" w:rsidR="003914D2" w:rsidRDefault="003914D2">
            <w:pPr>
              <w:jc w:val="right"/>
              <w:rPr>
                <w:rFonts w:ascii="Arial" w:hAnsi="Arial" w:cs="Arial"/>
                <w:b/>
                <w:bCs/>
                <w:color w:val="000000"/>
                <w:sz w:val="16"/>
                <w:szCs w:val="16"/>
              </w:rPr>
            </w:pPr>
            <w:r>
              <w:rPr>
                <w:rFonts w:ascii="Arial" w:hAnsi="Arial" w:cs="Arial"/>
                <w:b/>
                <w:bCs/>
                <w:sz w:val="16"/>
                <w:szCs w:val="16"/>
              </w:rPr>
              <w:t>85%</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154E4BB6" w14:textId="77777777" w:rsidR="003914D2" w:rsidRDefault="003914D2">
            <w:pPr>
              <w:jc w:val="right"/>
              <w:rPr>
                <w:rFonts w:ascii="Arial" w:hAnsi="Arial" w:cs="Arial"/>
                <w:b/>
                <w:bCs/>
                <w:color w:val="000000"/>
                <w:sz w:val="16"/>
                <w:szCs w:val="16"/>
              </w:rPr>
            </w:pPr>
            <w:r>
              <w:rPr>
                <w:rFonts w:ascii="Arial" w:hAnsi="Arial" w:cs="Arial"/>
                <w:b/>
                <w:bCs/>
                <w:sz w:val="16"/>
                <w:szCs w:val="16"/>
              </w:rPr>
              <w:t>60%</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77BB36B7" w14:textId="77777777" w:rsidR="003914D2" w:rsidRDefault="003914D2">
            <w:pPr>
              <w:jc w:val="right"/>
              <w:rPr>
                <w:rFonts w:ascii="Arial" w:hAnsi="Arial" w:cs="Arial"/>
                <w:b/>
                <w:bCs/>
                <w:color w:val="000000"/>
                <w:sz w:val="16"/>
                <w:szCs w:val="16"/>
              </w:rPr>
            </w:pPr>
            <w:r>
              <w:rPr>
                <w:rFonts w:ascii="Arial" w:hAnsi="Arial" w:cs="Arial"/>
                <w:b/>
                <w:bCs/>
                <w:sz w:val="16"/>
                <w:szCs w:val="16"/>
              </w:rPr>
              <w:t>26%</w:t>
            </w:r>
          </w:p>
        </w:tc>
        <w:tc>
          <w:tcPr>
            <w:tcW w:w="0" w:type="auto"/>
            <w:tcBorders>
              <w:top w:val="nil"/>
              <w:left w:val="nil"/>
              <w:bottom w:val="single" w:sz="8" w:space="0" w:color="auto"/>
              <w:right w:val="single" w:sz="8" w:space="0" w:color="auto"/>
            </w:tcBorders>
            <w:shd w:val="clear" w:color="auto" w:fill="4F81BD" w:themeFill="accent1"/>
            <w:noWrap/>
            <w:vAlign w:val="center"/>
            <w:hideMark/>
          </w:tcPr>
          <w:p w14:paraId="642F141F" w14:textId="77777777" w:rsidR="003914D2" w:rsidRDefault="003914D2">
            <w:pPr>
              <w:jc w:val="right"/>
              <w:rPr>
                <w:rFonts w:ascii="Arial" w:hAnsi="Arial" w:cs="Arial"/>
                <w:b/>
                <w:bCs/>
                <w:color w:val="000000"/>
                <w:sz w:val="16"/>
                <w:szCs w:val="16"/>
              </w:rPr>
            </w:pPr>
            <w:r>
              <w:rPr>
                <w:rFonts w:ascii="Arial" w:hAnsi="Arial" w:cs="Arial"/>
                <w:b/>
                <w:bCs/>
                <w:sz w:val="16"/>
                <w:szCs w:val="16"/>
              </w:rPr>
              <w:t>23%</w:t>
            </w:r>
          </w:p>
        </w:tc>
      </w:tr>
    </w:tbl>
    <w:p w14:paraId="409863CE" w14:textId="63E3215E" w:rsidR="00C02282" w:rsidRPr="003914D2" w:rsidRDefault="003914D2" w:rsidP="00C02282">
      <w:pPr>
        <w:spacing w:after="0" w:line="240" w:lineRule="auto"/>
        <w:jc w:val="center"/>
        <w:rPr>
          <w:rFonts w:ascii="Arial" w:eastAsia="Calibri" w:hAnsi="Arial" w:cs="Arial"/>
          <w:sz w:val="16"/>
          <w:szCs w:val="16"/>
        </w:rPr>
      </w:pPr>
      <w:r w:rsidRPr="003914D2">
        <w:rPr>
          <w:rFonts w:ascii="Arial" w:hAnsi="Arial" w:cs="Arial"/>
          <w:sz w:val="16"/>
          <w:szCs w:val="16"/>
          <w:lang w:eastAsia="es-ES"/>
        </w:rPr>
        <w:lastRenderedPageBreak/>
        <w:t xml:space="preserve"> </w:t>
      </w:r>
      <w:r w:rsidR="00C02282" w:rsidRPr="003914D2">
        <w:rPr>
          <w:rFonts w:ascii="Arial" w:hAnsi="Arial" w:cs="Arial"/>
          <w:sz w:val="16"/>
          <w:szCs w:val="16"/>
          <w:lang w:eastAsia="es-ES"/>
        </w:rPr>
        <w:t>Millones de pesos</w:t>
      </w:r>
    </w:p>
    <w:p w14:paraId="31399B25" w14:textId="77777777" w:rsidR="00C02282" w:rsidRPr="003914D2" w:rsidRDefault="00C02282" w:rsidP="00C02282">
      <w:pPr>
        <w:jc w:val="center"/>
        <w:rPr>
          <w:rFonts w:ascii="Arial" w:hAnsi="Arial" w:cs="Arial"/>
          <w:bCs/>
          <w:lang w:val="es-MX" w:eastAsia="es-ES"/>
        </w:rPr>
      </w:pPr>
      <w:r w:rsidRPr="003914D2">
        <w:rPr>
          <w:rFonts w:ascii="Calibri" w:hAnsi="Calibri" w:cs="Calibri"/>
          <w:sz w:val="18"/>
          <w:szCs w:val="18"/>
        </w:rPr>
        <w:t>Fuente SIIF</w:t>
      </w:r>
    </w:p>
    <w:p w14:paraId="412C8C0E" w14:textId="77777777" w:rsidR="003914D2" w:rsidRDefault="003914D2" w:rsidP="003914D2">
      <w:pPr>
        <w:jc w:val="both"/>
        <w:rPr>
          <w:rFonts w:ascii="Arial" w:hAnsi="Arial" w:cs="Arial"/>
          <w:bCs/>
          <w:lang w:val="es-MX" w:eastAsia="es-ES"/>
        </w:rPr>
      </w:pPr>
      <w:r>
        <w:rPr>
          <w:rFonts w:ascii="Arial" w:hAnsi="Arial" w:cs="Arial"/>
          <w:bCs/>
          <w:lang w:val="es-MX" w:eastAsia="es-ES"/>
        </w:rPr>
        <w:t>Con relación a las obligaciones los rubros que tienen mayor representación por este concepto dentro de los gastos de Adquisición de Bienes y Servicios son: otros gastos por adquisición de servicios, servicios públicos, capacitación, seguros y Mantenimiento.</w:t>
      </w:r>
    </w:p>
    <w:p w14:paraId="7E87DEA9" w14:textId="6505DE0F" w:rsidR="00C02282" w:rsidRPr="003914D2" w:rsidRDefault="003914D2" w:rsidP="003914D2">
      <w:pPr>
        <w:jc w:val="both"/>
        <w:rPr>
          <w:rFonts w:ascii="Arial" w:hAnsi="Arial" w:cs="Arial"/>
          <w:b/>
          <w:lang w:val="es-ES" w:eastAsia="es-ES"/>
        </w:rPr>
      </w:pPr>
      <w:r w:rsidRPr="003914D2">
        <w:rPr>
          <w:rFonts w:ascii="Arial" w:hAnsi="Arial" w:cs="Arial"/>
          <w:b/>
          <w:lang w:val="es-ES" w:eastAsia="es-ES"/>
        </w:rPr>
        <w:t xml:space="preserve"> </w:t>
      </w:r>
      <w:r w:rsidR="00C02282" w:rsidRPr="003914D2">
        <w:rPr>
          <w:rFonts w:ascii="Arial" w:hAnsi="Arial" w:cs="Arial"/>
          <w:b/>
          <w:lang w:val="es-ES" w:eastAsia="es-ES"/>
        </w:rPr>
        <w:t xml:space="preserve">Oficina Asesora Jurídica - </w:t>
      </w:r>
      <w:r w:rsidR="00C02282" w:rsidRPr="003914D2">
        <w:rPr>
          <w:rFonts w:ascii="Arial" w:hAnsi="Arial" w:cs="Arial"/>
          <w:b/>
          <w:bCs/>
          <w:lang w:val="es-MX" w:eastAsia="es-ES"/>
        </w:rPr>
        <w:t>Vicepresidencia Administrativa y Financiera:</w:t>
      </w:r>
    </w:p>
    <w:p w14:paraId="3D056C97" w14:textId="77777777" w:rsidR="003914D2" w:rsidRPr="003914D2" w:rsidRDefault="003914D2" w:rsidP="003914D2">
      <w:pPr>
        <w:jc w:val="both"/>
        <w:rPr>
          <w:rFonts w:ascii="Arial" w:hAnsi="Arial" w:cs="Arial"/>
          <w:bCs/>
          <w:lang w:val="es-MX" w:eastAsia="es-ES"/>
        </w:rPr>
      </w:pPr>
      <w:r w:rsidRPr="003914D2">
        <w:rPr>
          <w:rFonts w:ascii="Arial" w:hAnsi="Arial" w:cs="Arial"/>
          <w:bCs/>
          <w:lang w:val="es-MX" w:eastAsia="es-ES"/>
        </w:rPr>
        <w:t>Durante el segundo trimestre, se suscribió un contrato por concepto de impresos y publicaciones en la Oficina Asesora Jurídica.</w:t>
      </w:r>
    </w:p>
    <w:p w14:paraId="7214D2D4" w14:textId="6B7B164C" w:rsidR="00C02282" w:rsidRPr="003914D2" w:rsidRDefault="003914D2" w:rsidP="003914D2">
      <w:pPr>
        <w:pStyle w:val="Descripcin"/>
        <w:keepNext/>
        <w:jc w:val="center"/>
      </w:pPr>
      <w:r w:rsidRPr="003914D2">
        <w:t xml:space="preserve"> </w:t>
      </w:r>
      <w:bookmarkStart w:id="133" w:name="_Toc525652504"/>
      <w:r w:rsidR="00C02282" w:rsidRPr="003914D2">
        <w:t xml:space="preserve">Tabla </w:t>
      </w:r>
      <w:r w:rsidR="00C02282" w:rsidRPr="003914D2">
        <w:fldChar w:fldCharType="begin"/>
      </w:r>
      <w:r w:rsidR="00C02282" w:rsidRPr="003914D2">
        <w:instrText xml:space="preserve"> SEQ Tabla \* ARABIC </w:instrText>
      </w:r>
      <w:r w:rsidR="00C02282" w:rsidRPr="003914D2">
        <w:fldChar w:fldCharType="separate"/>
      </w:r>
      <w:r w:rsidR="008B4625">
        <w:rPr>
          <w:noProof/>
        </w:rPr>
        <w:t>59</w:t>
      </w:r>
      <w:r w:rsidR="00C02282" w:rsidRPr="003914D2">
        <w:fldChar w:fldCharType="end"/>
      </w:r>
      <w:r w:rsidR="00C02282" w:rsidRPr="003914D2">
        <w:t>Ejecución Gastos Generale</w:t>
      </w:r>
      <w:r w:rsidRPr="003914D2">
        <w:t xml:space="preserve">s –Oficina Asesora Jurídica- 30 de junio de </w:t>
      </w:r>
      <w:r w:rsidR="00C02282" w:rsidRPr="003914D2">
        <w:t xml:space="preserve"> 2018 ANH</w:t>
      </w:r>
      <w:bookmarkEnd w:id="133"/>
    </w:p>
    <w:tbl>
      <w:tblPr>
        <w:tblW w:w="9520" w:type="dxa"/>
        <w:jc w:val="center"/>
        <w:tblCellMar>
          <w:left w:w="70" w:type="dxa"/>
          <w:right w:w="70" w:type="dxa"/>
        </w:tblCellMar>
        <w:tblLook w:val="04A0" w:firstRow="1" w:lastRow="0" w:firstColumn="1" w:lastColumn="0" w:noHBand="0" w:noVBand="1"/>
      </w:tblPr>
      <w:tblGrid>
        <w:gridCol w:w="2239"/>
        <w:gridCol w:w="1440"/>
        <w:gridCol w:w="1565"/>
        <w:gridCol w:w="1560"/>
        <w:gridCol w:w="1417"/>
        <w:gridCol w:w="1299"/>
      </w:tblGrid>
      <w:tr w:rsidR="00123CD8" w14:paraId="4351CC35" w14:textId="77777777" w:rsidTr="00123CD8">
        <w:trPr>
          <w:trHeight w:val="533"/>
          <w:jc w:val="center"/>
        </w:trPr>
        <w:tc>
          <w:tcPr>
            <w:tcW w:w="2239"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00EEF20F" w14:textId="77777777" w:rsidR="00123CD8" w:rsidRDefault="00123CD8">
            <w:pPr>
              <w:jc w:val="center"/>
              <w:rPr>
                <w:rFonts w:ascii="Arial" w:hAnsi="Arial" w:cs="Arial"/>
                <w:b/>
                <w:bCs/>
                <w:color w:val="000000"/>
                <w:sz w:val="16"/>
                <w:szCs w:val="16"/>
              </w:rPr>
            </w:pPr>
            <w:r>
              <w:rPr>
                <w:rFonts w:ascii="Arial" w:hAnsi="Arial" w:cs="Arial"/>
                <w:b/>
                <w:bCs/>
                <w:sz w:val="16"/>
                <w:szCs w:val="16"/>
              </w:rPr>
              <w:t>Descripción</w:t>
            </w:r>
          </w:p>
        </w:tc>
        <w:tc>
          <w:tcPr>
            <w:tcW w:w="1440" w:type="dxa"/>
            <w:tcBorders>
              <w:top w:val="single" w:sz="4" w:space="0" w:color="auto"/>
              <w:left w:val="nil"/>
              <w:bottom w:val="single" w:sz="4" w:space="0" w:color="auto"/>
              <w:right w:val="single" w:sz="4" w:space="0" w:color="auto"/>
            </w:tcBorders>
            <w:shd w:val="clear" w:color="auto" w:fill="4F81BD" w:themeFill="accent1"/>
            <w:noWrap/>
            <w:hideMark/>
          </w:tcPr>
          <w:p w14:paraId="69C8D38F"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Apropiación </w:t>
            </w:r>
          </w:p>
        </w:tc>
        <w:tc>
          <w:tcPr>
            <w:tcW w:w="1565" w:type="dxa"/>
            <w:tcBorders>
              <w:top w:val="single" w:sz="4" w:space="0" w:color="auto"/>
              <w:left w:val="nil"/>
              <w:bottom w:val="single" w:sz="4" w:space="0" w:color="auto"/>
              <w:right w:val="single" w:sz="4" w:space="0" w:color="auto"/>
            </w:tcBorders>
            <w:shd w:val="clear" w:color="auto" w:fill="4F81BD" w:themeFill="accent1"/>
            <w:noWrap/>
            <w:hideMark/>
          </w:tcPr>
          <w:p w14:paraId="5868F1EF"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560" w:type="dxa"/>
            <w:tcBorders>
              <w:top w:val="single" w:sz="4" w:space="0" w:color="auto"/>
              <w:left w:val="nil"/>
              <w:bottom w:val="single" w:sz="4" w:space="0" w:color="auto"/>
              <w:right w:val="single" w:sz="4" w:space="0" w:color="auto"/>
            </w:tcBorders>
            <w:shd w:val="clear" w:color="auto" w:fill="4F81BD" w:themeFill="accent1"/>
            <w:noWrap/>
            <w:hideMark/>
          </w:tcPr>
          <w:p w14:paraId="4D165316" w14:textId="77777777" w:rsidR="00123CD8" w:rsidRDefault="00123CD8">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417" w:type="dxa"/>
            <w:tcBorders>
              <w:top w:val="single" w:sz="4" w:space="0" w:color="auto"/>
              <w:left w:val="nil"/>
              <w:bottom w:val="single" w:sz="4" w:space="0" w:color="auto"/>
              <w:right w:val="single" w:sz="4" w:space="0" w:color="auto"/>
            </w:tcBorders>
            <w:shd w:val="clear" w:color="auto" w:fill="4F81BD" w:themeFill="accent1"/>
            <w:noWrap/>
            <w:hideMark/>
          </w:tcPr>
          <w:p w14:paraId="6C7E5718" w14:textId="77777777" w:rsidR="00123CD8" w:rsidRDefault="00123CD8">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299" w:type="dxa"/>
            <w:tcBorders>
              <w:top w:val="single" w:sz="4" w:space="0" w:color="auto"/>
              <w:left w:val="nil"/>
              <w:bottom w:val="single" w:sz="4" w:space="0" w:color="auto"/>
              <w:right w:val="single" w:sz="4" w:space="0" w:color="auto"/>
            </w:tcBorders>
            <w:shd w:val="clear" w:color="auto" w:fill="4F81BD" w:themeFill="accent1"/>
            <w:noWrap/>
            <w:hideMark/>
          </w:tcPr>
          <w:p w14:paraId="45E02755" w14:textId="77777777" w:rsidR="00123CD8" w:rsidRDefault="00123CD8">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123CD8" w14:paraId="7AFF6ABB" w14:textId="77777777" w:rsidTr="00123CD8">
        <w:trPr>
          <w:trHeight w:val="300"/>
          <w:jc w:val="center"/>
        </w:trPr>
        <w:tc>
          <w:tcPr>
            <w:tcW w:w="2239" w:type="dxa"/>
            <w:tcBorders>
              <w:top w:val="nil"/>
              <w:left w:val="single" w:sz="4" w:space="0" w:color="auto"/>
              <w:bottom w:val="nil"/>
              <w:right w:val="single" w:sz="4" w:space="0" w:color="auto"/>
            </w:tcBorders>
            <w:noWrap/>
            <w:vAlign w:val="bottom"/>
            <w:hideMark/>
          </w:tcPr>
          <w:p w14:paraId="3413EF69" w14:textId="77777777" w:rsidR="00123CD8" w:rsidRDefault="00123CD8">
            <w:pPr>
              <w:rPr>
                <w:rFonts w:ascii="Calibri" w:hAnsi="Calibri" w:cs="Times New Roman"/>
                <w:color w:val="000000"/>
                <w:sz w:val="19"/>
                <w:szCs w:val="19"/>
              </w:rPr>
            </w:pPr>
          </w:p>
        </w:tc>
        <w:tc>
          <w:tcPr>
            <w:tcW w:w="1440" w:type="dxa"/>
            <w:tcBorders>
              <w:top w:val="nil"/>
              <w:left w:val="nil"/>
              <w:bottom w:val="nil"/>
              <w:right w:val="single" w:sz="4" w:space="0" w:color="auto"/>
            </w:tcBorders>
            <w:noWrap/>
            <w:vAlign w:val="bottom"/>
            <w:hideMark/>
          </w:tcPr>
          <w:p w14:paraId="7BD46708" w14:textId="77777777" w:rsidR="00123CD8" w:rsidRDefault="00123CD8">
            <w:pPr>
              <w:jc w:val="center"/>
              <w:rPr>
                <w:rFonts w:ascii="Arial" w:hAnsi="Arial" w:cs="Arial"/>
                <w:b/>
                <w:bCs/>
                <w:color w:val="000000"/>
                <w:sz w:val="16"/>
                <w:szCs w:val="16"/>
              </w:rPr>
            </w:pPr>
            <w:r>
              <w:rPr>
                <w:rFonts w:ascii="Arial" w:hAnsi="Arial" w:cs="Arial"/>
                <w:b/>
                <w:bCs/>
                <w:sz w:val="16"/>
                <w:szCs w:val="16"/>
              </w:rPr>
              <w:t> </w:t>
            </w:r>
          </w:p>
        </w:tc>
        <w:tc>
          <w:tcPr>
            <w:tcW w:w="1565" w:type="dxa"/>
            <w:tcBorders>
              <w:top w:val="nil"/>
              <w:left w:val="nil"/>
              <w:bottom w:val="nil"/>
              <w:right w:val="single" w:sz="4" w:space="0" w:color="auto"/>
            </w:tcBorders>
            <w:noWrap/>
            <w:vAlign w:val="bottom"/>
            <w:hideMark/>
          </w:tcPr>
          <w:p w14:paraId="1E81A095" w14:textId="77777777" w:rsidR="00123CD8" w:rsidRDefault="00123CD8">
            <w:pPr>
              <w:jc w:val="center"/>
              <w:rPr>
                <w:rFonts w:ascii="Arial" w:hAnsi="Arial" w:cs="Arial"/>
                <w:b/>
                <w:bCs/>
                <w:color w:val="000000"/>
                <w:sz w:val="16"/>
                <w:szCs w:val="16"/>
              </w:rPr>
            </w:pPr>
            <w:r>
              <w:rPr>
                <w:rFonts w:ascii="Arial" w:hAnsi="Arial" w:cs="Arial"/>
                <w:b/>
                <w:bCs/>
                <w:sz w:val="16"/>
                <w:szCs w:val="16"/>
              </w:rPr>
              <w:t> </w:t>
            </w:r>
          </w:p>
        </w:tc>
        <w:tc>
          <w:tcPr>
            <w:tcW w:w="1560" w:type="dxa"/>
            <w:tcBorders>
              <w:top w:val="nil"/>
              <w:left w:val="nil"/>
              <w:bottom w:val="nil"/>
              <w:right w:val="single" w:sz="4" w:space="0" w:color="auto"/>
            </w:tcBorders>
            <w:noWrap/>
            <w:vAlign w:val="bottom"/>
            <w:hideMark/>
          </w:tcPr>
          <w:p w14:paraId="6DFA4593" w14:textId="77777777" w:rsidR="00123CD8" w:rsidRDefault="00123CD8">
            <w:pPr>
              <w:jc w:val="center"/>
              <w:rPr>
                <w:rFonts w:ascii="Arial" w:hAnsi="Arial" w:cs="Arial"/>
                <w:b/>
                <w:bCs/>
                <w:color w:val="000000"/>
                <w:sz w:val="16"/>
                <w:szCs w:val="16"/>
              </w:rPr>
            </w:pPr>
            <w:r>
              <w:rPr>
                <w:rFonts w:ascii="Arial" w:hAnsi="Arial" w:cs="Arial"/>
                <w:b/>
                <w:bCs/>
                <w:sz w:val="16"/>
                <w:szCs w:val="16"/>
              </w:rPr>
              <w:t> </w:t>
            </w:r>
          </w:p>
        </w:tc>
        <w:tc>
          <w:tcPr>
            <w:tcW w:w="1417" w:type="dxa"/>
            <w:tcBorders>
              <w:top w:val="nil"/>
              <w:left w:val="nil"/>
              <w:bottom w:val="nil"/>
              <w:right w:val="single" w:sz="4" w:space="0" w:color="auto"/>
            </w:tcBorders>
            <w:noWrap/>
            <w:vAlign w:val="bottom"/>
            <w:hideMark/>
          </w:tcPr>
          <w:p w14:paraId="354C0340" w14:textId="77777777" w:rsidR="00123CD8" w:rsidRDefault="00123CD8">
            <w:pPr>
              <w:jc w:val="center"/>
              <w:rPr>
                <w:rFonts w:ascii="Arial" w:hAnsi="Arial" w:cs="Arial"/>
                <w:b/>
                <w:bCs/>
                <w:color w:val="000000"/>
                <w:sz w:val="16"/>
                <w:szCs w:val="16"/>
              </w:rPr>
            </w:pPr>
            <w:r>
              <w:rPr>
                <w:rFonts w:ascii="Arial" w:hAnsi="Arial" w:cs="Arial"/>
                <w:b/>
                <w:bCs/>
                <w:sz w:val="16"/>
                <w:szCs w:val="16"/>
              </w:rPr>
              <w:t> </w:t>
            </w:r>
          </w:p>
        </w:tc>
        <w:tc>
          <w:tcPr>
            <w:tcW w:w="1299" w:type="dxa"/>
            <w:tcBorders>
              <w:top w:val="nil"/>
              <w:left w:val="nil"/>
              <w:bottom w:val="nil"/>
              <w:right w:val="single" w:sz="4" w:space="0" w:color="auto"/>
            </w:tcBorders>
            <w:noWrap/>
            <w:vAlign w:val="bottom"/>
            <w:hideMark/>
          </w:tcPr>
          <w:p w14:paraId="402588D7" w14:textId="77777777" w:rsidR="00123CD8" w:rsidRDefault="00123CD8">
            <w:pPr>
              <w:jc w:val="center"/>
              <w:rPr>
                <w:rFonts w:ascii="Arial" w:hAnsi="Arial" w:cs="Arial"/>
                <w:b/>
                <w:bCs/>
                <w:color w:val="000000"/>
                <w:sz w:val="16"/>
                <w:szCs w:val="16"/>
              </w:rPr>
            </w:pPr>
            <w:r>
              <w:rPr>
                <w:rFonts w:ascii="Arial" w:hAnsi="Arial" w:cs="Arial"/>
                <w:b/>
                <w:bCs/>
                <w:sz w:val="16"/>
                <w:szCs w:val="16"/>
              </w:rPr>
              <w:t> </w:t>
            </w:r>
          </w:p>
        </w:tc>
      </w:tr>
      <w:tr w:rsidR="00123CD8" w14:paraId="457EFFC6" w14:textId="77777777" w:rsidTr="00123CD8">
        <w:trPr>
          <w:trHeight w:val="161"/>
          <w:jc w:val="center"/>
        </w:trPr>
        <w:tc>
          <w:tcPr>
            <w:tcW w:w="2239" w:type="dxa"/>
            <w:tcBorders>
              <w:top w:val="nil"/>
              <w:left w:val="single" w:sz="4" w:space="0" w:color="auto"/>
              <w:bottom w:val="single" w:sz="4" w:space="0" w:color="auto"/>
              <w:right w:val="single" w:sz="4" w:space="0" w:color="auto"/>
            </w:tcBorders>
            <w:noWrap/>
            <w:vAlign w:val="bottom"/>
            <w:hideMark/>
          </w:tcPr>
          <w:p w14:paraId="33AE84D7" w14:textId="77777777" w:rsidR="00123CD8" w:rsidRDefault="00123CD8">
            <w:pPr>
              <w:rPr>
                <w:rFonts w:ascii="Arial" w:hAnsi="Arial" w:cs="Arial"/>
                <w:b/>
                <w:bCs/>
                <w:color w:val="000000"/>
                <w:sz w:val="16"/>
                <w:szCs w:val="16"/>
              </w:rPr>
            </w:pPr>
            <w:r>
              <w:rPr>
                <w:rFonts w:ascii="Arial" w:hAnsi="Arial" w:cs="Arial"/>
                <w:b/>
                <w:bCs/>
                <w:sz w:val="16"/>
                <w:szCs w:val="16"/>
              </w:rPr>
              <w:t>Gastos Generales</w:t>
            </w:r>
          </w:p>
        </w:tc>
        <w:tc>
          <w:tcPr>
            <w:tcW w:w="1440" w:type="dxa"/>
            <w:tcBorders>
              <w:top w:val="nil"/>
              <w:left w:val="nil"/>
              <w:bottom w:val="single" w:sz="4" w:space="0" w:color="auto"/>
              <w:right w:val="single" w:sz="4" w:space="0" w:color="auto"/>
            </w:tcBorders>
            <w:noWrap/>
            <w:vAlign w:val="center"/>
            <w:hideMark/>
          </w:tcPr>
          <w:p w14:paraId="492AFE27" w14:textId="77777777" w:rsidR="00123CD8" w:rsidRDefault="00123CD8">
            <w:pPr>
              <w:jc w:val="right"/>
              <w:rPr>
                <w:rFonts w:ascii="Arial" w:hAnsi="Arial" w:cs="Arial"/>
                <w:color w:val="000000"/>
                <w:sz w:val="16"/>
                <w:szCs w:val="16"/>
              </w:rPr>
            </w:pPr>
            <w:r>
              <w:rPr>
                <w:rFonts w:ascii="Arial" w:hAnsi="Arial" w:cs="Arial"/>
                <w:sz w:val="16"/>
                <w:szCs w:val="16"/>
              </w:rPr>
              <w:t>$ 41</w:t>
            </w:r>
          </w:p>
        </w:tc>
        <w:tc>
          <w:tcPr>
            <w:tcW w:w="1565" w:type="dxa"/>
            <w:tcBorders>
              <w:top w:val="nil"/>
              <w:left w:val="nil"/>
              <w:bottom w:val="single" w:sz="4" w:space="0" w:color="auto"/>
              <w:right w:val="single" w:sz="4" w:space="0" w:color="auto"/>
            </w:tcBorders>
            <w:noWrap/>
            <w:vAlign w:val="center"/>
            <w:hideMark/>
          </w:tcPr>
          <w:p w14:paraId="1164F40A" w14:textId="77777777" w:rsidR="00123CD8" w:rsidRDefault="00123CD8">
            <w:pPr>
              <w:jc w:val="right"/>
              <w:rPr>
                <w:rFonts w:ascii="Arial" w:hAnsi="Arial" w:cs="Arial"/>
                <w:color w:val="000000"/>
                <w:sz w:val="16"/>
                <w:szCs w:val="16"/>
              </w:rPr>
            </w:pPr>
            <w:r>
              <w:rPr>
                <w:rFonts w:ascii="Arial" w:hAnsi="Arial" w:cs="Arial"/>
                <w:sz w:val="16"/>
                <w:szCs w:val="16"/>
              </w:rPr>
              <w:t>$ 6</w:t>
            </w:r>
          </w:p>
        </w:tc>
        <w:tc>
          <w:tcPr>
            <w:tcW w:w="1560" w:type="dxa"/>
            <w:tcBorders>
              <w:top w:val="nil"/>
              <w:left w:val="nil"/>
              <w:bottom w:val="single" w:sz="4" w:space="0" w:color="auto"/>
              <w:right w:val="single" w:sz="4" w:space="0" w:color="auto"/>
            </w:tcBorders>
            <w:noWrap/>
            <w:vAlign w:val="center"/>
            <w:hideMark/>
          </w:tcPr>
          <w:p w14:paraId="68F2DD40" w14:textId="77777777" w:rsidR="00123CD8" w:rsidRDefault="00123CD8">
            <w:pPr>
              <w:jc w:val="right"/>
              <w:rPr>
                <w:rFonts w:ascii="Arial" w:hAnsi="Arial" w:cs="Arial"/>
                <w:color w:val="000000"/>
                <w:sz w:val="16"/>
                <w:szCs w:val="16"/>
              </w:rPr>
            </w:pPr>
            <w:r>
              <w:rPr>
                <w:rFonts w:ascii="Arial" w:hAnsi="Arial" w:cs="Arial"/>
                <w:sz w:val="16"/>
                <w:szCs w:val="16"/>
              </w:rPr>
              <w:t>$ 6</w:t>
            </w:r>
          </w:p>
        </w:tc>
        <w:tc>
          <w:tcPr>
            <w:tcW w:w="1417" w:type="dxa"/>
            <w:tcBorders>
              <w:top w:val="nil"/>
              <w:left w:val="nil"/>
              <w:bottom w:val="single" w:sz="4" w:space="0" w:color="auto"/>
              <w:right w:val="single" w:sz="4" w:space="0" w:color="auto"/>
            </w:tcBorders>
            <w:noWrap/>
            <w:vAlign w:val="center"/>
            <w:hideMark/>
          </w:tcPr>
          <w:p w14:paraId="481ED43D" w14:textId="77777777" w:rsidR="00123CD8" w:rsidRDefault="00123CD8">
            <w:pPr>
              <w:jc w:val="right"/>
              <w:rPr>
                <w:rFonts w:ascii="Arial" w:hAnsi="Arial" w:cs="Arial"/>
                <w:color w:val="000000"/>
                <w:sz w:val="16"/>
                <w:szCs w:val="16"/>
              </w:rPr>
            </w:pPr>
            <w:r>
              <w:rPr>
                <w:rFonts w:ascii="Arial" w:hAnsi="Arial" w:cs="Arial"/>
                <w:sz w:val="16"/>
                <w:szCs w:val="16"/>
              </w:rPr>
              <w:t>$ 1</w:t>
            </w:r>
          </w:p>
        </w:tc>
        <w:tc>
          <w:tcPr>
            <w:tcW w:w="1299" w:type="dxa"/>
            <w:tcBorders>
              <w:top w:val="nil"/>
              <w:left w:val="nil"/>
              <w:bottom w:val="single" w:sz="4" w:space="0" w:color="auto"/>
              <w:right w:val="single" w:sz="4" w:space="0" w:color="auto"/>
            </w:tcBorders>
            <w:noWrap/>
            <w:vAlign w:val="center"/>
            <w:hideMark/>
          </w:tcPr>
          <w:p w14:paraId="61C108E4" w14:textId="77777777" w:rsidR="00123CD8" w:rsidRDefault="00123CD8">
            <w:pPr>
              <w:jc w:val="right"/>
              <w:rPr>
                <w:rFonts w:ascii="Arial" w:hAnsi="Arial" w:cs="Arial"/>
                <w:color w:val="000000"/>
                <w:sz w:val="16"/>
                <w:szCs w:val="16"/>
              </w:rPr>
            </w:pPr>
            <w:r>
              <w:rPr>
                <w:rFonts w:ascii="Arial" w:hAnsi="Arial" w:cs="Arial"/>
                <w:sz w:val="16"/>
                <w:szCs w:val="16"/>
              </w:rPr>
              <w:t>$ 1</w:t>
            </w:r>
          </w:p>
        </w:tc>
      </w:tr>
      <w:tr w:rsidR="00123CD8" w14:paraId="35827BB2" w14:textId="77777777" w:rsidTr="00123CD8">
        <w:trPr>
          <w:trHeight w:val="300"/>
          <w:jc w:val="center"/>
        </w:trPr>
        <w:tc>
          <w:tcPr>
            <w:tcW w:w="2239" w:type="dxa"/>
            <w:tcBorders>
              <w:top w:val="single" w:sz="4" w:space="0" w:color="auto"/>
              <w:left w:val="nil"/>
              <w:bottom w:val="nil"/>
              <w:right w:val="nil"/>
            </w:tcBorders>
            <w:noWrap/>
            <w:vAlign w:val="bottom"/>
            <w:hideMark/>
          </w:tcPr>
          <w:p w14:paraId="34272CD1" w14:textId="77777777" w:rsidR="00123CD8" w:rsidRDefault="00123CD8">
            <w:pPr>
              <w:rPr>
                <w:rFonts w:ascii="Calibri" w:hAnsi="Calibri" w:cs="Times New Roman"/>
                <w:color w:val="000000"/>
                <w:sz w:val="19"/>
                <w:szCs w:val="19"/>
              </w:rPr>
            </w:pPr>
          </w:p>
        </w:tc>
        <w:tc>
          <w:tcPr>
            <w:tcW w:w="1440" w:type="dxa"/>
            <w:tcBorders>
              <w:top w:val="single" w:sz="4" w:space="0" w:color="auto"/>
              <w:left w:val="nil"/>
              <w:bottom w:val="nil"/>
              <w:right w:val="nil"/>
            </w:tcBorders>
            <w:noWrap/>
            <w:vAlign w:val="bottom"/>
            <w:hideMark/>
          </w:tcPr>
          <w:p w14:paraId="5DEF1841" w14:textId="77777777" w:rsidR="00123CD8" w:rsidRDefault="00123CD8">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388256A5" w14:textId="77777777" w:rsidR="00123CD8" w:rsidRDefault="00123CD8">
            <w:pPr>
              <w:rPr>
                <w:rFonts w:ascii="Calibri" w:hAnsi="Calibri" w:cs="Times New Roman"/>
                <w:color w:val="000000"/>
                <w:sz w:val="19"/>
                <w:szCs w:val="19"/>
              </w:rPr>
            </w:pPr>
          </w:p>
        </w:tc>
        <w:tc>
          <w:tcPr>
            <w:tcW w:w="1560" w:type="dxa"/>
            <w:tcBorders>
              <w:top w:val="single" w:sz="4" w:space="0" w:color="auto"/>
              <w:left w:val="nil"/>
              <w:bottom w:val="nil"/>
              <w:right w:val="nil"/>
            </w:tcBorders>
            <w:noWrap/>
            <w:vAlign w:val="bottom"/>
            <w:hideMark/>
          </w:tcPr>
          <w:p w14:paraId="7B42DA65" w14:textId="77777777" w:rsidR="00123CD8" w:rsidRDefault="00123CD8">
            <w:pPr>
              <w:rPr>
                <w:rFonts w:ascii="Calibri" w:hAnsi="Calibri" w:cs="Times New Roman"/>
                <w:color w:val="000000"/>
                <w:sz w:val="19"/>
                <w:szCs w:val="19"/>
              </w:rPr>
            </w:pPr>
          </w:p>
        </w:tc>
        <w:tc>
          <w:tcPr>
            <w:tcW w:w="1417" w:type="dxa"/>
            <w:tcBorders>
              <w:top w:val="single" w:sz="4" w:space="0" w:color="auto"/>
              <w:left w:val="nil"/>
              <w:bottom w:val="nil"/>
              <w:right w:val="nil"/>
            </w:tcBorders>
            <w:noWrap/>
            <w:vAlign w:val="bottom"/>
            <w:hideMark/>
          </w:tcPr>
          <w:p w14:paraId="4EC14874" w14:textId="77777777" w:rsidR="00123CD8" w:rsidRDefault="00123CD8">
            <w:pPr>
              <w:rPr>
                <w:rFonts w:ascii="Calibri" w:hAnsi="Calibri" w:cs="Times New Roman"/>
                <w:color w:val="000000"/>
                <w:sz w:val="19"/>
                <w:szCs w:val="19"/>
              </w:rPr>
            </w:pPr>
          </w:p>
        </w:tc>
        <w:tc>
          <w:tcPr>
            <w:tcW w:w="1299" w:type="dxa"/>
            <w:tcBorders>
              <w:top w:val="single" w:sz="4" w:space="0" w:color="auto"/>
              <w:left w:val="nil"/>
              <w:bottom w:val="nil"/>
              <w:right w:val="nil"/>
            </w:tcBorders>
            <w:noWrap/>
            <w:vAlign w:val="bottom"/>
            <w:hideMark/>
          </w:tcPr>
          <w:p w14:paraId="68057C67" w14:textId="77777777" w:rsidR="00123CD8" w:rsidRDefault="00123CD8">
            <w:pPr>
              <w:rPr>
                <w:rFonts w:ascii="Calibri" w:hAnsi="Calibri" w:cs="Times New Roman"/>
                <w:color w:val="000000"/>
                <w:sz w:val="19"/>
                <w:szCs w:val="19"/>
              </w:rPr>
            </w:pPr>
          </w:p>
        </w:tc>
      </w:tr>
      <w:tr w:rsidR="00123CD8" w14:paraId="40F874D2" w14:textId="77777777" w:rsidTr="00123CD8">
        <w:trPr>
          <w:trHeight w:val="300"/>
          <w:jc w:val="center"/>
        </w:trPr>
        <w:tc>
          <w:tcPr>
            <w:tcW w:w="3679"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9D0344D" w14:textId="77777777" w:rsidR="00123CD8" w:rsidRDefault="00123CD8">
            <w:pPr>
              <w:jc w:val="center"/>
              <w:rPr>
                <w:rFonts w:ascii="Arial" w:hAnsi="Arial" w:cs="Arial"/>
                <w:b/>
                <w:bCs/>
                <w:color w:val="000000"/>
                <w:sz w:val="16"/>
                <w:szCs w:val="16"/>
              </w:rPr>
            </w:pPr>
            <w:r>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373699A" w14:textId="77777777" w:rsidR="00123CD8" w:rsidRDefault="00123CD8">
            <w:pPr>
              <w:jc w:val="right"/>
              <w:rPr>
                <w:rFonts w:ascii="Arial" w:hAnsi="Arial" w:cs="Arial"/>
                <w:b/>
                <w:bCs/>
                <w:color w:val="000000"/>
                <w:sz w:val="16"/>
                <w:szCs w:val="16"/>
              </w:rPr>
            </w:pPr>
            <w:r>
              <w:rPr>
                <w:rFonts w:ascii="Arial" w:hAnsi="Arial" w:cs="Arial"/>
                <w:b/>
                <w:bCs/>
                <w:sz w:val="16"/>
                <w:szCs w:val="16"/>
              </w:rPr>
              <w:t>15%</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DA72DE9" w14:textId="77777777" w:rsidR="00123CD8" w:rsidRDefault="00123CD8">
            <w:pPr>
              <w:jc w:val="right"/>
              <w:rPr>
                <w:rFonts w:ascii="Arial" w:hAnsi="Arial" w:cs="Arial"/>
                <w:b/>
                <w:bCs/>
                <w:color w:val="000000"/>
                <w:sz w:val="16"/>
                <w:szCs w:val="16"/>
              </w:rPr>
            </w:pPr>
            <w:r>
              <w:rPr>
                <w:rFonts w:ascii="Arial" w:hAnsi="Arial" w:cs="Arial"/>
                <w:b/>
                <w:bCs/>
                <w:sz w:val="16"/>
                <w:szCs w:val="16"/>
              </w:rPr>
              <w:t>15%</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1990BF4" w14:textId="77777777" w:rsidR="00123CD8" w:rsidRDefault="00123CD8">
            <w:pPr>
              <w:jc w:val="right"/>
              <w:rPr>
                <w:rFonts w:ascii="Arial" w:hAnsi="Arial" w:cs="Arial"/>
                <w:b/>
                <w:bCs/>
                <w:color w:val="000000"/>
                <w:sz w:val="16"/>
                <w:szCs w:val="16"/>
              </w:rPr>
            </w:pPr>
            <w:r>
              <w:rPr>
                <w:rFonts w:ascii="Arial" w:hAnsi="Arial" w:cs="Arial"/>
                <w:b/>
                <w:bCs/>
                <w:sz w:val="16"/>
                <w:szCs w:val="16"/>
              </w:rPr>
              <w:t>2%</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76C4DFB" w14:textId="77777777" w:rsidR="00123CD8" w:rsidRDefault="00123CD8">
            <w:pPr>
              <w:jc w:val="right"/>
              <w:rPr>
                <w:rFonts w:ascii="Arial" w:hAnsi="Arial" w:cs="Arial"/>
                <w:b/>
                <w:bCs/>
                <w:color w:val="000000"/>
                <w:sz w:val="16"/>
                <w:szCs w:val="16"/>
              </w:rPr>
            </w:pPr>
            <w:r>
              <w:rPr>
                <w:rFonts w:ascii="Arial" w:hAnsi="Arial" w:cs="Arial"/>
                <w:b/>
                <w:bCs/>
                <w:sz w:val="16"/>
                <w:szCs w:val="16"/>
              </w:rPr>
              <w:t>2%</w:t>
            </w:r>
          </w:p>
        </w:tc>
      </w:tr>
    </w:tbl>
    <w:p w14:paraId="3A911836" w14:textId="16A66B0B"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6B5AA003"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0EB98F79" w14:textId="77777777" w:rsidR="00C02282" w:rsidRPr="006A67B4" w:rsidRDefault="00C02282" w:rsidP="00C02282">
      <w:pPr>
        <w:contextualSpacing/>
        <w:jc w:val="both"/>
        <w:rPr>
          <w:rFonts w:ascii="Arial" w:hAnsi="Arial" w:cs="Arial"/>
          <w:bCs/>
          <w:highlight w:val="yellow"/>
          <w:lang w:val="es-MX" w:eastAsia="es-ES"/>
        </w:rPr>
      </w:pPr>
    </w:p>
    <w:p w14:paraId="7FC1DC83" w14:textId="77777777" w:rsidR="00C02282" w:rsidRPr="006A67B4" w:rsidRDefault="00C02282" w:rsidP="00C02282">
      <w:pPr>
        <w:contextualSpacing/>
        <w:jc w:val="both"/>
        <w:rPr>
          <w:rFonts w:ascii="Arial" w:hAnsi="Arial" w:cs="Arial"/>
          <w:bCs/>
          <w:highlight w:val="yellow"/>
          <w:lang w:val="es-MX" w:eastAsia="es-ES"/>
        </w:rPr>
      </w:pPr>
    </w:p>
    <w:p w14:paraId="4B357956" w14:textId="77777777" w:rsidR="00C02282" w:rsidRPr="00123CD8" w:rsidRDefault="00C02282" w:rsidP="00C02282">
      <w:pPr>
        <w:contextualSpacing/>
        <w:jc w:val="both"/>
        <w:rPr>
          <w:rFonts w:ascii="Arial" w:hAnsi="Arial" w:cs="Arial"/>
          <w:b/>
          <w:bCs/>
          <w:lang w:val="es-MX" w:eastAsia="es-ES"/>
        </w:rPr>
      </w:pPr>
      <w:r w:rsidRPr="00123CD8">
        <w:rPr>
          <w:rFonts w:ascii="Arial" w:hAnsi="Arial" w:cs="Arial"/>
          <w:b/>
          <w:bCs/>
          <w:lang w:val="es-MX" w:eastAsia="es-ES"/>
        </w:rPr>
        <w:t>Administrativa - Vicepresidencia Administrativa y Financiera:</w:t>
      </w:r>
    </w:p>
    <w:p w14:paraId="5D7CB9B9" w14:textId="77777777" w:rsidR="00C02282" w:rsidRPr="006A67B4" w:rsidRDefault="00C02282" w:rsidP="00C02282">
      <w:pPr>
        <w:contextualSpacing/>
        <w:jc w:val="both"/>
        <w:rPr>
          <w:rFonts w:ascii="Arial" w:hAnsi="Arial" w:cs="Arial"/>
          <w:bCs/>
          <w:highlight w:val="yellow"/>
          <w:lang w:val="es-MX" w:eastAsia="es-ES"/>
        </w:rPr>
      </w:pPr>
    </w:p>
    <w:p w14:paraId="16F6BD90" w14:textId="77777777" w:rsidR="00123CD8" w:rsidRDefault="00123CD8" w:rsidP="00123CD8">
      <w:pPr>
        <w:suppressAutoHyphens/>
        <w:autoSpaceDN w:val="0"/>
        <w:jc w:val="both"/>
        <w:textAlignment w:val="baseline"/>
        <w:rPr>
          <w:rFonts w:ascii="Arial" w:hAnsi="Arial" w:cs="Arial"/>
          <w:bCs/>
          <w:lang w:val="es-MX" w:eastAsia="es-ES"/>
        </w:rPr>
      </w:pPr>
      <w:r>
        <w:rPr>
          <w:rFonts w:ascii="Arial" w:hAnsi="Arial" w:cs="Arial"/>
          <w:bCs/>
          <w:lang w:val="es-MX" w:eastAsia="es-ES"/>
        </w:rPr>
        <w:t>La administración de recursos físicos tiene como finalidad garantizar la provisión eficiente, eficaz y efectiva de los bienes, insumos y servicios requeridos para el desarrollo cotidiano e ininterrumpido de las funciones de la entidad; por lo anterior se requiere contratar el suministro de bienes y servicios necesarios para el cumplimiento de su misión.</w:t>
      </w:r>
    </w:p>
    <w:p w14:paraId="4035D506" w14:textId="77777777" w:rsidR="00123CD8" w:rsidRDefault="00123CD8" w:rsidP="00123CD8">
      <w:pPr>
        <w:jc w:val="both"/>
        <w:rPr>
          <w:rFonts w:ascii="Arial" w:hAnsi="Arial" w:cs="Arial"/>
          <w:bCs/>
          <w:lang w:val="es-MX" w:eastAsia="es-ES"/>
        </w:rPr>
      </w:pPr>
      <w:r>
        <w:rPr>
          <w:rFonts w:ascii="Arial" w:hAnsi="Arial" w:cs="Arial"/>
          <w:bCs/>
          <w:lang w:val="es-MX" w:eastAsia="es-ES"/>
        </w:rPr>
        <w:t>Durante el período comprendido entre el 01 de enero y 30 de junio de 2018, se suscribieron los siguientes contratos:</w:t>
      </w:r>
    </w:p>
    <w:p w14:paraId="6C3A1148" w14:textId="77777777" w:rsidR="00123CD8" w:rsidRDefault="00123CD8" w:rsidP="008B4625">
      <w:pPr>
        <w:pStyle w:val="Prrafodelista"/>
        <w:numPr>
          <w:ilvl w:val="0"/>
          <w:numId w:val="37"/>
        </w:numPr>
        <w:suppressAutoHyphens/>
        <w:autoSpaceDN w:val="0"/>
        <w:jc w:val="both"/>
        <w:rPr>
          <w:rFonts w:cs="Arial"/>
          <w:bCs/>
          <w:lang w:val="es-MX" w:eastAsia="es-ES"/>
        </w:rPr>
      </w:pPr>
      <w:r>
        <w:rPr>
          <w:rFonts w:cs="Arial"/>
          <w:lang w:val="es-MX"/>
        </w:rPr>
        <w:t xml:space="preserve">Suministro de combustible para el parque automotor por $28 millones, Contrato 471 de 2018. Organización </w:t>
      </w:r>
      <w:proofErr w:type="spellStart"/>
      <w:r>
        <w:rPr>
          <w:rFonts w:cs="Arial"/>
          <w:lang w:val="es-MX"/>
        </w:rPr>
        <w:t>Terpel</w:t>
      </w:r>
      <w:proofErr w:type="spellEnd"/>
      <w:r>
        <w:rPr>
          <w:rFonts w:cs="Arial"/>
          <w:lang w:val="es-MX"/>
        </w:rPr>
        <w:t xml:space="preserve"> S.A.</w:t>
      </w:r>
    </w:p>
    <w:p w14:paraId="0AB5E9A6" w14:textId="77777777" w:rsidR="00123CD8" w:rsidRDefault="00123CD8" w:rsidP="008B4625">
      <w:pPr>
        <w:pStyle w:val="Prrafodelista"/>
        <w:numPr>
          <w:ilvl w:val="0"/>
          <w:numId w:val="38"/>
        </w:numPr>
        <w:suppressAutoHyphens/>
        <w:autoSpaceDN w:val="0"/>
        <w:jc w:val="both"/>
        <w:rPr>
          <w:rFonts w:cs="Arial"/>
          <w:lang w:val="es-MX"/>
        </w:rPr>
      </w:pPr>
      <w:r>
        <w:rPr>
          <w:rFonts w:cs="Arial"/>
          <w:lang w:val="es-MX"/>
        </w:rPr>
        <w:t>Mantenimiento preventivo y correctivo del ascensor por $7 millones, contrato 358 de 2018. Mitsubishi Electric De Colombia Ltda.</w:t>
      </w:r>
    </w:p>
    <w:p w14:paraId="7FD14DC2" w14:textId="77777777" w:rsidR="00123CD8" w:rsidRDefault="00123CD8" w:rsidP="008B4625">
      <w:pPr>
        <w:pStyle w:val="Prrafodelista"/>
        <w:numPr>
          <w:ilvl w:val="0"/>
          <w:numId w:val="38"/>
        </w:numPr>
        <w:suppressAutoHyphens/>
        <w:autoSpaceDN w:val="0"/>
        <w:jc w:val="both"/>
        <w:rPr>
          <w:rFonts w:cs="Arial"/>
          <w:lang w:val="es-MX"/>
        </w:rPr>
      </w:pPr>
      <w:r>
        <w:rPr>
          <w:rFonts w:cs="Arial"/>
          <w:lang w:val="es-MX"/>
        </w:rPr>
        <w:t xml:space="preserve">Mantenimiento preventivo y correctivo para las maquinas del gimnasio por $12 millones de pesos, contrato 472 de 2018. ALL IN </w:t>
      </w:r>
      <w:proofErr w:type="spellStart"/>
      <w:r>
        <w:rPr>
          <w:rFonts w:cs="Arial"/>
          <w:lang w:val="es-MX"/>
        </w:rPr>
        <w:t>Services</w:t>
      </w:r>
      <w:proofErr w:type="spellEnd"/>
      <w:r>
        <w:rPr>
          <w:rFonts w:cs="Arial"/>
          <w:lang w:val="es-MX"/>
        </w:rPr>
        <w:t xml:space="preserve"> SAS.</w:t>
      </w:r>
    </w:p>
    <w:p w14:paraId="1BA0FE1F"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lastRenderedPageBreak/>
        <w:t>Adquisición de estaciones de trabajo (escritorios y sillas) para la implementación de teletrabajo por $8 millones de pesos, Orden de compra 26379. Colombiana De Comercio S.A.</w:t>
      </w:r>
    </w:p>
    <w:p w14:paraId="0A419B4B"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 xml:space="preserve">Adquisición de </w:t>
      </w:r>
      <w:proofErr w:type="spellStart"/>
      <w:r>
        <w:rPr>
          <w:rFonts w:cs="Arial"/>
          <w:lang w:val="es-MX"/>
        </w:rPr>
        <w:t>Soat</w:t>
      </w:r>
      <w:proofErr w:type="spellEnd"/>
      <w:r>
        <w:rPr>
          <w:rFonts w:cs="Arial"/>
          <w:lang w:val="es-MX"/>
        </w:rPr>
        <w:t xml:space="preserve"> para los vehículos por $1.9 millones de pesos, Otrosí 1 al contrato 308 de 2017.</w:t>
      </w:r>
    </w:p>
    <w:p w14:paraId="11EF5049"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Adquisición de sillas ejecutivas para las oficinas y salas de juntas por $47 millones de pesos, Orden de Compra 25439. Panamericana Librería Y Papelería S. A.</w:t>
      </w:r>
    </w:p>
    <w:p w14:paraId="24E7B14D"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 xml:space="preserve">Servicio de vigilancia fija sin medio armado, servicio integral de seguridad y vigilancia privada, para las instalaciones de la ANH por $160 millones de pesos. </w:t>
      </w:r>
      <w:r>
        <w:rPr>
          <w:rFonts w:cs="Arial"/>
        </w:rPr>
        <w:t>Contrato 474 de 2018 -</w:t>
      </w:r>
      <w:r>
        <w:rPr>
          <w:rFonts w:cs="Arial"/>
          <w:lang w:val="es-MX"/>
        </w:rPr>
        <w:t>Tac Seguridad Ltda.</w:t>
      </w:r>
    </w:p>
    <w:p w14:paraId="678993F6"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Pago administración del edificio y parqueadero por el año 2018 en cuantía de $465 millones de pesos. Cámara Colombiana de la Infraestructura.</w:t>
      </w:r>
    </w:p>
    <w:p w14:paraId="23FE3F07"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Suministro de papelería y útiles de escritorio por $32 millones de pesos Contrato 473 de 2018. Grupo Los Lagos S.A.S</w:t>
      </w:r>
    </w:p>
    <w:p w14:paraId="6BC4B047"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Adición 483 de 2017 Servicio de vigilancia fija sin medio armado en cuantía de $21 millones de pesos.</w:t>
      </w:r>
    </w:p>
    <w:p w14:paraId="73AB9198"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Adición y Prorroga al Contrato 490 de 2017 en cuantía de $ 169 millones de pesos. Servicios Postales Nacionales. Prestar el servicio para la gestión integral del sistema de archivo y correspondencia de la Agencia Nacional de Hidrocarburos, de conformidad con las especificaciones técnicas contenidas en los estudios previos.</w:t>
      </w:r>
    </w:p>
    <w:p w14:paraId="17FD7386" w14:textId="77777777" w:rsidR="00123CD8" w:rsidRDefault="00123CD8" w:rsidP="008B4625">
      <w:pPr>
        <w:pStyle w:val="Prrafodelista"/>
        <w:numPr>
          <w:ilvl w:val="0"/>
          <w:numId w:val="39"/>
        </w:numPr>
        <w:suppressAutoHyphens/>
        <w:autoSpaceDN w:val="0"/>
        <w:jc w:val="both"/>
        <w:rPr>
          <w:rFonts w:cs="Arial"/>
          <w:lang w:val="es-MX"/>
        </w:rPr>
      </w:pPr>
      <w:r>
        <w:rPr>
          <w:rFonts w:cs="Arial"/>
          <w:lang w:val="es-MX"/>
        </w:rPr>
        <w:t>Se suscribió el contrato 477 de 2018 por $662.millones de pesos con la firma PROTECH INGENIERIA SAS - prestar el servicio para la gestión integral del sistema de archivo y correspondencia de la agencia nacional de hidrocarburos.</w:t>
      </w:r>
    </w:p>
    <w:p w14:paraId="7145A688" w14:textId="77777777" w:rsidR="00123CD8" w:rsidRDefault="00123CD8" w:rsidP="008B4625">
      <w:pPr>
        <w:pStyle w:val="Prrafodelista"/>
        <w:numPr>
          <w:ilvl w:val="0"/>
          <w:numId w:val="40"/>
        </w:numPr>
        <w:suppressAutoHyphens/>
        <w:autoSpaceDN w:val="0"/>
        <w:jc w:val="both"/>
        <w:rPr>
          <w:rFonts w:cs="Arial"/>
          <w:lang w:val="es-MX"/>
        </w:rPr>
      </w:pPr>
      <w:r>
        <w:rPr>
          <w:rFonts w:cs="Arial"/>
          <w:lang w:val="es-MX"/>
        </w:rPr>
        <w:t xml:space="preserve">Suministro de elementos de ferretería </w:t>
      </w:r>
      <w:proofErr w:type="spellStart"/>
      <w:r>
        <w:rPr>
          <w:rFonts w:cs="Arial"/>
          <w:lang w:val="es-MX"/>
        </w:rPr>
        <w:t>Cto</w:t>
      </w:r>
      <w:proofErr w:type="spellEnd"/>
      <w:r>
        <w:rPr>
          <w:rFonts w:cs="Arial"/>
          <w:lang w:val="es-MX"/>
        </w:rPr>
        <w:t xml:space="preserve"> 478 de 2018, $4.6 millones de pesos.</w:t>
      </w:r>
    </w:p>
    <w:p w14:paraId="18129ADB" w14:textId="77777777" w:rsidR="00123CD8" w:rsidRDefault="00123CD8" w:rsidP="008B4625">
      <w:pPr>
        <w:pStyle w:val="Prrafodelista"/>
        <w:numPr>
          <w:ilvl w:val="0"/>
          <w:numId w:val="40"/>
        </w:numPr>
        <w:suppressAutoHyphens/>
        <w:autoSpaceDN w:val="0"/>
        <w:jc w:val="both"/>
        <w:rPr>
          <w:rFonts w:cs="Arial"/>
          <w:lang w:val="es-MX"/>
        </w:rPr>
      </w:pPr>
      <w:r>
        <w:rPr>
          <w:rFonts w:cs="Arial"/>
          <w:lang w:val="es-MX"/>
        </w:rPr>
        <w:t>Otrosí 2 prorroga Contrato de seguros 308 de 2017 por $177 millones.</w:t>
      </w:r>
    </w:p>
    <w:p w14:paraId="1CCB892B" w14:textId="77777777" w:rsidR="00123CD8" w:rsidRDefault="00123CD8" w:rsidP="00123CD8">
      <w:pPr>
        <w:jc w:val="both"/>
        <w:rPr>
          <w:rFonts w:ascii="Arial" w:hAnsi="Arial" w:cs="Arial"/>
          <w:lang w:val="es-MX"/>
        </w:rPr>
      </w:pPr>
      <w:r>
        <w:rPr>
          <w:rFonts w:ascii="Arial" w:hAnsi="Arial" w:cs="Arial"/>
          <w:lang w:val="es-MX"/>
        </w:rPr>
        <w:t xml:space="preserve">De otra parte, se emitieron los compromisos de Vigencias Futuras en cuantía de $492 millones de pesos y para los servicios públicos se han emitido compromisos por cerca de $464 millones de pesos. </w:t>
      </w:r>
    </w:p>
    <w:p w14:paraId="29A8AD84" w14:textId="4D7F0521" w:rsidR="00C02282" w:rsidRPr="006A67B4" w:rsidRDefault="00123CD8" w:rsidP="00123CD8">
      <w:pPr>
        <w:pStyle w:val="Descripcin"/>
        <w:keepNext/>
        <w:jc w:val="center"/>
        <w:rPr>
          <w:highlight w:val="yellow"/>
        </w:rPr>
      </w:pPr>
      <w:r w:rsidRPr="00123CD8">
        <w:t xml:space="preserve"> </w:t>
      </w:r>
      <w:bookmarkStart w:id="134" w:name="_Toc525652505"/>
      <w:r w:rsidR="00C02282" w:rsidRPr="00123CD8">
        <w:t xml:space="preserve">Tabla </w:t>
      </w:r>
      <w:r w:rsidR="00C02282" w:rsidRPr="00123CD8">
        <w:fldChar w:fldCharType="begin"/>
      </w:r>
      <w:r w:rsidR="00C02282" w:rsidRPr="00123CD8">
        <w:instrText xml:space="preserve"> SEQ Tabla \* ARABIC </w:instrText>
      </w:r>
      <w:r w:rsidR="00C02282" w:rsidRPr="00123CD8">
        <w:fldChar w:fldCharType="separate"/>
      </w:r>
      <w:r w:rsidR="008B4625">
        <w:rPr>
          <w:noProof/>
        </w:rPr>
        <w:t>60</w:t>
      </w:r>
      <w:r w:rsidR="00C02282" w:rsidRPr="00123CD8">
        <w:fldChar w:fldCharType="end"/>
      </w:r>
      <w:r>
        <w:t xml:space="preserve"> </w:t>
      </w:r>
      <w:r w:rsidR="00C02282" w:rsidRPr="00123CD8">
        <w:t>Ejecución Gast</w:t>
      </w:r>
      <w:r w:rsidRPr="00123CD8">
        <w:t xml:space="preserve">os Generales –Administrativa- 30 de junio de </w:t>
      </w:r>
      <w:r w:rsidR="00C02282" w:rsidRPr="00123CD8">
        <w:t xml:space="preserve"> 2018 ANH</w:t>
      </w:r>
      <w:bookmarkEnd w:id="134"/>
    </w:p>
    <w:tbl>
      <w:tblPr>
        <w:tblW w:w="9662" w:type="dxa"/>
        <w:jc w:val="center"/>
        <w:tblCellMar>
          <w:left w:w="70" w:type="dxa"/>
          <w:right w:w="70" w:type="dxa"/>
        </w:tblCellMar>
        <w:tblLook w:val="04A0" w:firstRow="1" w:lastRow="0" w:firstColumn="1" w:lastColumn="0" w:noHBand="0" w:noVBand="1"/>
      </w:tblPr>
      <w:tblGrid>
        <w:gridCol w:w="2381"/>
        <w:gridCol w:w="1440"/>
        <w:gridCol w:w="1565"/>
        <w:gridCol w:w="1560"/>
        <w:gridCol w:w="1417"/>
        <w:gridCol w:w="1299"/>
      </w:tblGrid>
      <w:tr w:rsidR="00123CD8" w14:paraId="6A489C99" w14:textId="77777777" w:rsidTr="00123CD8">
        <w:trPr>
          <w:trHeight w:val="600"/>
          <w:jc w:val="center"/>
        </w:trPr>
        <w:tc>
          <w:tcPr>
            <w:tcW w:w="2381"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07535844" w14:textId="77777777" w:rsidR="00123CD8" w:rsidRDefault="00123CD8">
            <w:pPr>
              <w:jc w:val="center"/>
              <w:rPr>
                <w:rFonts w:ascii="Arial" w:hAnsi="Arial" w:cs="Arial"/>
                <w:b/>
                <w:bCs/>
                <w:color w:val="000000"/>
                <w:sz w:val="16"/>
                <w:szCs w:val="16"/>
              </w:rPr>
            </w:pPr>
            <w:r>
              <w:rPr>
                <w:rFonts w:ascii="Arial" w:hAnsi="Arial" w:cs="Arial"/>
                <w:b/>
                <w:bCs/>
                <w:sz w:val="16"/>
                <w:szCs w:val="16"/>
              </w:rPr>
              <w:t>Descripción</w:t>
            </w:r>
          </w:p>
        </w:tc>
        <w:tc>
          <w:tcPr>
            <w:tcW w:w="1440" w:type="dxa"/>
            <w:tcBorders>
              <w:top w:val="single" w:sz="4" w:space="0" w:color="auto"/>
              <w:left w:val="nil"/>
              <w:bottom w:val="single" w:sz="4" w:space="0" w:color="auto"/>
              <w:right w:val="single" w:sz="4" w:space="0" w:color="auto"/>
            </w:tcBorders>
            <w:shd w:val="clear" w:color="auto" w:fill="4F81BD" w:themeFill="accent1"/>
            <w:noWrap/>
            <w:hideMark/>
          </w:tcPr>
          <w:p w14:paraId="236DD42A"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Apropiación </w:t>
            </w:r>
          </w:p>
        </w:tc>
        <w:tc>
          <w:tcPr>
            <w:tcW w:w="1565" w:type="dxa"/>
            <w:tcBorders>
              <w:top w:val="single" w:sz="4" w:space="0" w:color="auto"/>
              <w:left w:val="nil"/>
              <w:bottom w:val="single" w:sz="4" w:space="0" w:color="auto"/>
              <w:right w:val="single" w:sz="4" w:space="0" w:color="auto"/>
            </w:tcBorders>
            <w:shd w:val="clear" w:color="auto" w:fill="4F81BD" w:themeFill="accent1"/>
            <w:noWrap/>
            <w:hideMark/>
          </w:tcPr>
          <w:p w14:paraId="47711038"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Disponibilidad </w:t>
            </w:r>
          </w:p>
        </w:tc>
        <w:tc>
          <w:tcPr>
            <w:tcW w:w="1560" w:type="dxa"/>
            <w:tcBorders>
              <w:top w:val="single" w:sz="4" w:space="0" w:color="auto"/>
              <w:left w:val="nil"/>
              <w:bottom w:val="single" w:sz="4" w:space="0" w:color="auto"/>
              <w:right w:val="single" w:sz="4" w:space="0" w:color="auto"/>
            </w:tcBorders>
            <w:shd w:val="clear" w:color="auto" w:fill="4F81BD" w:themeFill="accent1"/>
            <w:noWrap/>
            <w:hideMark/>
          </w:tcPr>
          <w:p w14:paraId="578820B0"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Compromisos </w:t>
            </w:r>
          </w:p>
        </w:tc>
        <w:tc>
          <w:tcPr>
            <w:tcW w:w="1417" w:type="dxa"/>
            <w:tcBorders>
              <w:top w:val="single" w:sz="4" w:space="0" w:color="auto"/>
              <w:left w:val="nil"/>
              <w:bottom w:val="single" w:sz="4" w:space="0" w:color="auto"/>
              <w:right w:val="single" w:sz="4" w:space="0" w:color="auto"/>
            </w:tcBorders>
            <w:shd w:val="clear" w:color="auto" w:fill="4F81BD" w:themeFill="accent1"/>
            <w:noWrap/>
            <w:hideMark/>
          </w:tcPr>
          <w:p w14:paraId="1C5AF2CE"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Obligaciones </w:t>
            </w:r>
          </w:p>
        </w:tc>
        <w:tc>
          <w:tcPr>
            <w:tcW w:w="1299" w:type="dxa"/>
            <w:tcBorders>
              <w:top w:val="single" w:sz="4" w:space="0" w:color="auto"/>
              <w:left w:val="nil"/>
              <w:bottom w:val="single" w:sz="4" w:space="0" w:color="auto"/>
              <w:right w:val="single" w:sz="4" w:space="0" w:color="auto"/>
            </w:tcBorders>
            <w:shd w:val="clear" w:color="auto" w:fill="4F81BD" w:themeFill="accent1"/>
            <w:noWrap/>
            <w:hideMark/>
          </w:tcPr>
          <w:p w14:paraId="68218DC5" w14:textId="77777777" w:rsidR="00123CD8" w:rsidRDefault="00123CD8">
            <w:pPr>
              <w:jc w:val="center"/>
              <w:rPr>
                <w:rFonts w:ascii="Arial" w:hAnsi="Arial" w:cs="Arial"/>
                <w:b/>
                <w:bCs/>
                <w:color w:val="000000"/>
                <w:sz w:val="16"/>
                <w:szCs w:val="16"/>
              </w:rPr>
            </w:pPr>
            <w:r>
              <w:rPr>
                <w:rFonts w:ascii="Arial" w:hAnsi="Arial" w:cs="Arial"/>
                <w:b/>
                <w:bCs/>
                <w:sz w:val="16"/>
                <w:szCs w:val="16"/>
              </w:rPr>
              <w:t xml:space="preserve"> Pagos </w:t>
            </w:r>
          </w:p>
        </w:tc>
      </w:tr>
      <w:tr w:rsidR="00123CD8" w14:paraId="46FB7100" w14:textId="77777777" w:rsidTr="00123CD8">
        <w:trPr>
          <w:trHeight w:val="300"/>
          <w:jc w:val="center"/>
        </w:trPr>
        <w:tc>
          <w:tcPr>
            <w:tcW w:w="2381" w:type="dxa"/>
            <w:tcBorders>
              <w:top w:val="nil"/>
              <w:left w:val="single" w:sz="4" w:space="0" w:color="auto"/>
              <w:bottom w:val="nil"/>
              <w:right w:val="single" w:sz="4" w:space="0" w:color="auto"/>
            </w:tcBorders>
            <w:noWrap/>
            <w:vAlign w:val="bottom"/>
            <w:hideMark/>
          </w:tcPr>
          <w:p w14:paraId="7EAC9835" w14:textId="77777777" w:rsidR="00123CD8" w:rsidRDefault="00123CD8">
            <w:pPr>
              <w:rPr>
                <w:rFonts w:ascii="Arial" w:hAnsi="Arial" w:cs="Arial"/>
                <w:b/>
                <w:bCs/>
                <w:color w:val="000000"/>
                <w:sz w:val="16"/>
                <w:szCs w:val="16"/>
              </w:rPr>
            </w:pPr>
            <w:r>
              <w:rPr>
                <w:rFonts w:ascii="Arial" w:hAnsi="Arial" w:cs="Arial"/>
                <w:b/>
                <w:bCs/>
                <w:sz w:val="16"/>
                <w:szCs w:val="16"/>
              </w:rPr>
              <w:lastRenderedPageBreak/>
              <w:t xml:space="preserve">Gastos Generales </w:t>
            </w:r>
          </w:p>
        </w:tc>
        <w:tc>
          <w:tcPr>
            <w:tcW w:w="1440" w:type="dxa"/>
            <w:tcBorders>
              <w:top w:val="nil"/>
              <w:left w:val="nil"/>
              <w:bottom w:val="nil"/>
              <w:right w:val="single" w:sz="4" w:space="0" w:color="auto"/>
            </w:tcBorders>
            <w:noWrap/>
            <w:vAlign w:val="center"/>
            <w:hideMark/>
          </w:tcPr>
          <w:p w14:paraId="3E582868" w14:textId="77777777" w:rsidR="00123CD8" w:rsidRDefault="00123CD8">
            <w:pPr>
              <w:jc w:val="right"/>
              <w:rPr>
                <w:rFonts w:ascii="Arial" w:hAnsi="Arial" w:cs="Arial"/>
                <w:color w:val="000000"/>
                <w:sz w:val="16"/>
                <w:szCs w:val="16"/>
              </w:rPr>
            </w:pPr>
            <w:r>
              <w:rPr>
                <w:rFonts w:ascii="Arial" w:hAnsi="Arial" w:cs="Arial"/>
                <w:sz w:val="16"/>
                <w:szCs w:val="16"/>
              </w:rPr>
              <w:t>$ 4.986</w:t>
            </w:r>
          </w:p>
        </w:tc>
        <w:tc>
          <w:tcPr>
            <w:tcW w:w="1565" w:type="dxa"/>
            <w:tcBorders>
              <w:top w:val="nil"/>
              <w:left w:val="nil"/>
              <w:bottom w:val="nil"/>
              <w:right w:val="single" w:sz="4" w:space="0" w:color="auto"/>
            </w:tcBorders>
            <w:noWrap/>
            <w:vAlign w:val="center"/>
            <w:hideMark/>
          </w:tcPr>
          <w:p w14:paraId="5713010F" w14:textId="77777777" w:rsidR="00123CD8" w:rsidRDefault="00123CD8">
            <w:pPr>
              <w:jc w:val="right"/>
              <w:rPr>
                <w:rFonts w:ascii="Arial" w:hAnsi="Arial" w:cs="Arial"/>
                <w:color w:val="000000"/>
                <w:sz w:val="16"/>
                <w:szCs w:val="16"/>
              </w:rPr>
            </w:pPr>
            <w:r>
              <w:rPr>
                <w:rFonts w:ascii="Arial" w:hAnsi="Arial" w:cs="Arial"/>
                <w:sz w:val="16"/>
                <w:szCs w:val="16"/>
              </w:rPr>
              <w:t>$ 4.703</w:t>
            </w:r>
          </w:p>
        </w:tc>
        <w:tc>
          <w:tcPr>
            <w:tcW w:w="1560" w:type="dxa"/>
            <w:tcBorders>
              <w:top w:val="nil"/>
              <w:left w:val="nil"/>
              <w:bottom w:val="nil"/>
              <w:right w:val="single" w:sz="4" w:space="0" w:color="auto"/>
            </w:tcBorders>
            <w:noWrap/>
            <w:vAlign w:val="center"/>
            <w:hideMark/>
          </w:tcPr>
          <w:p w14:paraId="0F1C9024" w14:textId="77777777" w:rsidR="00123CD8" w:rsidRDefault="00123CD8">
            <w:pPr>
              <w:jc w:val="right"/>
              <w:rPr>
                <w:rFonts w:ascii="Arial" w:hAnsi="Arial" w:cs="Arial"/>
                <w:color w:val="000000"/>
                <w:sz w:val="16"/>
                <w:szCs w:val="16"/>
              </w:rPr>
            </w:pPr>
            <w:r>
              <w:rPr>
                <w:rFonts w:ascii="Arial" w:hAnsi="Arial" w:cs="Arial"/>
                <w:sz w:val="16"/>
                <w:szCs w:val="16"/>
              </w:rPr>
              <w:t>$ 2.799</w:t>
            </w:r>
          </w:p>
        </w:tc>
        <w:tc>
          <w:tcPr>
            <w:tcW w:w="1417" w:type="dxa"/>
            <w:tcBorders>
              <w:top w:val="nil"/>
              <w:left w:val="nil"/>
              <w:bottom w:val="nil"/>
              <w:right w:val="single" w:sz="4" w:space="0" w:color="auto"/>
            </w:tcBorders>
            <w:noWrap/>
            <w:vAlign w:val="center"/>
            <w:hideMark/>
          </w:tcPr>
          <w:p w14:paraId="55D279F0" w14:textId="77777777" w:rsidR="00123CD8" w:rsidRDefault="00123CD8">
            <w:pPr>
              <w:jc w:val="right"/>
              <w:rPr>
                <w:rFonts w:ascii="Arial" w:hAnsi="Arial" w:cs="Arial"/>
                <w:color w:val="000000"/>
                <w:sz w:val="16"/>
                <w:szCs w:val="16"/>
              </w:rPr>
            </w:pPr>
            <w:r>
              <w:rPr>
                <w:rFonts w:ascii="Arial" w:hAnsi="Arial" w:cs="Arial"/>
                <w:sz w:val="16"/>
                <w:szCs w:val="16"/>
              </w:rPr>
              <w:t>$ 978</w:t>
            </w:r>
          </w:p>
        </w:tc>
        <w:tc>
          <w:tcPr>
            <w:tcW w:w="1299" w:type="dxa"/>
            <w:tcBorders>
              <w:top w:val="nil"/>
              <w:left w:val="nil"/>
              <w:bottom w:val="nil"/>
              <w:right w:val="single" w:sz="4" w:space="0" w:color="auto"/>
            </w:tcBorders>
            <w:noWrap/>
            <w:vAlign w:val="center"/>
            <w:hideMark/>
          </w:tcPr>
          <w:p w14:paraId="069CC342" w14:textId="77777777" w:rsidR="00123CD8" w:rsidRDefault="00123CD8">
            <w:pPr>
              <w:jc w:val="right"/>
              <w:rPr>
                <w:rFonts w:ascii="Arial" w:hAnsi="Arial" w:cs="Arial"/>
                <w:color w:val="000000"/>
                <w:sz w:val="16"/>
                <w:szCs w:val="16"/>
              </w:rPr>
            </w:pPr>
            <w:r>
              <w:rPr>
                <w:rFonts w:ascii="Arial" w:hAnsi="Arial" w:cs="Arial"/>
                <w:sz w:val="16"/>
                <w:szCs w:val="16"/>
              </w:rPr>
              <w:t>$ 972</w:t>
            </w:r>
          </w:p>
        </w:tc>
      </w:tr>
      <w:tr w:rsidR="00123CD8" w14:paraId="09BB0050" w14:textId="77777777" w:rsidTr="00123CD8">
        <w:trPr>
          <w:trHeight w:val="300"/>
          <w:jc w:val="center"/>
        </w:trPr>
        <w:tc>
          <w:tcPr>
            <w:tcW w:w="2381" w:type="dxa"/>
            <w:tcBorders>
              <w:top w:val="single" w:sz="4" w:space="0" w:color="auto"/>
              <w:left w:val="nil"/>
              <w:bottom w:val="nil"/>
              <w:right w:val="nil"/>
            </w:tcBorders>
            <w:noWrap/>
            <w:vAlign w:val="bottom"/>
            <w:hideMark/>
          </w:tcPr>
          <w:p w14:paraId="372AE56B" w14:textId="77777777" w:rsidR="00123CD8" w:rsidRDefault="00123CD8">
            <w:pPr>
              <w:rPr>
                <w:rFonts w:ascii="Calibri" w:hAnsi="Calibri" w:cs="Times New Roman"/>
                <w:color w:val="000000"/>
                <w:sz w:val="19"/>
                <w:szCs w:val="19"/>
              </w:rPr>
            </w:pPr>
          </w:p>
        </w:tc>
        <w:tc>
          <w:tcPr>
            <w:tcW w:w="1440" w:type="dxa"/>
            <w:tcBorders>
              <w:top w:val="single" w:sz="4" w:space="0" w:color="auto"/>
              <w:left w:val="nil"/>
              <w:bottom w:val="nil"/>
              <w:right w:val="nil"/>
            </w:tcBorders>
            <w:noWrap/>
            <w:vAlign w:val="bottom"/>
            <w:hideMark/>
          </w:tcPr>
          <w:p w14:paraId="03AFFA3D" w14:textId="77777777" w:rsidR="00123CD8" w:rsidRDefault="00123CD8">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111FAAC3" w14:textId="77777777" w:rsidR="00123CD8" w:rsidRDefault="00123CD8">
            <w:pPr>
              <w:rPr>
                <w:rFonts w:ascii="Calibri" w:hAnsi="Calibri" w:cs="Times New Roman"/>
                <w:color w:val="000000"/>
                <w:sz w:val="19"/>
                <w:szCs w:val="19"/>
              </w:rPr>
            </w:pPr>
          </w:p>
        </w:tc>
        <w:tc>
          <w:tcPr>
            <w:tcW w:w="1560" w:type="dxa"/>
            <w:tcBorders>
              <w:top w:val="single" w:sz="4" w:space="0" w:color="auto"/>
              <w:left w:val="nil"/>
              <w:bottom w:val="nil"/>
              <w:right w:val="nil"/>
            </w:tcBorders>
            <w:noWrap/>
            <w:vAlign w:val="bottom"/>
            <w:hideMark/>
          </w:tcPr>
          <w:p w14:paraId="06E6C1F3" w14:textId="77777777" w:rsidR="00123CD8" w:rsidRDefault="00123CD8">
            <w:pPr>
              <w:rPr>
                <w:rFonts w:ascii="Calibri" w:hAnsi="Calibri" w:cs="Times New Roman"/>
                <w:color w:val="000000"/>
                <w:sz w:val="19"/>
                <w:szCs w:val="19"/>
              </w:rPr>
            </w:pPr>
          </w:p>
        </w:tc>
        <w:tc>
          <w:tcPr>
            <w:tcW w:w="1417" w:type="dxa"/>
            <w:tcBorders>
              <w:top w:val="single" w:sz="4" w:space="0" w:color="auto"/>
              <w:left w:val="nil"/>
              <w:bottom w:val="nil"/>
              <w:right w:val="nil"/>
            </w:tcBorders>
            <w:noWrap/>
            <w:vAlign w:val="bottom"/>
            <w:hideMark/>
          </w:tcPr>
          <w:p w14:paraId="5DAB4936" w14:textId="77777777" w:rsidR="00123CD8" w:rsidRDefault="00123CD8">
            <w:pPr>
              <w:rPr>
                <w:rFonts w:ascii="Calibri" w:hAnsi="Calibri" w:cs="Times New Roman"/>
                <w:color w:val="000000"/>
                <w:sz w:val="19"/>
                <w:szCs w:val="19"/>
              </w:rPr>
            </w:pPr>
          </w:p>
        </w:tc>
        <w:tc>
          <w:tcPr>
            <w:tcW w:w="1299" w:type="dxa"/>
            <w:tcBorders>
              <w:top w:val="single" w:sz="4" w:space="0" w:color="auto"/>
              <w:left w:val="nil"/>
              <w:bottom w:val="nil"/>
              <w:right w:val="nil"/>
            </w:tcBorders>
            <w:noWrap/>
            <w:vAlign w:val="bottom"/>
            <w:hideMark/>
          </w:tcPr>
          <w:p w14:paraId="0F2496D4" w14:textId="77777777" w:rsidR="00123CD8" w:rsidRDefault="00123CD8">
            <w:pPr>
              <w:rPr>
                <w:rFonts w:ascii="Calibri" w:hAnsi="Calibri" w:cs="Times New Roman"/>
                <w:color w:val="000000"/>
                <w:sz w:val="19"/>
                <w:szCs w:val="19"/>
              </w:rPr>
            </w:pPr>
          </w:p>
        </w:tc>
      </w:tr>
      <w:tr w:rsidR="00123CD8" w14:paraId="7A6FCEC8" w14:textId="77777777" w:rsidTr="00123CD8">
        <w:trPr>
          <w:trHeight w:val="300"/>
          <w:jc w:val="center"/>
        </w:trPr>
        <w:tc>
          <w:tcPr>
            <w:tcW w:w="3821"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607A080" w14:textId="77777777" w:rsidR="00123CD8" w:rsidRDefault="00123CD8">
            <w:pPr>
              <w:jc w:val="center"/>
              <w:rPr>
                <w:rFonts w:ascii="Arial" w:hAnsi="Arial" w:cs="Arial"/>
                <w:b/>
                <w:bCs/>
                <w:color w:val="000000"/>
                <w:sz w:val="16"/>
                <w:szCs w:val="16"/>
              </w:rPr>
            </w:pPr>
            <w:r>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DA54B7B" w14:textId="77777777" w:rsidR="00123CD8" w:rsidRDefault="00123CD8">
            <w:pPr>
              <w:jc w:val="right"/>
              <w:rPr>
                <w:rFonts w:ascii="Arial" w:hAnsi="Arial" w:cs="Arial"/>
                <w:b/>
                <w:bCs/>
                <w:color w:val="000000"/>
                <w:sz w:val="16"/>
                <w:szCs w:val="16"/>
              </w:rPr>
            </w:pPr>
            <w:r>
              <w:rPr>
                <w:rFonts w:ascii="Arial" w:hAnsi="Arial" w:cs="Arial"/>
                <w:b/>
                <w:bCs/>
                <w:sz w:val="16"/>
                <w:szCs w:val="16"/>
              </w:rPr>
              <w:t>94%</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94D869F" w14:textId="77777777" w:rsidR="00123CD8" w:rsidRDefault="00123CD8">
            <w:pPr>
              <w:jc w:val="right"/>
              <w:rPr>
                <w:rFonts w:ascii="Arial" w:hAnsi="Arial" w:cs="Arial"/>
                <w:b/>
                <w:bCs/>
                <w:color w:val="000000"/>
                <w:sz w:val="16"/>
                <w:szCs w:val="16"/>
              </w:rPr>
            </w:pPr>
            <w:r>
              <w:rPr>
                <w:rFonts w:ascii="Arial" w:hAnsi="Arial" w:cs="Arial"/>
                <w:b/>
                <w:bCs/>
                <w:sz w:val="16"/>
                <w:szCs w:val="16"/>
              </w:rPr>
              <w:t>56%</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E3272E8" w14:textId="77777777" w:rsidR="00123CD8" w:rsidRDefault="00123CD8">
            <w:pPr>
              <w:jc w:val="right"/>
              <w:rPr>
                <w:rFonts w:ascii="Arial" w:hAnsi="Arial" w:cs="Arial"/>
                <w:b/>
                <w:bCs/>
                <w:color w:val="000000"/>
                <w:sz w:val="16"/>
                <w:szCs w:val="16"/>
              </w:rPr>
            </w:pPr>
            <w:r>
              <w:rPr>
                <w:rFonts w:ascii="Arial" w:hAnsi="Arial" w:cs="Arial"/>
                <w:b/>
                <w:bCs/>
                <w:sz w:val="16"/>
                <w:szCs w:val="16"/>
              </w:rPr>
              <w:t>20%</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06EEC66" w14:textId="77777777" w:rsidR="00123CD8" w:rsidRDefault="00123CD8">
            <w:pPr>
              <w:jc w:val="right"/>
              <w:rPr>
                <w:rFonts w:ascii="Arial" w:hAnsi="Arial" w:cs="Arial"/>
                <w:b/>
                <w:bCs/>
                <w:color w:val="000000"/>
                <w:sz w:val="16"/>
                <w:szCs w:val="16"/>
              </w:rPr>
            </w:pPr>
            <w:r>
              <w:rPr>
                <w:rFonts w:ascii="Arial" w:hAnsi="Arial" w:cs="Arial"/>
                <w:b/>
                <w:bCs/>
                <w:sz w:val="16"/>
                <w:szCs w:val="16"/>
              </w:rPr>
              <w:t>19%</w:t>
            </w:r>
          </w:p>
        </w:tc>
      </w:tr>
    </w:tbl>
    <w:p w14:paraId="689B96DF" w14:textId="2E5CC4AB"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33F7DD60"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2E3BE956" w14:textId="77777777" w:rsidR="00C02282" w:rsidRPr="00123CD8" w:rsidRDefault="00C02282" w:rsidP="00C02282">
      <w:pPr>
        <w:contextualSpacing/>
        <w:jc w:val="both"/>
        <w:rPr>
          <w:rFonts w:ascii="Arial" w:hAnsi="Arial" w:cs="Arial"/>
          <w:b/>
          <w:bCs/>
          <w:lang w:val="es-MX" w:eastAsia="es-ES"/>
        </w:rPr>
      </w:pPr>
      <w:r w:rsidRPr="00123CD8">
        <w:rPr>
          <w:rFonts w:ascii="Arial" w:hAnsi="Arial" w:cs="Arial"/>
          <w:b/>
          <w:bCs/>
          <w:lang w:val="es-MX" w:eastAsia="es-ES"/>
        </w:rPr>
        <w:t xml:space="preserve">Talento Humano </w:t>
      </w:r>
      <w:r w:rsidRPr="00123CD8">
        <w:rPr>
          <w:rFonts w:ascii="Arial" w:hAnsi="Arial" w:cs="Arial"/>
          <w:b/>
        </w:rPr>
        <w:t>-</w:t>
      </w:r>
      <w:r w:rsidRPr="00123CD8">
        <w:rPr>
          <w:rFonts w:ascii="Arial" w:hAnsi="Arial" w:cs="Arial"/>
          <w:b/>
          <w:bCs/>
          <w:lang w:val="es-MX" w:eastAsia="es-ES"/>
        </w:rPr>
        <w:t xml:space="preserve"> Vicepresidencia Administrativa y Financiera:</w:t>
      </w:r>
    </w:p>
    <w:p w14:paraId="4B7341A3" w14:textId="77777777" w:rsidR="00C02282" w:rsidRPr="00123CD8" w:rsidRDefault="00C02282" w:rsidP="00C02282">
      <w:pPr>
        <w:jc w:val="both"/>
        <w:rPr>
          <w:rFonts w:ascii="Arial" w:hAnsi="Arial" w:cs="Arial"/>
          <w:bCs/>
          <w:lang w:val="es-MX" w:eastAsia="es-ES"/>
        </w:rPr>
      </w:pPr>
    </w:p>
    <w:p w14:paraId="77C2BC42" w14:textId="386AE6A8" w:rsidR="00FE1111" w:rsidRDefault="00123CD8" w:rsidP="00123CD8">
      <w:pPr>
        <w:jc w:val="both"/>
        <w:rPr>
          <w:rFonts w:ascii="Arial" w:hAnsi="Arial" w:cs="Arial"/>
          <w:bCs/>
          <w:lang w:val="es-MX" w:eastAsia="es-ES"/>
        </w:rPr>
      </w:pPr>
      <w:r w:rsidRPr="00123CD8">
        <w:rPr>
          <w:rFonts w:ascii="Arial" w:hAnsi="Arial" w:cs="Arial"/>
          <w:bCs/>
          <w:lang w:val="es-MX" w:eastAsia="es-ES"/>
        </w:rPr>
        <w:t>En el rubro de gastos generales se suscribieron dos contratos así: Icontec en cuantía de $22 millones para capacitación en el fortalecimiento de competencias transversales y con CAFAM en cuantía de $363 millones para el desarrollo de actividades de bienestar social para el servidor público de la agencia y su núcleo familiar.</w:t>
      </w:r>
    </w:p>
    <w:p w14:paraId="5467F5B4" w14:textId="3ABCF492" w:rsidR="00C02282" w:rsidRPr="00123CD8" w:rsidRDefault="00123CD8" w:rsidP="00123CD8">
      <w:pPr>
        <w:pStyle w:val="Descripcin"/>
        <w:keepNext/>
        <w:jc w:val="center"/>
      </w:pPr>
      <w:r w:rsidRPr="00123CD8">
        <w:t xml:space="preserve"> </w:t>
      </w:r>
      <w:bookmarkStart w:id="135" w:name="_Toc525652506"/>
      <w:r w:rsidR="00C02282" w:rsidRPr="00123CD8">
        <w:t xml:space="preserve">Tabla </w:t>
      </w:r>
      <w:r w:rsidR="00C02282" w:rsidRPr="00123CD8">
        <w:fldChar w:fldCharType="begin"/>
      </w:r>
      <w:r w:rsidR="00C02282" w:rsidRPr="00123CD8">
        <w:instrText xml:space="preserve"> SEQ Tabla \* ARABIC </w:instrText>
      </w:r>
      <w:r w:rsidR="00C02282" w:rsidRPr="00123CD8">
        <w:fldChar w:fldCharType="separate"/>
      </w:r>
      <w:r w:rsidR="008B4625">
        <w:rPr>
          <w:noProof/>
        </w:rPr>
        <w:t>61</w:t>
      </w:r>
      <w:r w:rsidR="00C02282" w:rsidRPr="00123CD8">
        <w:fldChar w:fldCharType="end"/>
      </w:r>
      <w:r w:rsidR="00C02282" w:rsidRPr="00123CD8">
        <w:t>Ejecución Gasto</w:t>
      </w:r>
      <w:r w:rsidRPr="00123CD8">
        <w:t xml:space="preserve">s Generales – Talento Humano- 30 de junio de </w:t>
      </w:r>
      <w:r w:rsidR="00C02282" w:rsidRPr="00123CD8">
        <w:t xml:space="preserve"> 2018 ANH</w:t>
      </w:r>
      <w:bookmarkEnd w:id="135"/>
    </w:p>
    <w:tbl>
      <w:tblPr>
        <w:tblW w:w="9918" w:type="dxa"/>
        <w:jc w:val="center"/>
        <w:tblCellMar>
          <w:left w:w="70" w:type="dxa"/>
          <w:right w:w="70" w:type="dxa"/>
        </w:tblCellMar>
        <w:tblLook w:val="04A0" w:firstRow="1" w:lastRow="0" w:firstColumn="1" w:lastColumn="0" w:noHBand="0" w:noVBand="1"/>
      </w:tblPr>
      <w:tblGrid>
        <w:gridCol w:w="2381"/>
        <w:gridCol w:w="1440"/>
        <w:gridCol w:w="1656"/>
        <w:gridCol w:w="1620"/>
        <w:gridCol w:w="1522"/>
        <w:gridCol w:w="1299"/>
      </w:tblGrid>
      <w:tr w:rsidR="00123CD8" w14:paraId="2FE9B2CE" w14:textId="77777777" w:rsidTr="00123CD8">
        <w:trPr>
          <w:trHeight w:val="361"/>
          <w:jc w:val="center"/>
        </w:trPr>
        <w:tc>
          <w:tcPr>
            <w:tcW w:w="2381"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B1D05E8" w14:textId="77777777" w:rsidR="00123CD8" w:rsidRDefault="00123CD8">
            <w:pPr>
              <w:jc w:val="center"/>
              <w:rPr>
                <w:rFonts w:ascii="Arial" w:hAnsi="Arial" w:cs="Arial"/>
                <w:b/>
                <w:bCs/>
                <w:color w:val="000000"/>
              </w:rPr>
            </w:pPr>
            <w:r>
              <w:rPr>
                <w:rFonts w:ascii="Arial" w:hAnsi="Arial" w:cs="Arial"/>
                <w:b/>
                <w:bCs/>
              </w:rPr>
              <w:t>Descripción</w:t>
            </w:r>
          </w:p>
        </w:tc>
        <w:tc>
          <w:tcPr>
            <w:tcW w:w="1440" w:type="dxa"/>
            <w:tcBorders>
              <w:top w:val="single" w:sz="4" w:space="0" w:color="auto"/>
              <w:left w:val="nil"/>
              <w:bottom w:val="single" w:sz="4" w:space="0" w:color="auto"/>
              <w:right w:val="single" w:sz="4" w:space="0" w:color="auto"/>
            </w:tcBorders>
            <w:shd w:val="clear" w:color="auto" w:fill="4F81BD" w:themeFill="accent1"/>
            <w:noWrap/>
            <w:hideMark/>
          </w:tcPr>
          <w:p w14:paraId="03787172" w14:textId="77777777" w:rsidR="00123CD8" w:rsidRDefault="00123CD8">
            <w:pPr>
              <w:jc w:val="center"/>
              <w:rPr>
                <w:rFonts w:ascii="Arial" w:hAnsi="Arial" w:cs="Arial"/>
                <w:b/>
                <w:bCs/>
                <w:color w:val="000000"/>
              </w:rPr>
            </w:pPr>
            <w:r>
              <w:rPr>
                <w:rFonts w:ascii="Arial" w:hAnsi="Arial" w:cs="Arial"/>
                <w:b/>
                <w:bCs/>
              </w:rPr>
              <w:t xml:space="preserve"> Apropiación </w:t>
            </w:r>
          </w:p>
        </w:tc>
        <w:tc>
          <w:tcPr>
            <w:tcW w:w="1656" w:type="dxa"/>
            <w:tcBorders>
              <w:top w:val="single" w:sz="4" w:space="0" w:color="auto"/>
              <w:left w:val="nil"/>
              <w:bottom w:val="single" w:sz="4" w:space="0" w:color="auto"/>
              <w:right w:val="single" w:sz="4" w:space="0" w:color="auto"/>
            </w:tcBorders>
            <w:shd w:val="clear" w:color="auto" w:fill="4F81BD" w:themeFill="accent1"/>
            <w:noWrap/>
            <w:hideMark/>
          </w:tcPr>
          <w:p w14:paraId="3EA4E5ED" w14:textId="77777777" w:rsidR="00123CD8" w:rsidRDefault="00123CD8">
            <w:pPr>
              <w:jc w:val="center"/>
              <w:rPr>
                <w:rFonts w:ascii="Arial" w:hAnsi="Arial" w:cs="Arial"/>
                <w:b/>
                <w:bCs/>
                <w:color w:val="000000"/>
              </w:rPr>
            </w:pPr>
            <w:r>
              <w:rPr>
                <w:rFonts w:ascii="Arial" w:hAnsi="Arial" w:cs="Arial"/>
                <w:b/>
                <w:bCs/>
              </w:rPr>
              <w:t xml:space="preserve"> Disponibilidad </w:t>
            </w:r>
          </w:p>
        </w:tc>
        <w:tc>
          <w:tcPr>
            <w:tcW w:w="1620" w:type="dxa"/>
            <w:tcBorders>
              <w:top w:val="single" w:sz="4" w:space="0" w:color="auto"/>
              <w:left w:val="nil"/>
              <w:bottom w:val="single" w:sz="4" w:space="0" w:color="auto"/>
              <w:right w:val="single" w:sz="4" w:space="0" w:color="auto"/>
            </w:tcBorders>
            <w:shd w:val="clear" w:color="auto" w:fill="4F81BD" w:themeFill="accent1"/>
            <w:noWrap/>
            <w:hideMark/>
          </w:tcPr>
          <w:p w14:paraId="571581D3" w14:textId="77777777" w:rsidR="00123CD8" w:rsidRDefault="00123CD8">
            <w:pPr>
              <w:jc w:val="center"/>
              <w:rPr>
                <w:rFonts w:ascii="Arial" w:hAnsi="Arial" w:cs="Arial"/>
                <w:b/>
                <w:bCs/>
                <w:color w:val="000000"/>
              </w:rPr>
            </w:pPr>
            <w:r>
              <w:rPr>
                <w:rFonts w:ascii="Arial" w:hAnsi="Arial" w:cs="Arial"/>
                <w:b/>
                <w:bCs/>
              </w:rPr>
              <w:t xml:space="preserve"> Compromisos </w:t>
            </w:r>
          </w:p>
        </w:tc>
        <w:tc>
          <w:tcPr>
            <w:tcW w:w="1522" w:type="dxa"/>
            <w:tcBorders>
              <w:top w:val="single" w:sz="4" w:space="0" w:color="auto"/>
              <w:left w:val="nil"/>
              <w:bottom w:val="single" w:sz="4" w:space="0" w:color="auto"/>
              <w:right w:val="single" w:sz="4" w:space="0" w:color="auto"/>
            </w:tcBorders>
            <w:shd w:val="clear" w:color="auto" w:fill="4F81BD" w:themeFill="accent1"/>
            <w:noWrap/>
            <w:hideMark/>
          </w:tcPr>
          <w:p w14:paraId="6F22557D" w14:textId="77777777" w:rsidR="00123CD8" w:rsidRDefault="00123CD8">
            <w:pPr>
              <w:jc w:val="center"/>
              <w:rPr>
                <w:rFonts w:ascii="Arial" w:hAnsi="Arial" w:cs="Arial"/>
                <w:b/>
                <w:bCs/>
                <w:color w:val="000000"/>
              </w:rPr>
            </w:pPr>
            <w:r>
              <w:rPr>
                <w:rFonts w:ascii="Arial" w:hAnsi="Arial" w:cs="Arial"/>
                <w:b/>
                <w:bCs/>
              </w:rPr>
              <w:t xml:space="preserve"> Obligaciones </w:t>
            </w:r>
          </w:p>
        </w:tc>
        <w:tc>
          <w:tcPr>
            <w:tcW w:w="1299" w:type="dxa"/>
            <w:tcBorders>
              <w:top w:val="single" w:sz="4" w:space="0" w:color="auto"/>
              <w:left w:val="nil"/>
              <w:bottom w:val="single" w:sz="4" w:space="0" w:color="auto"/>
              <w:right w:val="single" w:sz="4" w:space="0" w:color="auto"/>
            </w:tcBorders>
            <w:shd w:val="clear" w:color="auto" w:fill="4F81BD" w:themeFill="accent1"/>
            <w:noWrap/>
            <w:hideMark/>
          </w:tcPr>
          <w:p w14:paraId="13369473" w14:textId="77777777" w:rsidR="00123CD8" w:rsidRDefault="00123CD8">
            <w:pPr>
              <w:jc w:val="center"/>
              <w:rPr>
                <w:rFonts w:ascii="Arial" w:hAnsi="Arial" w:cs="Arial"/>
                <w:b/>
                <w:bCs/>
                <w:color w:val="000000"/>
              </w:rPr>
            </w:pPr>
            <w:r>
              <w:rPr>
                <w:rFonts w:ascii="Arial" w:hAnsi="Arial" w:cs="Arial"/>
                <w:b/>
                <w:bCs/>
              </w:rPr>
              <w:t xml:space="preserve"> Pagos </w:t>
            </w:r>
          </w:p>
        </w:tc>
      </w:tr>
      <w:tr w:rsidR="00123CD8" w14:paraId="2D8EE347" w14:textId="77777777" w:rsidTr="00123CD8">
        <w:trPr>
          <w:trHeight w:val="300"/>
          <w:jc w:val="center"/>
        </w:trPr>
        <w:tc>
          <w:tcPr>
            <w:tcW w:w="2381" w:type="dxa"/>
            <w:tcBorders>
              <w:top w:val="nil"/>
              <w:left w:val="single" w:sz="4" w:space="0" w:color="auto"/>
              <w:bottom w:val="nil"/>
              <w:right w:val="single" w:sz="4" w:space="0" w:color="auto"/>
            </w:tcBorders>
            <w:noWrap/>
            <w:vAlign w:val="bottom"/>
            <w:hideMark/>
          </w:tcPr>
          <w:p w14:paraId="337D5710" w14:textId="77777777" w:rsidR="00123CD8" w:rsidRDefault="00123CD8">
            <w:pPr>
              <w:rPr>
                <w:rFonts w:ascii="Arial" w:hAnsi="Arial" w:cs="Arial"/>
                <w:b/>
                <w:bCs/>
                <w:color w:val="000000"/>
              </w:rPr>
            </w:pPr>
            <w:r>
              <w:rPr>
                <w:rFonts w:ascii="Arial" w:hAnsi="Arial" w:cs="Arial"/>
                <w:b/>
                <w:bCs/>
              </w:rPr>
              <w:t xml:space="preserve">Gastos Generales </w:t>
            </w:r>
          </w:p>
        </w:tc>
        <w:tc>
          <w:tcPr>
            <w:tcW w:w="1440" w:type="dxa"/>
            <w:tcBorders>
              <w:top w:val="nil"/>
              <w:left w:val="nil"/>
              <w:bottom w:val="nil"/>
              <w:right w:val="single" w:sz="4" w:space="0" w:color="auto"/>
            </w:tcBorders>
            <w:noWrap/>
            <w:vAlign w:val="center"/>
            <w:hideMark/>
          </w:tcPr>
          <w:p w14:paraId="6A81CC90" w14:textId="77777777" w:rsidR="00123CD8" w:rsidRDefault="00123CD8">
            <w:pPr>
              <w:jc w:val="right"/>
              <w:rPr>
                <w:rFonts w:ascii="Arial" w:hAnsi="Arial" w:cs="Arial"/>
                <w:color w:val="000000"/>
              </w:rPr>
            </w:pPr>
            <w:r>
              <w:rPr>
                <w:rFonts w:ascii="Arial" w:hAnsi="Arial" w:cs="Arial"/>
              </w:rPr>
              <w:t>$ 789</w:t>
            </w:r>
          </w:p>
        </w:tc>
        <w:tc>
          <w:tcPr>
            <w:tcW w:w="1656" w:type="dxa"/>
            <w:tcBorders>
              <w:top w:val="nil"/>
              <w:left w:val="nil"/>
              <w:bottom w:val="nil"/>
              <w:right w:val="single" w:sz="4" w:space="0" w:color="auto"/>
            </w:tcBorders>
            <w:noWrap/>
            <w:vAlign w:val="center"/>
            <w:hideMark/>
          </w:tcPr>
          <w:p w14:paraId="1091A2A8" w14:textId="77777777" w:rsidR="00123CD8" w:rsidRDefault="00123CD8">
            <w:pPr>
              <w:jc w:val="right"/>
              <w:rPr>
                <w:rFonts w:ascii="Arial" w:hAnsi="Arial" w:cs="Arial"/>
                <w:color w:val="000000"/>
              </w:rPr>
            </w:pPr>
            <w:r>
              <w:rPr>
                <w:rFonts w:ascii="Arial" w:hAnsi="Arial" w:cs="Arial"/>
              </w:rPr>
              <w:t>$ 392</w:t>
            </w:r>
          </w:p>
        </w:tc>
        <w:tc>
          <w:tcPr>
            <w:tcW w:w="1620" w:type="dxa"/>
            <w:tcBorders>
              <w:top w:val="nil"/>
              <w:left w:val="nil"/>
              <w:bottom w:val="nil"/>
              <w:right w:val="single" w:sz="4" w:space="0" w:color="auto"/>
            </w:tcBorders>
            <w:noWrap/>
            <w:vAlign w:val="center"/>
            <w:hideMark/>
          </w:tcPr>
          <w:p w14:paraId="3E19C18D" w14:textId="77777777" w:rsidR="00123CD8" w:rsidRDefault="00123CD8">
            <w:pPr>
              <w:jc w:val="right"/>
              <w:rPr>
                <w:rFonts w:ascii="Arial" w:hAnsi="Arial" w:cs="Arial"/>
                <w:color w:val="000000"/>
              </w:rPr>
            </w:pPr>
            <w:r>
              <w:rPr>
                <w:rFonts w:ascii="Arial" w:hAnsi="Arial" w:cs="Arial"/>
              </w:rPr>
              <w:t>$ 392</w:t>
            </w:r>
          </w:p>
        </w:tc>
        <w:tc>
          <w:tcPr>
            <w:tcW w:w="1522" w:type="dxa"/>
            <w:tcBorders>
              <w:top w:val="nil"/>
              <w:left w:val="nil"/>
              <w:bottom w:val="nil"/>
              <w:right w:val="single" w:sz="4" w:space="0" w:color="auto"/>
            </w:tcBorders>
            <w:noWrap/>
            <w:vAlign w:val="center"/>
            <w:hideMark/>
          </w:tcPr>
          <w:p w14:paraId="7D2312BD" w14:textId="77777777" w:rsidR="00123CD8" w:rsidRDefault="00123CD8">
            <w:pPr>
              <w:jc w:val="right"/>
              <w:rPr>
                <w:rFonts w:ascii="Arial" w:hAnsi="Arial" w:cs="Arial"/>
                <w:color w:val="000000"/>
              </w:rPr>
            </w:pPr>
            <w:r>
              <w:rPr>
                <w:rFonts w:ascii="Arial" w:hAnsi="Arial" w:cs="Arial"/>
              </w:rPr>
              <w:t>$ 0</w:t>
            </w:r>
          </w:p>
        </w:tc>
        <w:tc>
          <w:tcPr>
            <w:tcW w:w="1299" w:type="dxa"/>
            <w:tcBorders>
              <w:top w:val="nil"/>
              <w:left w:val="nil"/>
              <w:bottom w:val="nil"/>
              <w:right w:val="single" w:sz="4" w:space="0" w:color="auto"/>
            </w:tcBorders>
            <w:noWrap/>
            <w:vAlign w:val="center"/>
            <w:hideMark/>
          </w:tcPr>
          <w:p w14:paraId="4592D8AB" w14:textId="77777777" w:rsidR="00123CD8" w:rsidRDefault="00123CD8">
            <w:pPr>
              <w:jc w:val="right"/>
              <w:rPr>
                <w:rFonts w:ascii="Arial" w:hAnsi="Arial" w:cs="Arial"/>
                <w:color w:val="000000"/>
              </w:rPr>
            </w:pPr>
            <w:r>
              <w:rPr>
                <w:rFonts w:ascii="Arial" w:hAnsi="Arial" w:cs="Arial"/>
              </w:rPr>
              <w:t>$ 0</w:t>
            </w:r>
          </w:p>
        </w:tc>
      </w:tr>
      <w:tr w:rsidR="00123CD8" w14:paraId="1C548BA9" w14:textId="77777777" w:rsidTr="00123CD8">
        <w:trPr>
          <w:trHeight w:val="300"/>
          <w:jc w:val="center"/>
        </w:trPr>
        <w:tc>
          <w:tcPr>
            <w:tcW w:w="2381" w:type="dxa"/>
            <w:tcBorders>
              <w:top w:val="single" w:sz="4" w:space="0" w:color="auto"/>
              <w:left w:val="nil"/>
              <w:bottom w:val="nil"/>
              <w:right w:val="nil"/>
            </w:tcBorders>
            <w:noWrap/>
            <w:vAlign w:val="bottom"/>
            <w:hideMark/>
          </w:tcPr>
          <w:p w14:paraId="5DB1D563" w14:textId="77777777" w:rsidR="00123CD8" w:rsidRDefault="00123CD8">
            <w:pPr>
              <w:rPr>
                <w:rFonts w:ascii="Calibri" w:hAnsi="Calibri" w:cs="Times New Roman"/>
                <w:color w:val="000000"/>
                <w:sz w:val="19"/>
                <w:szCs w:val="19"/>
              </w:rPr>
            </w:pPr>
          </w:p>
        </w:tc>
        <w:tc>
          <w:tcPr>
            <w:tcW w:w="1440" w:type="dxa"/>
            <w:tcBorders>
              <w:top w:val="single" w:sz="4" w:space="0" w:color="auto"/>
              <w:left w:val="nil"/>
              <w:bottom w:val="nil"/>
              <w:right w:val="nil"/>
            </w:tcBorders>
            <w:noWrap/>
            <w:vAlign w:val="bottom"/>
            <w:hideMark/>
          </w:tcPr>
          <w:p w14:paraId="0A541275" w14:textId="77777777" w:rsidR="00123CD8" w:rsidRDefault="00123CD8">
            <w:pPr>
              <w:rPr>
                <w:rFonts w:ascii="Calibri" w:hAnsi="Calibri" w:cs="Times New Roman"/>
                <w:color w:val="000000"/>
                <w:sz w:val="19"/>
                <w:szCs w:val="19"/>
              </w:rPr>
            </w:pPr>
          </w:p>
        </w:tc>
        <w:tc>
          <w:tcPr>
            <w:tcW w:w="1656" w:type="dxa"/>
            <w:tcBorders>
              <w:top w:val="single" w:sz="4" w:space="0" w:color="auto"/>
              <w:left w:val="nil"/>
              <w:bottom w:val="nil"/>
              <w:right w:val="nil"/>
            </w:tcBorders>
            <w:noWrap/>
            <w:vAlign w:val="bottom"/>
            <w:hideMark/>
          </w:tcPr>
          <w:p w14:paraId="5654BDA9" w14:textId="77777777" w:rsidR="00123CD8" w:rsidRDefault="00123CD8">
            <w:pPr>
              <w:rPr>
                <w:rFonts w:ascii="Calibri" w:hAnsi="Calibri" w:cs="Times New Roman"/>
                <w:color w:val="000000"/>
                <w:sz w:val="19"/>
                <w:szCs w:val="19"/>
              </w:rPr>
            </w:pPr>
          </w:p>
        </w:tc>
        <w:tc>
          <w:tcPr>
            <w:tcW w:w="1620" w:type="dxa"/>
            <w:tcBorders>
              <w:top w:val="single" w:sz="4" w:space="0" w:color="auto"/>
              <w:left w:val="nil"/>
              <w:bottom w:val="nil"/>
              <w:right w:val="nil"/>
            </w:tcBorders>
            <w:noWrap/>
            <w:vAlign w:val="bottom"/>
            <w:hideMark/>
          </w:tcPr>
          <w:p w14:paraId="0BFCEE37" w14:textId="77777777" w:rsidR="00123CD8" w:rsidRDefault="00123CD8">
            <w:pPr>
              <w:rPr>
                <w:rFonts w:ascii="Calibri" w:hAnsi="Calibri" w:cs="Times New Roman"/>
                <w:color w:val="000000"/>
                <w:sz w:val="19"/>
                <w:szCs w:val="19"/>
              </w:rPr>
            </w:pPr>
          </w:p>
        </w:tc>
        <w:tc>
          <w:tcPr>
            <w:tcW w:w="1522" w:type="dxa"/>
            <w:tcBorders>
              <w:top w:val="single" w:sz="4" w:space="0" w:color="auto"/>
              <w:left w:val="nil"/>
              <w:bottom w:val="nil"/>
              <w:right w:val="nil"/>
            </w:tcBorders>
            <w:noWrap/>
            <w:vAlign w:val="bottom"/>
            <w:hideMark/>
          </w:tcPr>
          <w:p w14:paraId="014B6417" w14:textId="77777777" w:rsidR="00123CD8" w:rsidRDefault="00123CD8">
            <w:pPr>
              <w:rPr>
                <w:rFonts w:ascii="Calibri" w:hAnsi="Calibri" w:cs="Times New Roman"/>
                <w:color w:val="000000"/>
                <w:sz w:val="19"/>
                <w:szCs w:val="19"/>
              </w:rPr>
            </w:pPr>
          </w:p>
        </w:tc>
        <w:tc>
          <w:tcPr>
            <w:tcW w:w="1299" w:type="dxa"/>
            <w:tcBorders>
              <w:top w:val="single" w:sz="4" w:space="0" w:color="auto"/>
              <w:left w:val="nil"/>
              <w:bottom w:val="nil"/>
              <w:right w:val="nil"/>
            </w:tcBorders>
            <w:noWrap/>
            <w:vAlign w:val="bottom"/>
            <w:hideMark/>
          </w:tcPr>
          <w:p w14:paraId="444B6AFF" w14:textId="77777777" w:rsidR="00123CD8" w:rsidRDefault="00123CD8">
            <w:pPr>
              <w:rPr>
                <w:rFonts w:ascii="Calibri" w:hAnsi="Calibri" w:cs="Times New Roman"/>
                <w:color w:val="000000"/>
                <w:sz w:val="19"/>
                <w:szCs w:val="19"/>
              </w:rPr>
            </w:pPr>
          </w:p>
        </w:tc>
      </w:tr>
      <w:tr w:rsidR="00123CD8" w14:paraId="6ECADEE1" w14:textId="77777777" w:rsidTr="00123CD8">
        <w:trPr>
          <w:trHeight w:val="300"/>
          <w:jc w:val="center"/>
        </w:trPr>
        <w:tc>
          <w:tcPr>
            <w:tcW w:w="3821"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727E9B39" w14:textId="77777777" w:rsidR="00123CD8" w:rsidRDefault="00123CD8">
            <w:pPr>
              <w:jc w:val="center"/>
              <w:rPr>
                <w:rFonts w:ascii="Arial" w:hAnsi="Arial" w:cs="Arial"/>
                <w:b/>
                <w:bCs/>
                <w:color w:val="000000"/>
              </w:rPr>
            </w:pPr>
            <w:r>
              <w:rPr>
                <w:rFonts w:ascii="Arial" w:hAnsi="Arial" w:cs="Arial"/>
                <w:b/>
                <w:bCs/>
              </w:rPr>
              <w:t>Porcentaje de ejecución</w:t>
            </w:r>
          </w:p>
        </w:tc>
        <w:tc>
          <w:tcPr>
            <w:tcW w:w="1656"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E15C8D2" w14:textId="77777777" w:rsidR="00123CD8" w:rsidRDefault="00123CD8">
            <w:pPr>
              <w:jc w:val="right"/>
              <w:rPr>
                <w:rFonts w:ascii="Arial" w:hAnsi="Arial" w:cs="Arial"/>
                <w:b/>
                <w:bCs/>
                <w:color w:val="000000"/>
              </w:rPr>
            </w:pPr>
            <w:r>
              <w:rPr>
                <w:rFonts w:ascii="Arial" w:hAnsi="Arial" w:cs="Arial"/>
                <w:b/>
                <w:bCs/>
              </w:rPr>
              <w:t>50%</w:t>
            </w:r>
          </w:p>
        </w:tc>
        <w:tc>
          <w:tcPr>
            <w:tcW w:w="16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4C62EE1" w14:textId="77777777" w:rsidR="00123CD8" w:rsidRDefault="00123CD8">
            <w:pPr>
              <w:jc w:val="right"/>
              <w:rPr>
                <w:rFonts w:ascii="Arial" w:hAnsi="Arial" w:cs="Arial"/>
                <w:b/>
                <w:bCs/>
                <w:color w:val="000000"/>
              </w:rPr>
            </w:pPr>
            <w:r>
              <w:rPr>
                <w:rFonts w:ascii="Arial" w:hAnsi="Arial" w:cs="Arial"/>
                <w:b/>
                <w:bCs/>
              </w:rPr>
              <w:t>50%</w:t>
            </w:r>
          </w:p>
        </w:tc>
        <w:tc>
          <w:tcPr>
            <w:tcW w:w="152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2013AB0" w14:textId="77777777" w:rsidR="00123CD8" w:rsidRDefault="00123CD8">
            <w:pPr>
              <w:jc w:val="right"/>
              <w:rPr>
                <w:rFonts w:ascii="Arial" w:hAnsi="Arial" w:cs="Arial"/>
                <w:b/>
                <w:bCs/>
                <w:color w:val="000000"/>
              </w:rPr>
            </w:pPr>
            <w:r>
              <w:rPr>
                <w:rFonts w:ascii="Arial" w:hAnsi="Arial" w:cs="Arial"/>
                <w:b/>
                <w:bCs/>
              </w:rPr>
              <w:t>0%</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43560AE" w14:textId="77777777" w:rsidR="00123CD8" w:rsidRDefault="00123CD8">
            <w:pPr>
              <w:jc w:val="right"/>
              <w:rPr>
                <w:rFonts w:ascii="Arial" w:hAnsi="Arial" w:cs="Arial"/>
                <w:b/>
                <w:bCs/>
                <w:color w:val="000000"/>
              </w:rPr>
            </w:pPr>
            <w:r>
              <w:rPr>
                <w:rFonts w:ascii="Arial" w:hAnsi="Arial" w:cs="Arial"/>
                <w:b/>
                <w:bCs/>
              </w:rPr>
              <w:t>0%</w:t>
            </w:r>
          </w:p>
        </w:tc>
      </w:tr>
    </w:tbl>
    <w:p w14:paraId="3FBF6763" w14:textId="77D55E9D"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2CEE048D"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7C92D516" w14:textId="77777777" w:rsidR="00C02282" w:rsidRPr="00123CD8" w:rsidRDefault="00C02282" w:rsidP="00C02282">
      <w:pPr>
        <w:contextualSpacing/>
        <w:jc w:val="both"/>
        <w:rPr>
          <w:rFonts w:ascii="Arial" w:hAnsi="Arial" w:cs="Arial"/>
          <w:b/>
          <w:bCs/>
          <w:lang w:val="es-MX" w:eastAsia="es-ES"/>
        </w:rPr>
      </w:pPr>
      <w:r w:rsidRPr="00123CD8">
        <w:rPr>
          <w:rFonts w:ascii="Arial" w:hAnsi="Arial" w:cs="Arial"/>
          <w:b/>
          <w:bCs/>
          <w:lang w:val="es-MX" w:eastAsia="es-ES"/>
        </w:rPr>
        <w:t xml:space="preserve">Financiera </w:t>
      </w:r>
      <w:r w:rsidRPr="00123CD8">
        <w:rPr>
          <w:rFonts w:ascii="Arial" w:hAnsi="Arial" w:cs="Arial"/>
          <w:b/>
        </w:rPr>
        <w:t>-</w:t>
      </w:r>
      <w:r w:rsidRPr="00123CD8">
        <w:rPr>
          <w:rFonts w:ascii="Arial" w:hAnsi="Arial" w:cs="Arial"/>
          <w:b/>
          <w:bCs/>
          <w:lang w:val="es-MX" w:eastAsia="es-ES"/>
        </w:rPr>
        <w:t xml:space="preserve"> Vicepresidencia Administrativa y Financiera:</w:t>
      </w:r>
    </w:p>
    <w:p w14:paraId="2805A567" w14:textId="77777777" w:rsidR="00C02282" w:rsidRPr="00123CD8" w:rsidRDefault="00C02282" w:rsidP="00C02282">
      <w:pPr>
        <w:contextualSpacing/>
        <w:jc w:val="both"/>
        <w:rPr>
          <w:rFonts w:ascii="Arial" w:hAnsi="Arial" w:cs="Arial"/>
          <w:b/>
          <w:bCs/>
          <w:lang w:val="es-MX" w:eastAsia="es-ES"/>
        </w:rPr>
      </w:pPr>
    </w:p>
    <w:p w14:paraId="708D9D8A" w14:textId="77777777" w:rsidR="00123CD8" w:rsidRPr="00123CD8" w:rsidRDefault="00123CD8" w:rsidP="00123CD8">
      <w:pPr>
        <w:autoSpaceDE w:val="0"/>
        <w:autoSpaceDN w:val="0"/>
        <w:jc w:val="both"/>
        <w:rPr>
          <w:rFonts w:ascii="Arial" w:hAnsi="Arial" w:cs="Arial"/>
          <w:bCs/>
          <w:lang w:val="es-MX" w:eastAsia="es-ES"/>
        </w:rPr>
      </w:pPr>
      <w:r w:rsidRPr="00123CD8">
        <w:rPr>
          <w:rFonts w:ascii="Arial" w:hAnsi="Arial" w:cs="Arial"/>
          <w:bCs/>
          <w:lang w:val="es-MX" w:eastAsia="es-ES"/>
        </w:rPr>
        <w:t>En el rubro de Gastos Generales el compromiso adquirido y los pagos realizados por la coordinación financiera está soportado en el contrato firmado en el año 2014 que compromete vigencias futuras y que establece un compromiso para el año 2018 de $ 1.365 Millones de pesos y un pago mensual de $195 millones de pesos que son cargados al rubro de adquisición de otros bienes y servicios, el contrato realizado tiene como objeto  “La prestación de los servicios administrativos y financieros de apoyo a la gestión, para cubrir las actividades de presupuesto, contabilidad, facturación y pagos generales, soporte a la gestión administrativa de regalías, nómina, control de activos fijos, informes a entes de control y derechos de petición, bajo la modalidad de servicios externos (</w:t>
      </w:r>
      <w:proofErr w:type="spellStart"/>
      <w:r w:rsidRPr="00123CD8">
        <w:rPr>
          <w:rFonts w:ascii="Arial" w:hAnsi="Arial" w:cs="Arial"/>
          <w:bCs/>
          <w:lang w:val="es-MX" w:eastAsia="es-ES"/>
        </w:rPr>
        <w:t>Outsourcing</w:t>
      </w:r>
      <w:proofErr w:type="spellEnd"/>
      <w:r w:rsidRPr="00123CD8">
        <w:rPr>
          <w:rFonts w:ascii="Arial" w:hAnsi="Arial" w:cs="Arial"/>
          <w:bCs/>
          <w:lang w:val="es-MX" w:eastAsia="es-ES"/>
        </w:rPr>
        <w:t>).”</w:t>
      </w:r>
    </w:p>
    <w:p w14:paraId="58DD4E5F" w14:textId="1F2F1384" w:rsidR="00C02282" w:rsidRPr="00123CD8" w:rsidRDefault="00123CD8" w:rsidP="00123CD8">
      <w:pPr>
        <w:pStyle w:val="Descripcin"/>
        <w:keepNext/>
        <w:jc w:val="center"/>
      </w:pPr>
      <w:r w:rsidRPr="00123CD8">
        <w:t xml:space="preserve"> </w:t>
      </w:r>
      <w:bookmarkStart w:id="136" w:name="_Toc525652507"/>
      <w:r w:rsidR="00C02282" w:rsidRPr="00123CD8">
        <w:t xml:space="preserve">Tabla </w:t>
      </w:r>
      <w:r w:rsidR="00C02282" w:rsidRPr="00123CD8">
        <w:fldChar w:fldCharType="begin"/>
      </w:r>
      <w:r w:rsidR="00C02282" w:rsidRPr="00123CD8">
        <w:instrText xml:space="preserve"> SEQ Tabla \* ARABIC </w:instrText>
      </w:r>
      <w:r w:rsidR="00C02282" w:rsidRPr="00123CD8">
        <w:fldChar w:fldCharType="separate"/>
      </w:r>
      <w:r w:rsidR="008B4625">
        <w:rPr>
          <w:noProof/>
        </w:rPr>
        <w:t>62</w:t>
      </w:r>
      <w:r w:rsidR="00C02282" w:rsidRPr="00123CD8">
        <w:fldChar w:fldCharType="end"/>
      </w:r>
      <w:r w:rsidR="00C02282" w:rsidRPr="00123CD8">
        <w:t>Ejecución G</w:t>
      </w:r>
      <w:r>
        <w:t xml:space="preserve">astos Generales – Financiera- 3 de junio de </w:t>
      </w:r>
      <w:r w:rsidR="00C02282" w:rsidRPr="00123CD8">
        <w:t xml:space="preserve"> 2018 ANH</w:t>
      </w:r>
      <w:bookmarkEnd w:id="136"/>
    </w:p>
    <w:tbl>
      <w:tblPr>
        <w:tblW w:w="9662" w:type="dxa"/>
        <w:jc w:val="center"/>
        <w:tblCellMar>
          <w:left w:w="70" w:type="dxa"/>
          <w:right w:w="70" w:type="dxa"/>
        </w:tblCellMar>
        <w:tblLook w:val="04A0" w:firstRow="1" w:lastRow="0" w:firstColumn="1" w:lastColumn="0" w:noHBand="0" w:noVBand="1"/>
      </w:tblPr>
      <w:tblGrid>
        <w:gridCol w:w="2381"/>
        <w:gridCol w:w="1440"/>
        <w:gridCol w:w="1565"/>
        <w:gridCol w:w="1560"/>
        <w:gridCol w:w="1417"/>
        <w:gridCol w:w="1299"/>
      </w:tblGrid>
      <w:tr w:rsidR="00123CD8" w14:paraId="24C641CF" w14:textId="77777777" w:rsidTr="00123CD8">
        <w:trPr>
          <w:trHeight w:val="600"/>
          <w:jc w:val="center"/>
        </w:trPr>
        <w:tc>
          <w:tcPr>
            <w:tcW w:w="2381"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475897CF" w14:textId="77777777" w:rsidR="00123CD8" w:rsidRDefault="00123CD8">
            <w:pPr>
              <w:jc w:val="center"/>
              <w:rPr>
                <w:rFonts w:ascii="Arial" w:hAnsi="Arial" w:cs="Arial"/>
                <w:b/>
                <w:bCs/>
                <w:color w:val="000000"/>
                <w:sz w:val="16"/>
                <w:szCs w:val="16"/>
              </w:rPr>
            </w:pPr>
            <w:r>
              <w:rPr>
                <w:rFonts w:ascii="Arial" w:hAnsi="Arial" w:cs="Arial"/>
                <w:b/>
                <w:bCs/>
                <w:sz w:val="16"/>
                <w:szCs w:val="16"/>
              </w:rPr>
              <w:t>Descripción</w:t>
            </w:r>
          </w:p>
        </w:tc>
        <w:tc>
          <w:tcPr>
            <w:tcW w:w="144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CC4CC06" w14:textId="77777777" w:rsidR="00123CD8" w:rsidRDefault="00123CD8">
            <w:pPr>
              <w:jc w:val="center"/>
              <w:rPr>
                <w:rFonts w:ascii="Arial" w:hAnsi="Arial" w:cs="Arial"/>
                <w:b/>
                <w:bCs/>
                <w:color w:val="000000"/>
                <w:sz w:val="16"/>
                <w:szCs w:val="16"/>
              </w:rPr>
            </w:pPr>
            <w:r>
              <w:rPr>
                <w:rFonts w:ascii="Arial" w:hAnsi="Arial" w:cs="Arial"/>
                <w:b/>
                <w:bCs/>
                <w:sz w:val="16"/>
                <w:szCs w:val="16"/>
              </w:rPr>
              <w:t>Apropiación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4D3C445" w14:textId="77777777" w:rsidR="00123CD8" w:rsidRDefault="00123CD8">
            <w:pPr>
              <w:jc w:val="center"/>
              <w:rPr>
                <w:rFonts w:ascii="Arial" w:hAnsi="Arial" w:cs="Arial"/>
                <w:b/>
                <w:bCs/>
                <w:color w:val="000000"/>
                <w:sz w:val="16"/>
                <w:szCs w:val="16"/>
              </w:rPr>
            </w:pPr>
            <w:r>
              <w:rPr>
                <w:rFonts w:ascii="Arial" w:hAnsi="Arial" w:cs="Arial"/>
                <w:b/>
                <w:bCs/>
                <w:sz w:val="16"/>
                <w:szCs w:val="16"/>
              </w:rPr>
              <w:t>Disponibilidad</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B1D467D" w14:textId="77777777" w:rsidR="00123CD8" w:rsidRDefault="00123CD8">
            <w:pPr>
              <w:jc w:val="center"/>
              <w:rPr>
                <w:rFonts w:ascii="Arial" w:hAnsi="Arial" w:cs="Arial"/>
                <w:b/>
                <w:bCs/>
                <w:color w:val="000000"/>
                <w:sz w:val="16"/>
                <w:szCs w:val="16"/>
              </w:rPr>
            </w:pPr>
            <w:r>
              <w:rPr>
                <w:rFonts w:ascii="Arial" w:hAnsi="Arial" w:cs="Arial"/>
                <w:b/>
                <w:bCs/>
                <w:sz w:val="16"/>
                <w:szCs w:val="16"/>
              </w:rPr>
              <w:t>Compromisos</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D25DE75" w14:textId="77777777" w:rsidR="00123CD8" w:rsidRDefault="00123CD8">
            <w:pPr>
              <w:jc w:val="center"/>
              <w:rPr>
                <w:rFonts w:ascii="Arial" w:hAnsi="Arial" w:cs="Arial"/>
                <w:b/>
                <w:bCs/>
                <w:color w:val="000000"/>
                <w:sz w:val="16"/>
                <w:szCs w:val="16"/>
              </w:rPr>
            </w:pPr>
            <w:r>
              <w:rPr>
                <w:rFonts w:ascii="Arial" w:hAnsi="Arial" w:cs="Arial"/>
                <w:b/>
                <w:bCs/>
                <w:sz w:val="16"/>
                <w:szCs w:val="16"/>
              </w:rPr>
              <w:t>Obligaciones</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0D41F6C" w14:textId="77777777" w:rsidR="00123CD8" w:rsidRDefault="00123CD8">
            <w:pPr>
              <w:jc w:val="center"/>
              <w:rPr>
                <w:rFonts w:ascii="Arial" w:hAnsi="Arial" w:cs="Arial"/>
                <w:b/>
                <w:bCs/>
                <w:color w:val="000000"/>
                <w:sz w:val="16"/>
                <w:szCs w:val="16"/>
              </w:rPr>
            </w:pPr>
            <w:r>
              <w:rPr>
                <w:rFonts w:ascii="Arial" w:hAnsi="Arial" w:cs="Arial"/>
                <w:b/>
                <w:bCs/>
                <w:sz w:val="16"/>
                <w:szCs w:val="16"/>
              </w:rPr>
              <w:t>Pagos</w:t>
            </w:r>
          </w:p>
        </w:tc>
      </w:tr>
      <w:tr w:rsidR="00123CD8" w14:paraId="78CABD7F" w14:textId="77777777" w:rsidTr="00123CD8">
        <w:trPr>
          <w:trHeight w:val="300"/>
          <w:jc w:val="center"/>
        </w:trPr>
        <w:tc>
          <w:tcPr>
            <w:tcW w:w="2381" w:type="dxa"/>
            <w:tcBorders>
              <w:top w:val="nil"/>
              <w:left w:val="single" w:sz="4" w:space="0" w:color="auto"/>
              <w:bottom w:val="nil"/>
              <w:right w:val="single" w:sz="4" w:space="0" w:color="auto"/>
            </w:tcBorders>
            <w:noWrap/>
            <w:vAlign w:val="bottom"/>
            <w:hideMark/>
          </w:tcPr>
          <w:p w14:paraId="64D7784A" w14:textId="77777777" w:rsidR="00123CD8" w:rsidRDefault="00123CD8">
            <w:pPr>
              <w:rPr>
                <w:rFonts w:ascii="Arial" w:hAnsi="Arial" w:cs="Arial"/>
                <w:b/>
                <w:bCs/>
                <w:color w:val="000000"/>
                <w:sz w:val="16"/>
                <w:szCs w:val="16"/>
              </w:rPr>
            </w:pPr>
            <w:r>
              <w:rPr>
                <w:rFonts w:ascii="Arial" w:hAnsi="Arial" w:cs="Arial"/>
                <w:b/>
                <w:bCs/>
                <w:sz w:val="16"/>
                <w:szCs w:val="16"/>
              </w:rPr>
              <w:lastRenderedPageBreak/>
              <w:t xml:space="preserve">Gastos Generales </w:t>
            </w:r>
          </w:p>
        </w:tc>
        <w:tc>
          <w:tcPr>
            <w:tcW w:w="1440" w:type="dxa"/>
            <w:tcBorders>
              <w:top w:val="nil"/>
              <w:left w:val="nil"/>
              <w:bottom w:val="nil"/>
              <w:right w:val="single" w:sz="4" w:space="0" w:color="auto"/>
            </w:tcBorders>
            <w:noWrap/>
            <w:vAlign w:val="center"/>
            <w:hideMark/>
          </w:tcPr>
          <w:p w14:paraId="392EA3C6" w14:textId="77777777" w:rsidR="00123CD8" w:rsidRDefault="00123CD8">
            <w:pPr>
              <w:jc w:val="right"/>
              <w:rPr>
                <w:rFonts w:ascii="Arial" w:hAnsi="Arial" w:cs="Arial"/>
                <w:color w:val="000000"/>
                <w:sz w:val="16"/>
                <w:szCs w:val="16"/>
              </w:rPr>
            </w:pPr>
            <w:r>
              <w:rPr>
                <w:rFonts w:ascii="Arial" w:hAnsi="Arial" w:cs="Arial"/>
                <w:sz w:val="16"/>
                <w:szCs w:val="16"/>
              </w:rPr>
              <w:t>$ 1.823</w:t>
            </w:r>
          </w:p>
        </w:tc>
        <w:tc>
          <w:tcPr>
            <w:tcW w:w="1565" w:type="dxa"/>
            <w:tcBorders>
              <w:top w:val="nil"/>
              <w:left w:val="nil"/>
              <w:bottom w:val="nil"/>
              <w:right w:val="single" w:sz="4" w:space="0" w:color="auto"/>
            </w:tcBorders>
            <w:noWrap/>
            <w:vAlign w:val="center"/>
            <w:hideMark/>
          </w:tcPr>
          <w:p w14:paraId="4D4DA431" w14:textId="77777777" w:rsidR="00123CD8" w:rsidRDefault="00123CD8">
            <w:pPr>
              <w:jc w:val="right"/>
              <w:rPr>
                <w:rFonts w:ascii="Arial" w:hAnsi="Arial" w:cs="Arial"/>
                <w:color w:val="000000"/>
                <w:sz w:val="16"/>
                <w:szCs w:val="16"/>
              </w:rPr>
            </w:pPr>
            <w:r>
              <w:rPr>
                <w:rFonts w:ascii="Arial" w:hAnsi="Arial" w:cs="Arial"/>
                <w:sz w:val="16"/>
                <w:szCs w:val="16"/>
              </w:rPr>
              <w:t>$ 1.365</w:t>
            </w:r>
          </w:p>
        </w:tc>
        <w:tc>
          <w:tcPr>
            <w:tcW w:w="1560" w:type="dxa"/>
            <w:tcBorders>
              <w:top w:val="nil"/>
              <w:left w:val="nil"/>
              <w:bottom w:val="nil"/>
              <w:right w:val="single" w:sz="4" w:space="0" w:color="auto"/>
            </w:tcBorders>
            <w:noWrap/>
            <w:vAlign w:val="center"/>
            <w:hideMark/>
          </w:tcPr>
          <w:p w14:paraId="36A0CDA8" w14:textId="77777777" w:rsidR="00123CD8" w:rsidRDefault="00123CD8">
            <w:pPr>
              <w:jc w:val="right"/>
              <w:rPr>
                <w:rFonts w:ascii="Arial" w:hAnsi="Arial" w:cs="Arial"/>
                <w:color w:val="000000"/>
                <w:sz w:val="16"/>
                <w:szCs w:val="16"/>
              </w:rPr>
            </w:pPr>
            <w:r>
              <w:rPr>
                <w:rFonts w:ascii="Arial" w:hAnsi="Arial" w:cs="Arial"/>
                <w:sz w:val="16"/>
                <w:szCs w:val="16"/>
              </w:rPr>
              <w:t>$ 1.365</w:t>
            </w:r>
          </w:p>
        </w:tc>
        <w:tc>
          <w:tcPr>
            <w:tcW w:w="1417" w:type="dxa"/>
            <w:tcBorders>
              <w:top w:val="nil"/>
              <w:left w:val="nil"/>
              <w:bottom w:val="nil"/>
              <w:right w:val="single" w:sz="4" w:space="0" w:color="auto"/>
            </w:tcBorders>
            <w:noWrap/>
            <w:vAlign w:val="center"/>
            <w:hideMark/>
          </w:tcPr>
          <w:p w14:paraId="51FE8869" w14:textId="77777777" w:rsidR="00123CD8" w:rsidRDefault="00123CD8">
            <w:pPr>
              <w:jc w:val="right"/>
              <w:rPr>
                <w:rFonts w:ascii="Arial" w:hAnsi="Arial" w:cs="Arial"/>
                <w:color w:val="000000"/>
                <w:sz w:val="16"/>
                <w:szCs w:val="16"/>
              </w:rPr>
            </w:pPr>
            <w:r>
              <w:rPr>
                <w:rFonts w:ascii="Arial" w:hAnsi="Arial" w:cs="Arial"/>
                <w:sz w:val="16"/>
                <w:szCs w:val="16"/>
              </w:rPr>
              <w:t>$ 975</w:t>
            </w:r>
          </w:p>
        </w:tc>
        <w:tc>
          <w:tcPr>
            <w:tcW w:w="1299" w:type="dxa"/>
            <w:tcBorders>
              <w:top w:val="nil"/>
              <w:left w:val="nil"/>
              <w:bottom w:val="nil"/>
              <w:right w:val="single" w:sz="4" w:space="0" w:color="auto"/>
            </w:tcBorders>
            <w:noWrap/>
            <w:vAlign w:val="center"/>
            <w:hideMark/>
          </w:tcPr>
          <w:p w14:paraId="2CC410F1" w14:textId="77777777" w:rsidR="00123CD8" w:rsidRDefault="00123CD8">
            <w:pPr>
              <w:jc w:val="right"/>
              <w:rPr>
                <w:rFonts w:ascii="Arial" w:hAnsi="Arial" w:cs="Arial"/>
                <w:color w:val="000000"/>
                <w:sz w:val="16"/>
                <w:szCs w:val="16"/>
              </w:rPr>
            </w:pPr>
            <w:r>
              <w:rPr>
                <w:rFonts w:ascii="Arial" w:hAnsi="Arial" w:cs="Arial"/>
                <w:sz w:val="16"/>
                <w:szCs w:val="16"/>
              </w:rPr>
              <w:t>$ 780</w:t>
            </w:r>
          </w:p>
        </w:tc>
      </w:tr>
      <w:tr w:rsidR="00123CD8" w14:paraId="464BA4A6" w14:textId="77777777" w:rsidTr="00123CD8">
        <w:trPr>
          <w:trHeight w:val="300"/>
          <w:jc w:val="center"/>
        </w:trPr>
        <w:tc>
          <w:tcPr>
            <w:tcW w:w="2381" w:type="dxa"/>
            <w:tcBorders>
              <w:top w:val="single" w:sz="4" w:space="0" w:color="auto"/>
              <w:left w:val="nil"/>
              <w:bottom w:val="nil"/>
              <w:right w:val="nil"/>
            </w:tcBorders>
            <w:noWrap/>
            <w:vAlign w:val="bottom"/>
            <w:hideMark/>
          </w:tcPr>
          <w:p w14:paraId="14D4AA13" w14:textId="77777777" w:rsidR="00123CD8" w:rsidRDefault="00123CD8">
            <w:pPr>
              <w:rPr>
                <w:rFonts w:ascii="Calibri" w:hAnsi="Calibri" w:cs="Times New Roman"/>
                <w:color w:val="000000"/>
                <w:sz w:val="19"/>
                <w:szCs w:val="19"/>
              </w:rPr>
            </w:pPr>
          </w:p>
        </w:tc>
        <w:tc>
          <w:tcPr>
            <w:tcW w:w="1440" w:type="dxa"/>
            <w:tcBorders>
              <w:top w:val="single" w:sz="4" w:space="0" w:color="auto"/>
              <w:left w:val="nil"/>
              <w:bottom w:val="nil"/>
              <w:right w:val="nil"/>
            </w:tcBorders>
            <w:noWrap/>
            <w:vAlign w:val="bottom"/>
            <w:hideMark/>
          </w:tcPr>
          <w:p w14:paraId="3D8D54D3" w14:textId="77777777" w:rsidR="00123CD8" w:rsidRDefault="00123CD8">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71FBE5C9" w14:textId="77777777" w:rsidR="00123CD8" w:rsidRDefault="00123CD8">
            <w:pPr>
              <w:rPr>
                <w:rFonts w:ascii="Calibri" w:hAnsi="Calibri" w:cs="Times New Roman"/>
                <w:color w:val="000000"/>
                <w:sz w:val="19"/>
                <w:szCs w:val="19"/>
              </w:rPr>
            </w:pPr>
          </w:p>
        </w:tc>
        <w:tc>
          <w:tcPr>
            <w:tcW w:w="1560" w:type="dxa"/>
            <w:tcBorders>
              <w:top w:val="single" w:sz="4" w:space="0" w:color="auto"/>
              <w:left w:val="nil"/>
              <w:bottom w:val="nil"/>
              <w:right w:val="nil"/>
            </w:tcBorders>
            <w:noWrap/>
            <w:vAlign w:val="bottom"/>
            <w:hideMark/>
          </w:tcPr>
          <w:p w14:paraId="67AB46A1" w14:textId="77777777" w:rsidR="00123CD8" w:rsidRDefault="00123CD8">
            <w:pPr>
              <w:rPr>
                <w:rFonts w:ascii="Calibri" w:hAnsi="Calibri" w:cs="Times New Roman"/>
                <w:color w:val="000000"/>
                <w:sz w:val="19"/>
                <w:szCs w:val="19"/>
              </w:rPr>
            </w:pPr>
          </w:p>
        </w:tc>
        <w:tc>
          <w:tcPr>
            <w:tcW w:w="1417" w:type="dxa"/>
            <w:tcBorders>
              <w:top w:val="single" w:sz="4" w:space="0" w:color="auto"/>
              <w:left w:val="nil"/>
              <w:bottom w:val="nil"/>
              <w:right w:val="nil"/>
            </w:tcBorders>
            <w:noWrap/>
            <w:vAlign w:val="bottom"/>
            <w:hideMark/>
          </w:tcPr>
          <w:p w14:paraId="30C17D02" w14:textId="77777777" w:rsidR="00123CD8" w:rsidRDefault="00123CD8">
            <w:pPr>
              <w:rPr>
                <w:rFonts w:ascii="Calibri" w:hAnsi="Calibri" w:cs="Times New Roman"/>
                <w:color w:val="000000"/>
                <w:sz w:val="19"/>
                <w:szCs w:val="19"/>
              </w:rPr>
            </w:pPr>
          </w:p>
        </w:tc>
        <w:tc>
          <w:tcPr>
            <w:tcW w:w="1299" w:type="dxa"/>
            <w:tcBorders>
              <w:top w:val="single" w:sz="4" w:space="0" w:color="auto"/>
              <w:left w:val="nil"/>
              <w:bottom w:val="nil"/>
              <w:right w:val="nil"/>
            </w:tcBorders>
            <w:noWrap/>
            <w:vAlign w:val="bottom"/>
            <w:hideMark/>
          </w:tcPr>
          <w:p w14:paraId="09E58C7F" w14:textId="77777777" w:rsidR="00123CD8" w:rsidRDefault="00123CD8">
            <w:pPr>
              <w:rPr>
                <w:rFonts w:ascii="Calibri" w:hAnsi="Calibri" w:cs="Times New Roman"/>
                <w:color w:val="000000"/>
                <w:sz w:val="19"/>
                <w:szCs w:val="19"/>
              </w:rPr>
            </w:pPr>
          </w:p>
        </w:tc>
      </w:tr>
      <w:tr w:rsidR="00123CD8" w:rsidRPr="00123CD8" w14:paraId="7D100173" w14:textId="77777777" w:rsidTr="00123CD8">
        <w:trPr>
          <w:trHeight w:val="300"/>
          <w:jc w:val="center"/>
        </w:trPr>
        <w:tc>
          <w:tcPr>
            <w:tcW w:w="3821"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EF85D34"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91C791E"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75%</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45F5CF2"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75%</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97DA314"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53%</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3E61713"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43%</w:t>
            </w:r>
          </w:p>
        </w:tc>
      </w:tr>
    </w:tbl>
    <w:p w14:paraId="55A9D0D6" w14:textId="6A1498E7"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77154AF8" w14:textId="727B4572" w:rsidR="00C02282" w:rsidRPr="00123CD8" w:rsidRDefault="00C02282" w:rsidP="00803CC6">
      <w:pPr>
        <w:jc w:val="center"/>
        <w:rPr>
          <w:rFonts w:cs="Arial"/>
          <w:b/>
        </w:rPr>
      </w:pPr>
      <w:r w:rsidRPr="00123CD8">
        <w:rPr>
          <w:rFonts w:ascii="Calibri" w:hAnsi="Calibri" w:cs="Calibri"/>
          <w:sz w:val="18"/>
          <w:szCs w:val="18"/>
        </w:rPr>
        <w:t>Fuente SIIF</w:t>
      </w:r>
    </w:p>
    <w:p w14:paraId="06EA058E" w14:textId="77777777" w:rsidR="00C02282" w:rsidRPr="00123CD8" w:rsidRDefault="00C02282" w:rsidP="00055F7C">
      <w:pPr>
        <w:pStyle w:val="Prrafodelista"/>
        <w:numPr>
          <w:ilvl w:val="0"/>
          <w:numId w:val="9"/>
        </w:numPr>
        <w:suppressAutoHyphens/>
        <w:autoSpaceDN w:val="0"/>
        <w:contextualSpacing/>
        <w:textAlignment w:val="baseline"/>
        <w:rPr>
          <w:rFonts w:cs="Arial"/>
          <w:b/>
        </w:rPr>
      </w:pPr>
      <w:r w:rsidRPr="00123CD8">
        <w:rPr>
          <w:rFonts w:cs="Arial"/>
          <w:b/>
        </w:rPr>
        <w:t>Transferencias Corrientes</w:t>
      </w:r>
    </w:p>
    <w:p w14:paraId="582F9C72" w14:textId="024DCB83" w:rsidR="00123CD8" w:rsidRPr="00123CD8" w:rsidRDefault="00123CD8" w:rsidP="00123CD8">
      <w:pPr>
        <w:autoSpaceDE w:val="0"/>
        <w:autoSpaceDN w:val="0"/>
        <w:jc w:val="both"/>
        <w:rPr>
          <w:rFonts w:ascii="Arial" w:hAnsi="Arial" w:cs="Arial"/>
          <w:bCs/>
          <w:lang w:val="es-MX" w:eastAsia="es-ES"/>
        </w:rPr>
      </w:pPr>
      <w:r w:rsidRPr="00123CD8">
        <w:rPr>
          <w:rFonts w:ascii="Arial" w:hAnsi="Arial" w:cs="Arial"/>
          <w:bCs/>
          <w:lang w:val="es-MX" w:eastAsia="es-ES"/>
        </w:rPr>
        <w:t xml:space="preserve">Las transferencias corrientes están integradas por los excedentes financieros, la cuota de </w:t>
      </w:r>
      <w:proofErr w:type="spellStart"/>
      <w:r w:rsidRPr="00123CD8">
        <w:rPr>
          <w:rFonts w:ascii="Arial" w:hAnsi="Arial" w:cs="Arial"/>
          <w:bCs/>
          <w:lang w:val="es-MX" w:eastAsia="es-ES"/>
        </w:rPr>
        <w:t>auditaje</w:t>
      </w:r>
      <w:proofErr w:type="spellEnd"/>
      <w:r w:rsidRPr="00123CD8">
        <w:rPr>
          <w:rFonts w:ascii="Arial" w:hAnsi="Arial" w:cs="Arial"/>
          <w:bCs/>
          <w:lang w:val="es-MX" w:eastAsia="es-ES"/>
        </w:rPr>
        <w:t xml:space="preserve"> de la Contraloría General de la República y Sentencias y Conciliaciones. Al cierre del primer trimestre se expidieron compromisos por la suma de $270.000 millones, equivalente a un 100% de ejecución sobre el total apropiado para la vigencia.</w:t>
      </w:r>
    </w:p>
    <w:p w14:paraId="3591B0C2" w14:textId="77777777" w:rsidR="00123CD8" w:rsidRPr="00123CD8" w:rsidRDefault="00123CD8" w:rsidP="00123CD8">
      <w:pPr>
        <w:autoSpaceDE w:val="0"/>
        <w:autoSpaceDN w:val="0"/>
        <w:jc w:val="both"/>
        <w:rPr>
          <w:rFonts w:ascii="Arial" w:hAnsi="Arial" w:cs="Arial"/>
          <w:bCs/>
          <w:lang w:val="es-MX" w:eastAsia="es-ES"/>
        </w:rPr>
      </w:pPr>
      <w:r w:rsidRPr="00123CD8">
        <w:rPr>
          <w:rFonts w:ascii="Arial" w:hAnsi="Arial" w:cs="Arial"/>
          <w:bCs/>
          <w:lang w:val="es-MX" w:eastAsia="es-ES"/>
        </w:rPr>
        <w:t xml:space="preserve">Durante el primer trimestre (febrero de 2018), se realizó el giro a la Nación de los Excedentes Financieros según </w:t>
      </w:r>
      <w:proofErr w:type="spellStart"/>
      <w:r w:rsidRPr="00123CD8">
        <w:rPr>
          <w:rFonts w:ascii="Arial" w:hAnsi="Arial" w:cs="Arial"/>
          <w:bCs/>
          <w:lang w:val="es-MX" w:eastAsia="es-ES"/>
        </w:rPr>
        <w:t>Conpes</w:t>
      </w:r>
      <w:proofErr w:type="spellEnd"/>
      <w:r w:rsidRPr="00123CD8">
        <w:rPr>
          <w:rFonts w:ascii="Arial" w:hAnsi="Arial" w:cs="Arial"/>
          <w:bCs/>
          <w:lang w:val="es-MX" w:eastAsia="es-ES"/>
        </w:rPr>
        <w:t xml:space="preserve"> Nro. 3912 por valor de $270.000 millones.</w:t>
      </w:r>
    </w:p>
    <w:p w14:paraId="4A7110BA" w14:textId="1C5C1736" w:rsidR="00C02282" w:rsidRPr="00123CD8" w:rsidRDefault="00C02282" w:rsidP="00C02282">
      <w:pPr>
        <w:pStyle w:val="Descripcin"/>
        <w:keepNext/>
        <w:jc w:val="center"/>
      </w:pPr>
      <w:bookmarkStart w:id="137" w:name="_Toc525652508"/>
      <w:r w:rsidRPr="00123CD8">
        <w:t xml:space="preserve">Tabla </w:t>
      </w:r>
      <w:r w:rsidRPr="00123CD8">
        <w:fldChar w:fldCharType="begin"/>
      </w:r>
      <w:r w:rsidRPr="00123CD8">
        <w:instrText xml:space="preserve"> SEQ Tabla \* ARABIC </w:instrText>
      </w:r>
      <w:r w:rsidRPr="00123CD8">
        <w:fldChar w:fldCharType="separate"/>
      </w:r>
      <w:r w:rsidR="008B4625">
        <w:rPr>
          <w:noProof/>
        </w:rPr>
        <w:t>63</w:t>
      </w:r>
      <w:r w:rsidRPr="00123CD8">
        <w:fldChar w:fldCharType="end"/>
      </w:r>
      <w:r w:rsidRPr="00123CD8">
        <w:t xml:space="preserve">Ejecución Gastos Generales – Transferencia Corrientes </w:t>
      </w:r>
      <w:r w:rsidR="00123CD8" w:rsidRPr="00123CD8">
        <w:t>–</w:t>
      </w:r>
      <w:r w:rsidRPr="00123CD8">
        <w:t xml:space="preserve"> 3</w:t>
      </w:r>
      <w:r w:rsidR="00123CD8" w:rsidRPr="00123CD8">
        <w:t xml:space="preserve">0 de junio de </w:t>
      </w:r>
      <w:r w:rsidRPr="00123CD8">
        <w:t xml:space="preserve"> 2018 ANH</w:t>
      </w:r>
      <w:bookmarkEnd w:id="137"/>
    </w:p>
    <w:tbl>
      <w:tblPr>
        <w:tblW w:w="3682" w:type="pct"/>
        <w:tblCellMar>
          <w:left w:w="70" w:type="dxa"/>
          <w:right w:w="70" w:type="dxa"/>
        </w:tblCellMar>
        <w:tblLook w:val="04A0" w:firstRow="1" w:lastRow="0" w:firstColumn="1" w:lastColumn="0" w:noHBand="0" w:noVBand="1"/>
      </w:tblPr>
      <w:tblGrid>
        <w:gridCol w:w="2492"/>
        <w:gridCol w:w="1254"/>
        <w:gridCol w:w="1640"/>
        <w:gridCol w:w="1359"/>
        <w:gridCol w:w="1359"/>
        <w:gridCol w:w="1280"/>
      </w:tblGrid>
      <w:tr w:rsidR="00803CC6" w14:paraId="1858822A" w14:textId="77777777" w:rsidTr="00803CC6">
        <w:trPr>
          <w:trHeight w:val="412"/>
        </w:trPr>
        <w:tc>
          <w:tcPr>
            <w:tcW w:w="1328"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50D1492" w14:textId="77777777" w:rsidR="00123CD8" w:rsidRDefault="00123CD8">
            <w:pPr>
              <w:jc w:val="center"/>
              <w:rPr>
                <w:rFonts w:ascii="Arial" w:hAnsi="Arial" w:cs="Arial"/>
                <w:b/>
                <w:bCs/>
                <w:color w:val="000000"/>
                <w:sz w:val="16"/>
                <w:szCs w:val="16"/>
              </w:rPr>
            </w:pPr>
            <w:r>
              <w:rPr>
                <w:rFonts w:ascii="Arial" w:hAnsi="Arial" w:cs="Arial"/>
                <w:b/>
                <w:bCs/>
                <w:sz w:val="16"/>
                <w:szCs w:val="16"/>
              </w:rPr>
              <w:t>DESCRIPCIÓN</w:t>
            </w:r>
          </w:p>
        </w:tc>
        <w:tc>
          <w:tcPr>
            <w:tcW w:w="668"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1DAEBC6" w14:textId="77777777" w:rsidR="00123CD8" w:rsidRDefault="00123CD8">
            <w:pPr>
              <w:jc w:val="center"/>
              <w:rPr>
                <w:rFonts w:ascii="Arial" w:hAnsi="Arial" w:cs="Arial"/>
                <w:b/>
                <w:bCs/>
                <w:color w:val="000000"/>
                <w:sz w:val="16"/>
                <w:szCs w:val="16"/>
              </w:rPr>
            </w:pPr>
            <w:r>
              <w:rPr>
                <w:rFonts w:ascii="Arial" w:hAnsi="Arial" w:cs="Arial"/>
                <w:b/>
                <w:bCs/>
                <w:sz w:val="16"/>
                <w:szCs w:val="16"/>
              </w:rPr>
              <w:t>APROPIACIÓN DEFINITIVA</w:t>
            </w:r>
          </w:p>
        </w:tc>
        <w:tc>
          <w:tcPr>
            <w:tcW w:w="874"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693D064" w14:textId="77777777" w:rsidR="00123CD8" w:rsidRDefault="00123CD8">
            <w:pPr>
              <w:jc w:val="center"/>
              <w:rPr>
                <w:rFonts w:ascii="Arial" w:hAnsi="Arial" w:cs="Arial"/>
                <w:b/>
                <w:bCs/>
                <w:color w:val="000000"/>
                <w:sz w:val="16"/>
                <w:szCs w:val="16"/>
              </w:rPr>
            </w:pPr>
            <w:r>
              <w:rPr>
                <w:rFonts w:ascii="Arial" w:hAnsi="Arial" w:cs="Arial"/>
                <w:b/>
                <w:bCs/>
                <w:sz w:val="16"/>
                <w:szCs w:val="16"/>
              </w:rPr>
              <w:t>DISPONIBILIDADES ACUMULADAS</w:t>
            </w:r>
          </w:p>
        </w:tc>
        <w:tc>
          <w:tcPr>
            <w:tcW w:w="724"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5FAE4E6A" w14:textId="77777777" w:rsidR="00123CD8" w:rsidRDefault="00123CD8">
            <w:pPr>
              <w:jc w:val="center"/>
              <w:rPr>
                <w:rFonts w:ascii="Arial" w:hAnsi="Arial" w:cs="Arial"/>
                <w:b/>
                <w:bCs/>
                <w:color w:val="000000"/>
                <w:sz w:val="16"/>
                <w:szCs w:val="16"/>
              </w:rPr>
            </w:pPr>
            <w:r>
              <w:rPr>
                <w:rFonts w:ascii="Arial" w:hAnsi="Arial" w:cs="Arial"/>
                <w:b/>
                <w:bCs/>
                <w:sz w:val="16"/>
                <w:szCs w:val="16"/>
              </w:rPr>
              <w:t>COMPROMISOS ACUMULADOS</w:t>
            </w:r>
          </w:p>
        </w:tc>
        <w:tc>
          <w:tcPr>
            <w:tcW w:w="724"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D031A4A" w14:textId="77777777" w:rsidR="00123CD8" w:rsidRDefault="00123CD8">
            <w:pPr>
              <w:jc w:val="center"/>
              <w:rPr>
                <w:rFonts w:ascii="Arial" w:hAnsi="Arial" w:cs="Arial"/>
                <w:b/>
                <w:bCs/>
                <w:color w:val="000000"/>
                <w:sz w:val="16"/>
                <w:szCs w:val="16"/>
              </w:rPr>
            </w:pPr>
            <w:r>
              <w:rPr>
                <w:rFonts w:ascii="Arial" w:hAnsi="Arial" w:cs="Arial"/>
                <w:b/>
                <w:bCs/>
                <w:sz w:val="16"/>
                <w:szCs w:val="16"/>
              </w:rPr>
              <w:t>OBLIGACIONES ACUMULADAS</w:t>
            </w:r>
          </w:p>
        </w:tc>
        <w:tc>
          <w:tcPr>
            <w:tcW w:w="682"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B14644C" w14:textId="77777777" w:rsidR="00123CD8" w:rsidRDefault="00123CD8">
            <w:pPr>
              <w:jc w:val="center"/>
              <w:rPr>
                <w:rFonts w:ascii="Arial" w:hAnsi="Arial" w:cs="Arial"/>
                <w:b/>
                <w:bCs/>
                <w:color w:val="000000"/>
                <w:sz w:val="16"/>
                <w:szCs w:val="16"/>
              </w:rPr>
            </w:pPr>
            <w:r>
              <w:rPr>
                <w:rFonts w:ascii="Arial" w:hAnsi="Arial" w:cs="Arial"/>
                <w:b/>
                <w:bCs/>
                <w:sz w:val="16"/>
                <w:szCs w:val="16"/>
              </w:rPr>
              <w:t>PAGOS ACUMULADOS</w:t>
            </w:r>
          </w:p>
        </w:tc>
      </w:tr>
      <w:tr w:rsidR="00123CD8" w14:paraId="0218CC88" w14:textId="77777777" w:rsidTr="00803CC6">
        <w:trPr>
          <w:trHeight w:val="509"/>
        </w:trPr>
        <w:tc>
          <w:tcPr>
            <w:tcW w:w="1328" w:type="pct"/>
            <w:vMerge/>
            <w:tcBorders>
              <w:top w:val="single" w:sz="8" w:space="0" w:color="auto"/>
              <w:left w:val="single" w:sz="8" w:space="0" w:color="auto"/>
              <w:bottom w:val="single" w:sz="8" w:space="0" w:color="000000"/>
              <w:right w:val="single" w:sz="8" w:space="0" w:color="auto"/>
            </w:tcBorders>
            <w:vAlign w:val="center"/>
            <w:hideMark/>
          </w:tcPr>
          <w:p w14:paraId="168654D6" w14:textId="77777777" w:rsidR="00123CD8" w:rsidRDefault="00123CD8">
            <w:pPr>
              <w:rPr>
                <w:rFonts w:ascii="Arial" w:hAnsi="Arial" w:cs="Arial"/>
                <w:b/>
                <w:bCs/>
                <w:color w:val="000000"/>
                <w:sz w:val="16"/>
                <w:szCs w:val="16"/>
              </w:rPr>
            </w:pPr>
          </w:p>
        </w:tc>
        <w:tc>
          <w:tcPr>
            <w:tcW w:w="668" w:type="pct"/>
            <w:vMerge/>
            <w:tcBorders>
              <w:top w:val="single" w:sz="8" w:space="0" w:color="auto"/>
              <w:left w:val="single" w:sz="8" w:space="0" w:color="auto"/>
              <w:bottom w:val="single" w:sz="8" w:space="0" w:color="000000"/>
              <w:right w:val="single" w:sz="8" w:space="0" w:color="auto"/>
            </w:tcBorders>
            <w:vAlign w:val="center"/>
            <w:hideMark/>
          </w:tcPr>
          <w:p w14:paraId="3A714579" w14:textId="77777777" w:rsidR="00123CD8" w:rsidRDefault="00123CD8">
            <w:pPr>
              <w:rPr>
                <w:rFonts w:ascii="Arial" w:hAnsi="Arial" w:cs="Arial"/>
                <w:b/>
                <w:bCs/>
                <w:color w:val="000000"/>
                <w:sz w:val="16"/>
                <w:szCs w:val="16"/>
              </w:rPr>
            </w:pPr>
          </w:p>
        </w:tc>
        <w:tc>
          <w:tcPr>
            <w:tcW w:w="874" w:type="pct"/>
            <w:vMerge/>
            <w:tcBorders>
              <w:top w:val="single" w:sz="8" w:space="0" w:color="auto"/>
              <w:left w:val="single" w:sz="8" w:space="0" w:color="auto"/>
              <w:bottom w:val="single" w:sz="8" w:space="0" w:color="000000"/>
              <w:right w:val="single" w:sz="8" w:space="0" w:color="auto"/>
            </w:tcBorders>
            <w:vAlign w:val="center"/>
            <w:hideMark/>
          </w:tcPr>
          <w:p w14:paraId="2683017C" w14:textId="77777777" w:rsidR="00123CD8" w:rsidRDefault="00123CD8">
            <w:pPr>
              <w:rPr>
                <w:rFonts w:ascii="Arial" w:hAnsi="Arial" w:cs="Arial"/>
                <w:b/>
                <w:bCs/>
                <w:color w:val="000000"/>
                <w:sz w:val="16"/>
                <w:szCs w:val="16"/>
              </w:rPr>
            </w:pPr>
          </w:p>
        </w:tc>
        <w:tc>
          <w:tcPr>
            <w:tcW w:w="724" w:type="pct"/>
            <w:vMerge/>
            <w:tcBorders>
              <w:top w:val="single" w:sz="8" w:space="0" w:color="auto"/>
              <w:left w:val="single" w:sz="8" w:space="0" w:color="auto"/>
              <w:bottom w:val="single" w:sz="8" w:space="0" w:color="000000"/>
              <w:right w:val="single" w:sz="8" w:space="0" w:color="auto"/>
            </w:tcBorders>
            <w:vAlign w:val="center"/>
            <w:hideMark/>
          </w:tcPr>
          <w:p w14:paraId="0ADCB350" w14:textId="77777777" w:rsidR="00123CD8" w:rsidRDefault="00123CD8">
            <w:pPr>
              <w:rPr>
                <w:rFonts w:ascii="Arial" w:hAnsi="Arial" w:cs="Arial"/>
                <w:b/>
                <w:bCs/>
                <w:color w:val="000000"/>
                <w:sz w:val="16"/>
                <w:szCs w:val="16"/>
              </w:rPr>
            </w:pPr>
          </w:p>
        </w:tc>
        <w:tc>
          <w:tcPr>
            <w:tcW w:w="724" w:type="pct"/>
            <w:vMerge/>
            <w:tcBorders>
              <w:top w:val="single" w:sz="8" w:space="0" w:color="auto"/>
              <w:left w:val="single" w:sz="8" w:space="0" w:color="auto"/>
              <w:bottom w:val="single" w:sz="8" w:space="0" w:color="000000"/>
              <w:right w:val="single" w:sz="8" w:space="0" w:color="auto"/>
            </w:tcBorders>
            <w:vAlign w:val="center"/>
            <w:hideMark/>
          </w:tcPr>
          <w:p w14:paraId="4FD7BF8E" w14:textId="77777777" w:rsidR="00123CD8" w:rsidRDefault="00123CD8">
            <w:pPr>
              <w:rPr>
                <w:rFonts w:ascii="Arial" w:hAnsi="Arial" w:cs="Arial"/>
                <w:b/>
                <w:bCs/>
                <w:color w:val="000000"/>
                <w:sz w:val="16"/>
                <w:szCs w:val="16"/>
              </w:rPr>
            </w:pPr>
          </w:p>
        </w:tc>
        <w:tc>
          <w:tcPr>
            <w:tcW w:w="682" w:type="pct"/>
            <w:vMerge/>
            <w:tcBorders>
              <w:top w:val="single" w:sz="8" w:space="0" w:color="auto"/>
              <w:left w:val="single" w:sz="8" w:space="0" w:color="auto"/>
              <w:bottom w:val="single" w:sz="8" w:space="0" w:color="000000"/>
              <w:right w:val="single" w:sz="8" w:space="0" w:color="auto"/>
            </w:tcBorders>
            <w:vAlign w:val="center"/>
            <w:hideMark/>
          </w:tcPr>
          <w:p w14:paraId="22DC8CF8" w14:textId="77777777" w:rsidR="00123CD8" w:rsidRDefault="00123CD8">
            <w:pPr>
              <w:rPr>
                <w:rFonts w:ascii="Arial" w:hAnsi="Arial" w:cs="Arial"/>
                <w:b/>
                <w:bCs/>
                <w:color w:val="000000"/>
                <w:sz w:val="16"/>
                <w:szCs w:val="16"/>
              </w:rPr>
            </w:pPr>
          </w:p>
        </w:tc>
      </w:tr>
      <w:tr w:rsidR="00803CC6" w14:paraId="20905287" w14:textId="77777777" w:rsidTr="00803CC6">
        <w:trPr>
          <w:trHeight w:val="231"/>
        </w:trPr>
        <w:tc>
          <w:tcPr>
            <w:tcW w:w="1328" w:type="pct"/>
            <w:tcBorders>
              <w:top w:val="nil"/>
              <w:left w:val="single" w:sz="8" w:space="0" w:color="auto"/>
              <w:bottom w:val="single" w:sz="8" w:space="0" w:color="auto"/>
              <w:right w:val="single" w:sz="8" w:space="0" w:color="auto"/>
            </w:tcBorders>
            <w:vAlign w:val="center"/>
            <w:hideMark/>
          </w:tcPr>
          <w:p w14:paraId="0C6B26FF" w14:textId="77777777" w:rsidR="00123CD8" w:rsidRDefault="00123CD8">
            <w:pPr>
              <w:rPr>
                <w:rFonts w:ascii="Arial" w:hAnsi="Arial" w:cs="Arial"/>
                <w:color w:val="000000"/>
                <w:sz w:val="16"/>
                <w:szCs w:val="16"/>
              </w:rPr>
            </w:pPr>
            <w:r>
              <w:rPr>
                <w:rFonts w:ascii="Arial" w:hAnsi="Arial" w:cs="Arial"/>
                <w:sz w:val="16"/>
                <w:szCs w:val="16"/>
              </w:rPr>
              <w:t>TRANSFERENCIAS CORRIENTES</w:t>
            </w:r>
          </w:p>
        </w:tc>
        <w:tc>
          <w:tcPr>
            <w:tcW w:w="668" w:type="pct"/>
            <w:tcBorders>
              <w:top w:val="nil"/>
              <w:left w:val="nil"/>
              <w:bottom w:val="single" w:sz="8" w:space="0" w:color="auto"/>
              <w:right w:val="single" w:sz="8" w:space="0" w:color="auto"/>
            </w:tcBorders>
            <w:noWrap/>
            <w:vAlign w:val="center"/>
            <w:hideMark/>
          </w:tcPr>
          <w:p w14:paraId="05C3B0DA" w14:textId="77777777" w:rsidR="00123CD8" w:rsidRDefault="00123CD8">
            <w:pPr>
              <w:jc w:val="right"/>
              <w:rPr>
                <w:rFonts w:ascii="Arial" w:hAnsi="Arial" w:cs="Arial"/>
                <w:color w:val="000000"/>
                <w:sz w:val="16"/>
                <w:szCs w:val="16"/>
              </w:rPr>
            </w:pPr>
            <w:r>
              <w:rPr>
                <w:rFonts w:ascii="Arial" w:hAnsi="Arial" w:cs="Arial"/>
                <w:sz w:val="16"/>
                <w:szCs w:val="16"/>
              </w:rPr>
              <w:t>276.579</w:t>
            </w:r>
          </w:p>
        </w:tc>
        <w:tc>
          <w:tcPr>
            <w:tcW w:w="874" w:type="pct"/>
            <w:tcBorders>
              <w:top w:val="nil"/>
              <w:left w:val="nil"/>
              <w:bottom w:val="single" w:sz="8" w:space="0" w:color="auto"/>
              <w:right w:val="single" w:sz="8" w:space="0" w:color="auto"/>
            </w:tcBorders>
            <w:noWrap/>
            <w:vAlign w:val="center"/>
            <w:hideMark/>
          </w:tcPr>
          <w:p w14:paraId="3F6445BF" w14:textId="77777777" w:rsidR="00123CD8" w:rsidRDefault="00123CD8">
            <w:pPr>
              <w:jc w:val="right"/>
              <w:rPr>
                <w:rFonts w:ascii="Arial" w:hAnsi="Arial" w:cs="Arial"/>
                <w:color w:val="000000"/>
                <w:sz w:val="16"/>
                <w:szCs w:val="16"/>
              </w:rPr>
            </w:pPr>
            <w:r>
              <w:rPr>
                <w:rFonts w:ascii="Arial" w:hAnsi="Arial" w:cs="Arial"/>
                <w:sz w:val="16"/>
                <w:szCs w:val="16"/>
              </w:rPr>
              <w:t>271.176</w:t>
            </w:r>
          </w:p>
        </w:tc>
        <w:tc>
          <w:tcPr>
            <w:tcW w:w="724" w:type="pct"/>
            <w:tcBorders>
              <w:top w:val="nil"/>
              <w:left w:val="nil"/>
              <w:bottom w:val="single" w:sz="8" w:space="0" w:color="auto"/>
              <w:right w:val="single" w:sz="8" w:space="0" w:color="auto"/>
            </w:tcBorders>
            <w:noWrap/>
            <w:vAlign w:val="center"/>
            <w:hideMark/>
          </w:tcPr>
          <w:p w14:paraId="04D48191" w14:textId="77777777" w:rsidR="00123CD8" w:rsidRDefault="00123CD8">
            <w:pPr>
              <w:jc w:val="right"/>
              <w:rPr>
                <w:rFonts w:ascii="Arial" w:hAnsi="Arial" w:cs="Arial"/>
                <w:color w:val="000000"/>
                <w:sz w:val="16"/>
                <w:szCs w:val="16"/>
              </w:rPr>
            </w:pPr>
            <w:r>
              <w:rPr>
                <w:rFonts w:ascii="Arial" w:hAnsi="Arial" w:cs="Arial"/>
                <w:sz w:val="16"/>
                <w:szCs w:val="16"/>
              </w:rPr>
              <w:t>270.071</w:t>
            </w:r>
          </w:p>
        </w:tc>
        <w:tc>
          <w:tcPr>
            <w:tcW w:w="724" w:type="pct"/>
            <w:tcBorders>
              <w:top w:val="nil"/>
              <w:left w:val="nil"/>
              <w:bottom w:val="single" w:sz="8" w:space="0" w:color="auto"/>
              <w:right w:val="single" w:sz="8" w:space="0" w:color="auto"/>
            </w:tcBorders>
            <w:noWrap/>
            <w:vAlign w:val="center"/>
            <w:hideMark/>
          </w:tcPr>
          <w:p w14:paraId="677B47B4" w14:textId="77777777" w:rsidR="00123CD8" w:rsidRDefault="00123CD8">
            <w:pPr>
              <w:jc w:val="right"/>
              <w:rPr>
                <w:rFonts w:ascii="Arial" w:hAnsi="Arial" w:cs="Arial"/>
                <w:color w:val="000000"/>
                <w:sz w:val="16"/>
                <w:szCs w:val="16"/>
              </w:rPr>
            </w:pPr>
            <w:r>
              <w:rPr>
                <w:rFonts w:ascii="Arial" w:hAnsi="Arial" w:cs="Arial"/>
                <w:sz w:val="16"/>
                <w:szCs w:val="16"/>
              </w:rPr>
              <w:t>270.000</w:t>
            </w:r>
          </w:p>
        </w:tc>
        <w:tc>
          <w:tcPr>
            <w:tcW w:w="682" w:type="pct"/>
            <w:tcBorders>
              <w:top w:val="nil"/>
              <w:left w:val="nil"/>
              <w:bottom w:val="single" w:sz="8" w:space="0" w:color="auto"/>
              <w:right w:val="single" w:sz="8" w:space="0" w:color="auto"/>
            </w:tcBorders>
            <w:noWrap/>
            <w:vAlign w:val="center"/>
            <w:hideMark/>
          </w:tcPr>
          <w:p w14:paraId="7F7AAEC9" w14:textId="77777777" w:rsidR="00123CD8" w:rsidRDefault="00123CD8">
            <w:pPr>
              <w:jc w:val="right"/>
              <w:rPr>
                <w:rFonts w:ascii="Arial" w:hAnsi="Arial" w:cs="Arial"/>
                <w:color w:val="000000"/>
                <w:sz w:val="16"/>
                <w:szCs w:val="16"/>
              </w:rPr>
            </w:pPr>
            <w:r>
              <w:rPr>
                <w:rFonts w:ascii="Arial" w:hAnsi="Arial" w:cs="Arial"/>
                <w:sz w:val="16"/>
                <w:szCs w:val="16"/>
              </w:rPr>
              <w:t>270.000</w:t>
            </w:r>
          </w:p>
        </w:tc>
      </w:tr>
      <w:tr w:rsidR="00803CC6" w14:paraId="3A7710E0" w14:textId="77777777" w:rsidTr="00803CC6">
        <w:trPr>
          <w:trHeight w:val="231"/>
        </w:trPr>
        <w:tc>
          <w:tcPr>
            <w:tcW w:w="1328" w:type="pct"/>
            <w:tcBorders>
              <w:top w:val="nil"/>
              <w:left w:val="single" w:sz="8" w:space="0" w:color="auto"/>
              <w:bottom w:val="single" w:sz="8" w:space="0" w:color="auto"/>
              <w:right w:val="single" w:sz="8" w:space="0" w:color="auto"/>
            </w:tcBorders>
            <w:shd w:val="clear" w:color="auto" w:fill="4F81BD" w:themeFill="accent1"/>
            <w:noWrap/>
            <w:vAlign w:val="center"/>
            <w:hideMark/>
          </w:tcPr>
          <w:p w14:paraId="5BBAC21C" w14:textId="77777777" w:rsidR="00123CD8" w:rsidRDefault="00123CD8">
            <w:pPr>
              <w:rPr>
                <w:rFonts w:ascii="Arial" w:hAnsi="Arial" w:cs="Arial"/>
                <w:b/>
                <w:bCs/>
                <w:color w:val="000000"/>
                <w:sz w:val="16"/>
                <w:szCs w:val="16"/>
              </w:rPr>
            </w:pPr>
            <w:r>
              <w:rPr>
                <w:rFonts w:ascii="Arial" w:hAnsi="Arial" w:cs="Arial"/>
                <w:b/>
                <w:bCs/>
                <w:sz w:val="16"/>
                <w:szCs w:val="16"/>
              </w:rPr>
              <w:t>Total, transferencias corrientes</w:t>
            </w:r>
          </w:p>
        </w:tc>
        <w:tc>
          <w:tcPr>
            <w:tcW w:w="668" w:type="pct"/>
            <w:tcBorders>
              <w:top w:val="nil"/>
              <w:left w:val="nil"/>
              <w:bottom w:val="single" w:sz="8" w:space="0" w:color="auto"/>
              <w:right w:val="single" w:sz="8" w:space="0" w:color="auto"/>
            </w:tcBorders>
            <w:shd w:val="clear" w:color="auto" w:fill="4F81BD" w:themeFill="accent1"/>
            <w:noWrap/>
            <w:vAlign w:val="center"/>
            <w:hideMark/>
          </w:tcPr>
          <w:p w14:paraId="26B58770" w14:textId="77777777" w:rsidR="00123CD8" w:rsidRDefault="00123CD8">
            <w:pPr>
              <w:jc w:val="right"/>
              <w:rPr>
                <w:rFonts w:ascii="Arial" w:hAnsi="Arial" w:cs="Arial"/>
                <w:b/>
                <w:bCs/>
                <w:color w:val="000000"/>
                <w:sz w:val="16"/>
                <w:szCs w:val="16"/>
              </w:rPr>
            </w:pPr>
            <w:r>
              <w:rPr>
                <w:rFonts w:ascii="Arial" w:hAnsi="Arial" w:cs="Arial"/>
                <w:b/>
                <w:bCs/>
                <w:sz w:val="16"/>
                <w:szCs w:val="16"/>
              </w:rPr>
              <w:t>276.579</w:t>
            </w:r>
          </w:p>
        </w:tc>
        <w:tc>
          <w:tcPr>
            <w:tcW w:w="874" w:type="pct"/>
            <w:tcBorders>
              <w:top w:val="nil"/>
              <w:left w:val="nil"/>
              <w:bottom w:val="single" w:sz="8" w:space="0" w:color="auto"/>
              <w:right w:val="single" w:sz="8" w:space="0" w:color="auto"/>
            </w:tcBorders>
            <w:shd w:val="clear" w:color="auto" w:fill="4F81BD" w:themeFill="accent1"/>
            <w:noWrap/>
            <w:vAlign w:val="center"/>
            <w:hideMark/>
          </w:tcPr>
          <w:p w14:paraId="1D19904F" w14:textId="77777777" w:rsidR="00123CD8" w:rsidRDefault="00123CD8">
            <w:pPr>
              <w:jc w:val="right"/>
              <w:rPr>
                <w:rFonts w:ascii="Arial" w:hAnsi="Arial" w:cs="Arial"/>
                <w:b/>
                <w:bCs/>
                <w:color w:val="000000"/>
                <w:sz w:val="16"/>
                <w:szCs w:val="16"/>
              </w:rPr>
            </w:pPr>
            <w:r>
              <w:rPr>
                <w:rFonts w:ascii="Arial" w:hAnsi="Arial" w:cs="Arial"/>
                <w:b/>
                <w:bCs/>
                <w:sz w:val="16"/>
                <w:szCs w:val="16"/>
              </w:rPr>
              <w:t>271.176</w:t>
            </w:r>
          </w:p>
        </w:tc>
        <w:tc>
          <w:tcPr>
            <w:tcW w:w="724" w:type="pct"/>
            <w:tcBorders>
              <w:top w:val="nil"/>
              <w:left w:val="nil"/>
              <w:bottom w:val="single" w:sz="8" w:space="0" w:color="auto"/>
              <w:right w:val="single" w:sz="8" w:space="0" w:color="auto"/>
            </w:tcBorders>
            <w:shd w:val="clear" w:color="auto" w:fill="4F81BD" w:themeFill="accent1"/>
            <w:noWrap/>
            <w:vAlign w:val="center"/>
            <w:hideMark/>
          </w:tcPr>
          <w:p w14:paraId="78C1D826" w14:textId="77777777" w:rsidR="00123CD8" w:rsidRDefault="00123CD8">
            <w:pPr>
              <w:jc w:val="right"/>
              <w:rPr>
                <w:rFonts w:ascii="Arial" w:hAnsi="Arial" w:cs="Arial"/>
                <w:b/>
                <w:bCs/>
                <w:color w:val="000000"/>
                <w:sz w:val="16"/>
                <w:szCs w:val="16"/>
              </w:rPr>
            </w:pPr>
            <w:r>
              <w:rPr>
                <w:rFonts w:ascii="Arial" w:hAnsi="Arial" w:cs="Arial"/>
                <w:b/>
                <w:bCs/>
                <w:sz w:val="16"/>
                <w:szCs w:val="16"/>
              </w:rPr>
              <w:t>270.071</w:t>
            </w:r>
          </w:p>
        </w:tc>
        <w:tc>
          <w:tcPr>
            <w:tcW w:w="724" w:type="pct"/>
            <w:tcBorders>
              <w:top w:val="nil"/>
              <w:left w:val="nil"/>
              <w:bottom w:val="single" w:sz="8" w:space="0" w:color="auto"/>
              <w:right w:val="single" w:sz="8" w:space="0" w:color="auto"/>
            </w:tcBorders>
            <w:shd w:val="clear" w:color="auto" w:fill="4F81BD" w:themeFill="accent1"/>
            <w:noWrap/>
            <w:vAlign w:val="center"/>
            <w:hideMark/>
          </w:tcPr>
          <w:p w14:paraId="3F8E2583" w14:textId="77777777" w:rsidR="00123CD8" w:rsidRDefault="00123CD8">
            <w:pPr>
              <w:jc w:val="right"/>
              <w:rPr>
                <w:rFonts w:ascii="Arial" w:hAnsi="Arial" w:cs="Arial"/>
                <w:b/>
                <w:bCs/>
                <w:color w:val="000000"/>
                <w:sz w:val="16"/>
                <w:szCs w:val="16"/>
              </w:rPr>
            </w:pPr>
            <w:r>
              <w:rPr>
                <w:rFonts w:ascii="Arial" w:hAnsi="Arial" w:cs="Arial"/>
                <w:b/>
                <w:bCs/>
                <w:sz w:val="16"/>
                <w:szCs w:val="16"/>
              </w:rPr>
              <w:t>270.000</w:t>
            </w:r>
          </w:p>
        </w:tc>
        <w:tc>
          <w:tcPr>
            <w:tcW w:w="682" w:type="pct"/>
            <w:tcBorders>
              <w:top w:val="nil"/>
              <w:left w:val="nil"/>
              <w:bottom w:val="single" w:sz="8" w:space="0" w:color="auto"/>
              <w:right w:val="single" w:sz="8" w:space="0" w:color="auto"/>
            </w:tcBorders>
            <w:shd w:val="clear" w:color="auto" w:fill="4F81BD" w:themeFill="accent1"/>
            <w:noWrap/>
            <w:vAlign w:val="center"/>
            <w:hideMark/>
          </w:tcPr>
          <w:p w14:paraId="4B41E83C" w14:textId="77777777" w:rsidR="00123CD8" w:rsidRDefault="00123CD8">
            <w:pPr>
              <w:jc w:val="right"/>
              <w:rPr>
                <w:rFonts w:ascii="Arial" w:hAnsi="Arial" w:cs="Arial"/>
                <w:b/>
                <w:bCs/>
                <w:color w:val="000000"/>
                <w:sz w:val="16"/>
                <w:szCs w:val="16"/>
              </w:rPr>
            </w:pPr>
            <w:r>
              <w:rPr>
                <w:rFonts w:ascii="Arial" w:hAnsi="Arial" w:cs="Arial"/>
                <w:b/>
                <w:bCs/>
                <w:sz w:val="16"/>
                <w:szCs w:val="16"/>
              </w:rPr>
              <w:t>270.000</w:t>
            </w:r>
          </w:p>
        </w:tc>
      </w:tr>
      <w:tr w:rsidR="00123CD8" w14:paraId="47E0B0BC" w14:textId="77777777" w:rsidTr="00803CC6">
        <w:trPr>
          <w:trHeight w:val="231"/>
        </w:trPr>
        <w:tc>
          <w:tcPr>
            <w:tcW w:w="1996" w:type="pct"/>
            <w:gridSpan w:val="2"/>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14:paraId="04CF3B5E" w14:textId="77777777" w:rsidR="00123CD8" w:rsidRDefault="00123CD8">
            <w:pPr>
              <w:rPr>
                <w:rFonts w:ascii="Arial" w:hAnsi="Arial" w:cs="Arial"/>
                <w:b/>
                <w:bCs/>
                <w:color w:val="000000"/>
                <w:sz w:val="16"/>
                <w:szCs w:val="16"/>
              </w:rPr>
            </w:pPr>
            <w:r>
              <w:rPr>
                <w:rFonts w:ascii="Arial" w:hAnsi="Arial" w:cs="Arial"/>
                <w:b/>
                <w:bCs/>
                <w:sz w:val="16"/>
                <w:szCs w:val="16"/>
              </w:rPr>
              <w:t>% de Ejecución</w:t>
            </w:r>
          </w:p>
        </w:tc>
        <w:tc>
          <w:tcPr>
            <w:tcW w:w="874" w:type="pct"/>
            <w:tcBorders>
              <w:top w:val="nil"/>
              <w:left w:val="nil"/>
              <w:bottom w:val="single" w:sz="8" w:space="0" w:color="auto"/>
              <w:right w:val="single" w:sz="8" w:space="0" w:color="auto"/>
            </w:tcBorders>
            <w:shd w:val="clear" w:color="auto" w:fill="4F81BD" w:themeFill="accent1"/>
            <w:noWrap/>
            <w:vAlign w:val="center"/>
            <w:hideMark/>
          </w:tcPr>
          <w:p w14:paraId="1D253E65" w14:textId="77777777" w:rsidR="00123CD8" w:rsidRDefault="00123CD8">
            <w:pPr>
              <w:jc w:val="right"/>
              <w:rPr>
                <w:rFonts w:ascii="Arial" w:hAnsi="Arial" w:cs="Arial"/>
                <w:color w:val="000000"/>
                <w:sz w:val="16"/>
                <w:szCs w:val="16"/>
              </w:rPr>
            </w:pPr>
            <w:r>
              <w:rPr>
                <w:rFonts w:ascii="Arial" w:hAnsi="Arial" w:cs="Arial"/>
                <w:sz w:val="16"/>
                <w:szCs w:val="16"/>
              </w:rPr>
              <w:t>98%</w:t>
            </w:r>
          </w:p>
        </w:tc>
        <w:tc>
          <w:tcPr>
            <w:tcW w:w="724" w:type="pct"/>
            <w:tcBorders>
              <w:top w:val="nil"/>
              <w:left w:val="nil"/>
              <w:bottom w:val="single" w:sz="8" w:space="0" w:color="auto"/>
              <w:right w:val="single" w:sz="8" w:space="0" w:color="auto"/>
            </w:tcBorders>
            <w:shd w:val="clear" w:color="auto" w:fill="4F81BD" w:themeFill="accent1"/>
            <w:noWrap/>
            <w:vAlign w:val="center"/>
            <w:hideMark/>
          </w:tcPr>
          <w:p w14:paraId="38D779D7" w14:textId="77777777" w:rsidR="00123CD8" w:rsidRDefault="00123CD8">
            <w:pPr>
              <w:jc w:val="right"/>
              <w:rPr>
                <w:rFonts w:ascii="Arial" w:hAnsi="Arial" w:cs="Arial"/>
                <w:color w:val="000000"/>
                <w:sz w:val="16"/>
                <w:szCs w:val="16"/>
              </w:rPr>
            </w:pPr>
            <w:r>
              <w:rPr>
                <w:rFonts w:ascii="Arial" w:hAnsi="Arial" w:cs="Arial"/>
                <w:sz w:val="16"/>
                <w:szCs w:val="16"/>
              </w:rPr>
              <w:t>98%</w:t>
            </w:r>
          </w:p>
        </w:tc>
        <w:tc>
          <w:tcPr>
            <w:tcW w:w="724" w:type="pct"/>
            <w:tcBorders>
              <w:top w:val="nil"/>
              <w:left w:val="nil"/>
              <w:bottom w:val="single" w:sz="8" w:space="0" w:color="auto"/>
              <w:right w:val="single" w:sz="8" w:space="0" w:color="auto"/>
            </w:tcBorders>
            <w:shd w:val="clear" w:color="auto" w:fill="4F81BD" w:themeFill="accent1"/>
            <w:noWrap/>
            <w:vAlign w:val="center"/>
            <w:hideMark/>
          </w:tcPr>
          <w:p w14:paraId="3D69FC15" w14:textId="77777777" w:rsidR="00123CD8" w:rsidRDefault="00123CD8">
            <w:pPr>
              <w:jc w:val="right"/>
              <w:rPr>
                <w:rFonts w:ascii="Arial" w:hAnsi="Arial" w:cs="Arial"/>
                <w:color w:val="000000"/>
                <w:sz w:val="16"/>
                <w:szCs w:val="16"/>
              </w:rPr>
            </w:pPr>
            <w:r>
              <w:rPr>
                <w:rFonts w:ascii="Arial" w:hAnsi="Arial" w:cs="Arial"/>
                <w:sz w:val="16"/>
                <w:szCs w:val="16"/>
              </w:rPr>
              <w:t>98%</w:t>
            </w:r>
          </w:p>
        </w:tc>
        <w:tc>
          <w:tcPr>
            <w:tcW w:w="682" w:type="pct"/>
            <w:tcBorders>
              <w:top w:val="nil"/>
              <w:left w:val="nil"/>
              <w:bottom w:val="single" w:sz="8" w:space="0" w:color="auto"/>
              <w:right w:val="single" w:sz="8" w:space="0" w:color="auto"/>
            </w:tcBorders>
            <w:shd w:val="clear" w:color="auto" w:fill="4F81BD" w:themeFill="accent1"/>
            <w:noWrap/>
            <w:vAlign w:val="center"/>
            <w:hideMark/>
          </w:tcPr>
          <w:p w14:paraId="25F87657" w14:textId="77777777" w:rsidR="00123CD8" w:rsidRDefault="00123CD8">
            <w:pPr>
              <w:jc w:val="right"/>
              <w:rPr>
                <w:rFonts w:ascii="Arial" w:hAnsi="Arial" w:cs="Arial"/>
                <w:color w:val="000000"/>
                <w:sz w:val="16"/>
                <w:szCs w:val="16"/>
              </w:rPr>
            </w:pPr>
            <w:r>
              <w:rPr>
                <w:rFonts w:ascii="Arial" w:hAnsi="Arial" w:cs="Arial"/>
                <w:sz w:val="16"/>
                <w:szCs w:val="16"/>
              </w:rPr>
              <w:t>98%</w:t>
            </w:r>
          </w:p>
        </w:tc>
      </w:tr>
    </w:tbl>
    <w:p w14:paraId="3D8317DD" w14:textId="11E900EE"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69374735"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08B3B8DD" w14:textId="77777777" w:rsidR="00C02282" w:rsidRPr="00123CD8" w:rsidRDefault="00C02282" w:rsidP="00C02282">
      <w:pPr>
        <w:suppressAutoHyphens/>
        <w:autoSpaceDN w:val="0"/>
        <w:ind w:left="720"/>
        <w:contextualSpacing/>
        <w:textAlignment w:val="baseline"/>
        <w:rPr>
          <w:rFonts w:ascii="Arial" w:hAnsi="Arial" w:cs="Arial"/>
          <w:b/>
        </w:rPr>
      </w:pPr>
    </w:p>
    <w:p w14:paraId="71C7AC61" w14:textId="77777777" w:rsidR="00C02282" w:rsidRPr="00123CD8" w:rsidRDefault="00C02282" w:rsidP="00055F7C">
      <w:pPr>
        <w:pStyle w:val="Prrafodelista"/>
        <w:numPr>
          <w:ilvl w:val="0"/>
          <w:numId w:val="10"/>
        </w:numPr>
        <w:suppressAutoHyphens/>
        <w:autoSpaceDN w:val="0"/>
        <w:contextualSpacing/>
        <w:textAlignment w:val="baseline"/>
        <w:rPr>
          <w:rFonts w:cs="Arial"/>
          <w:b/>
        </w:rPr>
      </w:pPr>
      <w:r w:rsidRPr="00123CD8">
        <w:rPr>
          <w:rFonts w:cs="Arial"/>
          <w:b/>
        </w:rPr>
        <w:t>Gastos de Comercialización y Producción</w:t>
      </w:r>
    </w:p>
    <w:p w14:paraId="336A97E8" w14:textId="77777777" w:rsidR="00123CD8" w:rsidRPr="00123CD8" w:rsidRDefault="00123CD8" w:rsidP="00123CD8">
      <w:pPr>
        <w:autoSpaceDE w:val="0"/>
        <w:autoSpaceDN w:val="0"/>
        <w:jc w:val="both"/>
        <w:rPr>
          <w:rFonts w:ascii="Arial" w:hAnsi="Arial" w:cs="Arial"/>
          <w:bCs/>
          <w:lang w:val="es-MX" w:eastAsia="es-ES"/>
        </w:rPr>
      </w:pPr>
      <w:r w:rsidRPr="00123CD8">
        <w:rPr>
          <w:rFonts w:ascii="Arial" w:hAnsi="Arial" w:cs="Arial"/>
          <w:bCs/>
          <w:lang w:val="es-MX" w:eastAsia="es-ES"/>
        </w:rPr>
        <w:t>Este concepto, acumula las apropiaciones destinadas a gestión de la información, mejoramiento del dato de la información técnica de la ANH, así como las actividades propuestas en desarrollo de los procesos competitivos y de asignación de áreas. Adicionalmente a las actividades encaminadas en el desarrollo y cumplimiento de los compromisos de los contratos de E&amp;P, el nivel de ejecución al 30 de junio alcanzó un 82% en lo relacionado a los compromisos, un 37% en las obligaciones y 37% en pagos.</w:t>
      </w:r>
    </w:p>
    <w:p w14:paraId="1F0B483B" w14:textId="38E56D3C" w:rsidR="00C02282" w:rsidRPr="00123CD8" w:rsidRDefault="00C02282" w:rsidP="00123CD8">
      <w:pPr>
        <w:pStyle w:val="Descripcin"/>
        <w:keepNext/>
        <w:ind w:left="720"/>
        <w:jc w:val="center"/>
      </w:pPr>
      <w:bookmarkStart w:id="138" w:name="_Toc525652509"/>
      <w:r w:rsidRPr="00123CD8">
        <w:lastRenderedPageBreak/>
        <w:t xml:space="preserve">Tabla </w:t>
      </w:r>
      <w:r w:rsidRPr="00123CD8">
        <w:fldChar w:fldCharType="begin"/>
      </w:r>
      <w:r w:rsidRPr="00123CD8">
        <w:instrText xml:space="preserve"> SEQ Tabla \* ARABIC </w:instrText>
      </w:r>
      <w:r w:rsidRPr="00123CD8">
        <w:fldChar w:fldCharType="separate"/>
      </w:r>
      <w:r w:rsidR="008B4625">
        <w:rPr>
          <w:noProof/>
        </w:rPr>
        <w:t>64</w:t>
      </w:r>
      <w:r w:rsidRPr="00123CD8">
        <w:fldChar w:fldCharType="end"/>
      </w:r>
      <w:r w:rsidRPr="00123CD8">
        <w:t>Ejecución Gastos de Comercialización y Producción – 3</w:t>
      </w:r>
      <w:r w:rsidR="00123CD8" w:rsidRPr="00123CD8">
        <w:t xml:space="preserve">0 de junio de </w:t>
      </w:r>
      <w:r w:rsidRPr="00123CD8">
        <w:t xml:space="preserve"> 2018 ANH</w:t>
      </w:r>
      <w:bookmarkEnd w:id="138"/>
    </w:p>
    <w:tbl>
      <w:tblPr>
        <w:tblW w:w="5000" w:type="pct"/>
        <w:tblCellMar>
          <w:left w:w="70" w:type="dxa"/>
          <w:right w:w="70" w:type="dxa"/>
        </w:tblCellMar>
        <w:tblLook w:val="04A0" w:firstRow="1" w:lastRow="0" w:firstColumn="1" w:lastColumn="0" w:noHBand="0" w:noVBand="1"/>
      </w:tblPr>
      <w:tblGrid>
        <w:gridCol w:w="1741"/>
        <w:gridCol w:w="1303"/>
        <w:gridCol w:w="1661"/>
        <w:gridCol w:w="1669"/>
        <w:gridCol w:w="1621"/>
        <w:gridCol w:w="1389"/>
      </w:tblGrid>
      <w:tr w:rsidR="00123CD8" w14:paraId="3DBF410B" w14:textId="77777777" w:rsidTr="00123CD8">
        <w:trPr>
          <w:trHeight w:val="412"/>
        </w:trPr>
        <w:tc>
          <w:tcPr>
            <w:tcW w:w="910"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5027B92F" w14:textId="77777777" w:rsidR="00123CD8" w:rsidRDefault="00123CD8">
            <w:pPr>
              <w:jc w:val="center"/>
              <w:rPr>
                <w:rFonts w:ascii="Arial" w:hAnsi="Arial" w:cs="Arial"/>
                <w:b/>
                <w:bCs/>
                <w:color w:val="000000"/>
                <w:sz w:val="16"/>
                <w:szCs w:val="16"/>
              </w:rPr>
            </w:pPr>
            <w:r>
              <w:rPr>
                <w:rFonts w:ascii="Arial" w:hAnsi="Arial" w:cs="Arial"/>
                <w:b/>
                <w:bCs/>
                <w:sz w:val="16"/>
                <w:szCs w:val="16"/>
              </w:rPr>
              <w:t>DESCRIPCIÓN</w:t>
            </w:r>
          </w:p>
        </w:tc>
        <w:tc>
          <w:tcPr>
            <w:tcW w:w="703"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EF8326B" w14:textId="77777777" w:rsidR="00123CD8" w:rsidRDefault="00123CD8">
            <w:pPr>
              <w:jc w:val="center"/>
              <w:rPr>
                <w:rFonts w:ascii="Arial" w:hAnsi="Arial" w:cs="Arial"/>
                <w:b/>
                <w:bCs/>
                <w:color w:val="000000"/>
                <w:sz w:val="16"/>
                <w:szCs w:val="16"/>
              </w:rPr>
            </w:pPr>
            <w:r>
              <w:rPr>
                <w:rFonts w:ascii="Arial" w:hAnsi="Arial" w:cs="Arial"/>
                <w:b/>
                <w:bCs/>
                <w:sz w:val="16"/>
                <w:szCs w:val="16"/>
              </w:rPr>
              <w:t>APROPIACIÓN DEFINITIVA</w:t>
            </w:r>
          </w:p>
        </w:tc>
        <w:tc>
          <w:tcPr>
            <w:tcW w:w="869"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32B2ED64" w14:textId="77777777" w:rsidR="00123CD8" w:rsidRDefault="00123CD8">
            <w:pPr>
              <w:jc w:val="center"/>
              <w:rPr>
                <w:rFonts w:ascii="Arial" w:hAnsi="Arial" w:cs="Arial"/>
                <w:b/>
                <w:bCs/>
                <w:color w:val="000000"/>
                <w:sz w:val="16"/>
                <w:szCs w:val="16"/>
              </w:rPr>
            </w:pPr>
            <w:r>
              <w:rPr>
                <w:rFonts w:ascii="Arial" w:hAnsi="Arial" w:cs="Arial"/>
                <w:b/>
                <w:bCs/>
                <w:sz w:val="16"/>
                <w:szCs w:val="16"/>
              </w:rPr>
              <w:t>DISPONIBILIDADES ACUMULADAS</w:t>
            </w:r>
          </w:p>
        </w:tc>
        <w:tc>
          <w:tcPr>
            <w:tcW w:w="898"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1549E9DA" w14:textId="77777777" w:rsidR="00123CD8" w:rsidRDefault="00123CD8">
            <w:pPr>
              <w:jc w:val="center"/>
              <w:rPr>
                <w:rFonts w:ascii="Arial" w:hAnsi="Arial" w:cs="Arial"/>
                <w:b/>
                <w:bCs/>
                <w:color w:val="000000"/>
                <w:sz w:val="16"/>
                <w:szCs w:val="16"/>
              </w:rPr>
            </w:pPr>
            <w:r>
              <w:rPr>
                <w:rFonts w:ascii="Arial" w:hAnsi="Arial" w:cs="Arial"/>
                <w:b/>
                <w:bCs/>
                <w:sz w:val="16"/>
                <w:szCs w:val="16"/>
              </w:rPr>
              <w:t>COMPROMISOS ACUMULADOS</w:t>
            </w:r>
          </w:p>
        </w:tc>
        <w:tc>
          <w:tcPr>
            <w:tcW w:w="872"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4F9CFF79" w14:textId="77777777" w:rsidR="00123CD8" w:rsidRDefault="00123CD8">
            <w:pPr>
              <w:jc w:val="center"/>
              <w:rPr>
                <w:rFonts w:ascii="Arial" w:hAnsi="Arial" w:cs="Arial"/>
                <w:b/>
                <w:bCs/>
                <w:color w:val="000000"/>
                <w:sz w:val="16"/>
                <w:szCs w:val="16"/>
              </w:rPr>
            </w:pPr>
            <w:r>
              <w:rPr>
                <w:rFonts w:ascii="Arial" w:hAnsi="Arial" w:cs="Arial"/>
                <w:b/>
                <w:bCs/>
                <w:sz w:val="16"/>
                <w:szCs w:val="16"/>
              </w:rPr>
              <w:t>OBLIGACIONES ACUMULADAS</w:t>
            </w:r>
          </w:p>
        </w:tc>
        <w:tc>
          <w:tcPr>
            <w:tcW w:w="748"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5501B666" w14:textId="77777777" w:rsidR="00123CD8" w:rsidRDefault="00123CD8">
            <w:pPr>
              <w:jc w:val="center"/>
              <w:rPr>
                <w:rFonts w:ascii="Arial" w:hAnsi="Arial" w:cs="Arial"/>
                <w:b/>
                <w:bCs/>
                <w:color w:val="000000"/>
                <w:sz w:val="16"/>
                <w:szCs w:val="16"/>
              </w:rPr>
            </w:pPr>
            <w:r>
              <w:rPr>
                <w:rFonts w:ascii="Arial" w:hAnsi="Arial" w:cs="Arial"/>
                <w:b/>
                <w:bCs/>
                <w:sz w:val="16"/>
                <w:szCs w:val="16"/>
              </w:rPr>
              <w:t>PAGOS ACUMULADOS</w:t>
            </w:r>
          </w:p>
        </w:tc>
      </w:tr>
      <w:tr w:rsidR="00123CD8" w14:paraId="2BE75C68" w14:textId="77777777" w:rsidTr="00123CD8">
        <w:trPr>
          <w:trHeight w:val="50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2F229A" w14:textId="77777777" w:rsidR="00123CD8" w:rsidRDefault="00123CD8">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4F6575" w14:textId="77777777" w:rsidR="00123CD8" w:rsidRDefault="00123CD8">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4088E" w14:textId="77777777" w:rsidR="00123CD8" w:rsidRDefault="00123CD8">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F8FB44" w14:textId="77777777" w:rsidR="00123CD8" w:rsidRDefault="00123CD8">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CC24B6" w14:textId="77777777" w:rsidR="00123CD8" w:rsidRDefault="00123CD8">
            <w:pPr>
              <w:rPr>
                <w:rFonts w:ascii="Arial" w:hAnsi="Arial" w:cs="Arial"/>
                <w:b/>
                <w:bCs/>
                <w:color w:val="000000"/>
                <w:sz w:val="16"/>
                <w:szCs w:val="1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A93F1F" w14:textId="77777777" w:rsidR="00123CD8" w:rsidRDefault="00123CD8">
            <w:pPr>
              <w:rPr>
                <w:rFonts w:ascii="Arial" w:hAnsi="Arial" w:cs="Arial"/>
                <w:b/>
                <w:bCs/>
                <w:color w:val="000000"/>
                <w:sz w:val="16"/>
                <w:szCs w:val="16"/>
              </w:rPr>
            </w:pPr>
          </w:p>
        </w:tc>
      </w:tr>
      <w:tr w:rsidR="00123CD8" w14:paraId="4989E962" w14:textId="77777777" w:rsidTr="00123CD8">
        <w:trPr>
          <w:trHeight w:val="465"/>
        </w:trPr>
        <w:tc>
          <w:tcPr>
            <w:tcW w:w="910" w:type="pct"/>
            <w:tcBorders>
              <w:top w:val="nil"/>
              <w:left w:val="single" w:sz="8" w:space="0" w:color="auto"/>
              <w:bottom w:val="single" w:sz="8" w:space="0" w:color="auto"/>
              <w:right w:val="single" w:sz="8" w:space="0" w:color="auto"/>
            </w:tcBorders>
            <w:vAlign w:val="center"/>
            <w:hideMark/>
          </w:tcPr>
          <w:p w14:paraId="65D0DAF2" w14:textId="77777777" w:rsidR="00123CD8" w:rsidRDefault="00123CD8">
            <w:pPr>
              <w:rPr>
                <w:rFonts w:ascii="Arial" w:hAnsi="Arial" w:cs="Arial"/>
                <w:color w:val="000000"/>
                <w:sz w:val="16"/>
                <w:szCs w:val="16"/>
              </w:rPr>
            </w:pPr>
            <w:r>
              <w:rPr>
                <w:rFonts w:ascii="Arial" w:hAnsi="Arial" w:cs="Arial"/>
                <w:sz w:val="16"/>
                <w:szCs w:val="16"/>
              </w:rPr>
              <w:t xml:space="preserve">GASTOS DE COMERCIALIZACION Y PRODUCCION </w:t>
            </w:r>
          </w:p>
        </w:tc>
        <w:tc>
          <w:tcPr>
            <w:tcW w:w="703" w:type="pct"/>
            <w:tcBorders>
              <w:top w:val="nil"/>
              <w:left w:val="nil"/>
              <w:bottom w:val="single" w:sz="8" w:space="0" w:color="auto"/>
              <w:right w:val="single" w:sz="8" w:space="0" w:color="auto"/>
            </w:tcBorders>
            <w:noWrap/>
            <w:vAlign w:val="center"/>
            <w:hideMark/>
          </w:tcPr>
          <w:p w14:paraId="186C559A" w14:textId="77777777" w:rsidR="00123CD8" w:rsidRDefault="00123CD8">
            <w:pPr>
              <w:jc w:val="right"/>
              <w:rPr>
                <w:rFonts w:ascii="Arial" w:hAnsi="Arial" w:cs="Arial"/>
                <w:color w:val="000000"/>
                <w:sz w:val="16"/>
                <w:szCs w:val="16"/>
              </w:rPr>
            </w:pPr>
            <w:r>
              <w:rPr>
                <w:rFonts w:ascii="Arial" w:hAnsi="Arial" w:cs="Arial"/>
                <w:sz w:val="16"/>
                <w:szCs w:val="16"/>
              </w:rPr>
              <w:t>57.727</w:t>
            </w:r>
          </w:p>
        </w:tc>
        <w:tc>
          <w:tcPr>
            <w:tcW w:w="869" w:type="pct"/>
            <w:tcBorders>
              <w:top w:val="nil"/>
              <w:left w:val="nil"/>
              <w:bottom w:val="single" w:sz="8" w:space="0" w:color="auto"/>
              <w:right w:val="single" w:sz="8" w:space="0" w:color="auto"/>
            </w:tcBorders>
            <w:noWrap/>
            <w:vAlign w:val="center"/>
            <w:hideMark/>
          </w:tcPr>
          <w:p w14:paraId="0F1CA6B3" w14:textId="77777777" w:rsidR="00123CD8" w:rsidRDefault="00123CD8">
            <w:pPr>
              <w:jc w:val="right"/>
              <w:rPr>
                <w:rFonts w:ascii="Arial" w:hAnsi="Arial" w:cs="Arial"/>
                <w:color w:val="000000"/>
                <w:sz w:val="16"/>
                <w:szCs w:val="16"/>
              </w:rPr>
            </w:pPr>
            <w:r>
              <w:rPr>
                <w:rFonts w:ascii="Arial" w:hAnsi="Arial" w:cs="Arial"/>
                <w:sz w:val="16"/>
                <w:szCs w:val="16"/>
              </w:rPr>
              <w:t>48.325</w:t>
            </w:r>
          </w:p>
        </w:tc>
        <w:tc>
          <w:tcPr>
            <w:tcW w:w="898" w:type="pct"/>
            <w:tcBorders>
              <w:top w:val="nil"/>
              <w:left w:val="nil"/>
              <w:bottom w:val="single" w:sz="8" w:space="0" w:color="auto"/>
              <w:right w:val="single" w:sz="8" w:space="0" w:color="auto"/>
            </w:tcBorders>
            <w:noWrap/>
            <w:vAlign w:val="center"/>
            <w:hideMark/>
          </w:tcPr>
          <w:p w14:paraId="5933EBE1" w14:textId="77777777" w:rsidR="00123CD8" w:rsidRDefault="00123CD8">
            <w:pPr>
              <w:jc w:val="right"/>
              <w:rPr>
                <w:rFonts w:ascii="Arial" w:hAnsi="Arial" w:cs="Arial"/>
                <w:color w:val="000000"/>
                <w:sz w:val="16"/>
                <w:szCs w:val="16"/>
              </w:rPr>
            </w:pPr>
            <w:r>
              <w:rPr>
                <w:rFonts w:ascii="Arial" w:hAnsi="Arial" w:cs="Arial"/>
                <w:sz w:val="16"/>
                <w:szCs w:val="16"/>
              </w:rPr>
              <w:t>47.115</w:t>
            </w:r>
          </w:p>
        </w:tc>
        <w:tc>
          <w:tcPr>
            <w:tcW w:w="872" w:type="pct"/>
            <w:tcBorders>
              <w:top w:val="nil"/>
              <w:left w:val="nil"/>
              <w:bottom w:val="single" w:sz="8" w:space="0" w:color="auto"/>
              <w:right w:val="single" w:sz="8" w:space="0" w:color="auto"/>
            </w:tcBorders>
            <w:noWrap/>
            <w:vAlign w:val="center"/>
            <w:hideMark/>
          </w:tcPr>
          <w:p w14:paraId="37ED0230" w14:textId="77777777" w:rsidR="00123CD8" w:rsidRDefault="00123CD8">
            <w:pPr>
              <w:jc w:val="right"/>
              <w:rPr>
                <w:rFonts w:ascii="Arial" w:hAnsi="Arial" w:cs="Arial"/>
                <w:color w:val="000000"/>
                <w:sz w:val="16"/>
                <w:szCs w:val="16"/>
              </w:rPr>
            </w:pPr>
            <w:r>
              <w:rPr>
                <w:rFonts w:ascii="Arial" w:hAnsi="Arial" w:cs="Arial"/>
                <w:sz w:val="16"/>
                <w:szCs w:val="16"/>
              </w:rPr>
              <w:t>21.334</w:t>
            </w:r>
          </w:p>
        </w:tc>
        <w:tc>
          <w:tcPr>
            <w:tcW w:w="748" w:type="pct"/>
            <w:tcBorders>
              <w:top w:val="nil"/>
              <w:left w:val="nil"/>
              <w:bottom w:val="single" w:sz="8" w:space="0" w:color="auto"/>
              <w:right w:val="single" w:sz="8" w:space="0" w:color="auto"/>
            </w:tcBorders>
            <w:noWrap/>
            <w:vAlign w:val="center"/>
            <w:hideMark/>
          </w:tcPr>
          <w:p w14:paraId="1A79B10C" w14:textId="77777777" w:rsidR="00123CD8" w:rsidRDefault="00123CD8">
            <w:pPr>
              <w:jc w:val="right"/>
              <w:rPr>
                <w:rFonts w:ascii="Arial" w:hAnsi="Arial" w:cs="Arial"/>
                <w:color w:val="000000"/>
                <w:sz w:val="16"/>
                <w:szCs w:val="16"/>
              </w:rPr>
            </w:pPr>
            <w:r>
              <w:rPr>
                <w:rFonts w:ascii="Arial" w:hAnsi="Arial" w:cs="Arial"/>
                <w:sz w:val="16"/>
                <w:szCs w:val="16"/>
              </w:rPr>
              <w:t>21.276</w:t>
            </w:r>
          </w:p>
        </w:tc>
      </w:tr>
      <w:tr w:rsidR="00123CD8" w14:paraId="5314B0F1" w14:textId="77777777" w:rsidTr="00123CD8">
        <w:trPr>
          <w:trHeight w:val="465"/>
        </w:trPr>
        <w:tc>
          <w:tcPr>
            <w:tcW w:w="910" w:type="pct"/>
            <w:tcBorders>
              <w:top w:val="nil"/>
              <w:left w:val="single" w:sz="8" w:space="0" w:color="auto"/>
              <w:bottom w:val="single" w:sz="8" w:space="0" w:color="auto"/>
              <w:right w:val="single" w:sz="8" w:space="0" w:color="auto"/>
            </w:tcBorders>
            <w:shd w:val="clear" w:color="auto" w:fill="4F81BD" w:themeFill="accent1"/>
            <w:vAlign w:val="center"/>
            <w:hideMark/>
          </w:tcPr>
          <w:p w14:paraId="4ACB2E24" w14:textId="77777777" w:rsidR="00123CD8" w:rsidRDefault="00123CD8">
            <w:pPr>
              <w:rPr>
                <w:rFonts w:ascii="Arial" w:hAnsi="Arial" w:cs="Arial"/>
                <w:b/>
                <w:bCs/>
                <w:color w:val="000000"/>
                <w:sz w:val="16"/>
                <w:szCs w:val="16"/>
              </w:rPr>
            </w:pPr>
            <w:r>
              <w:rPr>
                <w:rFonts w:ascii="Arial" w:hAnsi="Arial" w:cs="Arial"/>
                <w:b/>
                <w:bCs/>
                <w:sz w:val="16"/>
                <w:szCs w:val="16"/>
              </w:rPr>
              <w:t>Total, gastos de comercialización y producción</w:t>
            </w:r>
          </w:p>
        </w:tc>
        <w:tc>
          <w:tcPr>
            <w:tcW w:w="703" w:type="pct"/>
            <w:tcBorders>
              <w:top w:val="nil"/>
              <w:left w:val="nil"/>
              <w:bottom w:val="single" w:sz="8" w:space="0" w:color="auto"/>
              <w:right w:val="single" w:sz="8" w:space="0" w:color="auto"/>
            </w:tcBorders>
            <w:shd w:val="clear" w:color="auto" w:fill="4F81BD" w:themeFill="accent1"/>
            <w:noWrap/>
            <w:vAlign w:val="center"/>
            <w:hideMark/>
          </w:tcPr>
          <w:p w14:paraId="6FB5F73D" w14:textId="77777777" w:rsidR="00123CD8" w:rsidRDefault="00123CD8">
            <w:pPr>
              <w:jc w:val="right"/>
              <w:rPr>
                <w:rFonts w:ascii="Arial" w:hAnsi="Arial" w:cs="Arial"/>
                <w:b/>
                <w:bCs/>
                <w:color w:val="000000"/>
                <w:sz w:val="16"/>
                <w:szCs w:val="16"/>
              </w:rPr>
            </w:pPr>
            <w:r>
              <w:rPr>
                <w:rFonts w:ascii="Arial" w:hAnsi="Arial" w:cs="Arial"/>
                <w:b/>
                <w:bCs/>
                <w:sz w:val="16"/>
                <w:szCs w:val="16"/>
              </w:rPr>
              <w:t>57.727</w:t>
            </w:r>
          </w:p>
        </w:tc>
        <w:tc>
          <w:tcPr>
            <w:tcW w:w="869" w:type="pct"/>
            <w:tcBorders>
              <w:top w:val="nil"/>
              <w:left w:val="nil"/>
              <w:bottom w:val="single" w:sz="8" w:space="0" w:color="auto"/>
              <w:right w:val="single" w:sz="8" w:space="0" w:color="auto"/>
            </w:tcBorders>
            <w:shd w:val="clear" w:color="auto" w:fill="4F81BD" w:themeFill="accent1"/>
            <w:noWrap/>
            <w:vAlign w:val="center"/>
            <w:hideMark/>
          </w:tcPr>
          <w:p w14:paraId="32DAC909" w14:textId="77777777" w:rsidR="00123CD8" w:rsidRDefault="00123CD8">
            <w:pPr>
              <w:jc w:val="right"/>
              <w:rPr>
                <w:rFonts w:ascii="Arial" w:hAnsi="Arial" w:cs="Arial"/>
                <w:b/>
                <w:bCs/>
                <w:color w:val="000000"/>
                <w:sz w:val="16"/>
                <w:szCs w:val="16"/>
              </w:rPr>
            </w:pPr>
            <w:r>
              <w:rPr>
                <w:rFonts w:ascii="Arial" w:hAnsi="Arial" w:cs="Arial"/>
                <w:b/>
                <w:bCs/>
                <w:sz w:val="16"/>
                <w:szCs w:val="16"/>
              </w:rPr>
              <w:t>48.325</w:t>
            </w:r>
          </w:p>
        </w:tc>
        <w:tc>
          <w:tcPr>
            <w:tcW w:w="898" w:type="pct"/>
            <w:tcBorders>
              <w:top w:val="nil"/>
              <w:left w:val="nil"/>
              <w:bottom w:val="single" w:sz="8" w:space="0" w:color="auto"/>
              <w:right w:val="single" w:sz="8" w:space="0" w:color="auto"/>
            </w:tcBorders>
            <w:shd w:val="clear" w:color="auto" w:fill="4F81BD" w:themeFill="accent1"/>
            <w:noWrap/>
            <w:vAlign w:val="center"/>
            <w:hideMark/>
          </w:tcPr>
          <w:p w14:paraId="0E5F2B13" w14:textId="77777777" w:rsidR="00123CD8" w:rsidRDefault="00123CD8">
            <w:pPr>
              <w:jc w:val="right"/>
              <w:rPr>
                <w:rFonts w:ascii="Arial" w:hAnsi="Arial" w:cs="Arial"/>
                <w:b/>
                <w:bCs/>
                <w:color w:val="000000"/>
                <w:sz w:val="16"/>
                <w:szCs w:val="16"/>
              </w:rPr>
            </w:pPr>
            <w:r>
              <w:rPr>
                <w:rFonts w:ascii="Arial" w:hAnsi="Arial" w:cs="Arial"/>
                <w:b/>
                <w:bCs/>
                <w:sz w:val="16"/>
                <w:szCs w:val="16"/>
              </w:rPr>
              <w:t>47.115</w:t>
            </w:r>
          </w:p>
        </w:tc>
        <w:tc>
          <w:tcPr>
            <w:tcW w:w="872" w:type="pct"/>
            <w:tcBorders>
              <w:top w:val="nil"/>
              <w:left w:val="nil"/>
              <w:bottom w:val="single" w:sz="8" w:space="0" w:color="auto"/>
              <w:right w:val="single" w:sz="8" w:space="0" w:color="auto"/>
            </w:tcBorders>
            <w:shd w:val="clear" w:color="auto" w:fill="4F81BD" w:themeFill="accent1"/>
            <w:noWrap/>
            <w:vAlign w:val="center"/>
            <w:hideMark/>
          </w:tcPr>
          <w:p w14:paraId="74043258" w14:textId="77777777" w:rsidR="00123CD8" w:rsidRDefault="00123CD8">
            <w:pPr>
              <w:jc w:val="right"/>
              <w:rPr>
                <w:rFonts w:ascii="Arial" w:hAnsi="Arial" w:cs="Arial"/>
                <w:b/>
                <w:bCs/>
                <w:color w:val="000000"/>
                <w:sz w:val="16"/>
                <w:szCs w:val="16"/>
              </w:rPr>
            </w:pPr>
            <w:r>
              <w:rPr>
                <w:rFonts w:ascii="Arial" w:hAnsi="Arial" w:cs="Arial"/>
                <w:b/>
                <w:bCs/>
                <w:sz w:val="16"/>
                <w:szCs w:val="16"/>
              </w:rPr>
              <w:t>21.334</w:t>
            </w:r>
          </w:p>
        </w:tc>
        <w:tc>
          <w:tcPr>
            <w:tcW w:w="748" w:type="pct"/>
            <w:tcBorders>
              <w:top w:val="nil"/>
              <w:left w:val="nil"/>
              <w:bottom w:val="single" w:sz="8" w:space="0" w:color="auto"/>
              <w:right w:val="single" w:sz="8" w:space="0" w:color="auto"/>
            </w:tcBorders>
            <w:shd w:val="clear" w:color="auto" w:fill="4F81BD" w:themeFill="accent1"/>
            <w:noWrap/>
            <w:vAlign w:val="center"/>
            <w:hideMark/>
          </w:tcPr>
          <w:p w14:paraId="600C4DE2" w14:textId="77777777" w:rsidR="00123CD8" w:rsidRDefault="00123CD8">
            <w:pPr>
              <w:jc w:val="right"/>
              <w:rPr>
                <w:rFonts w:ascii="Arial" w:hAnsi="Arial" w:cs="Arial"/>
                <w:b/>
                <w:bCs/>
                <w:color w:val="000000"/>
                <w:sz w:val="16"/>
                <w:szCs w:val="16"/>
              </w:rPr>
            </w:pPr>
            <w:r>
              <w:rPr>
                <w:rFonts w:ascii="Arial" w:hAnsi="Arial" w:cs="Arial"/>
                <w:b/>
                <w:bCs/>
                <w:sz w:val="16"/>
                <w:szCs w:val="16"/>
              </w:rPr>
              <w:t>21.276</w:t>
            </w:r>
          </w:p>
        </w:tc>
      </w:tr>
      <w:tr w:rsidR="00123CD8" w14:paraId="11D11FC9" w14:textId="77777777" w:rsidTr="00123CD8">
        <w:trPr>
          <w:trHeight w:val="315"/>
        </w:trPr>
        <w:tc>
          <w:tcPr>
            <w:tcW w:w="1613" w:type="pct"/>
            <w:gridSpan w:val="2"/>
            <w:tcBorders>
              <w:top w:val="single" w:sz="8" w:space="0" w:color="auto"/>
              <w:left w:val="single" w:sz="8" w:space="0" w:color="auto"/>
              <w:bottom w:val="single" w:sz="8" w:space="0" w:color="auto"/>
              <w:right w:val="single" w:sz="8" w:space="0" w:color="000000"/>
            </w:tcBorders>
            <w:shd w:val="clear" w:color="auto" w:fill="4F81BD" w:themeFill="accent1"/>
            <w:noWrap/>
            <w:vAlign w:val="center"/>
            <w:hideMark/>
          </w:tcPr>
          <w:p w14:paraId="5BD4DF39" w14:textId="77777777" w:rsidR="00123CD8" w:rsidRDefault="00123CD8">
            <w:pPr>
              <w:rPr>
                <w:rFonts w:ascii="Arial" w:hAnsi="Arial" w:cs="Arial"/>
                <w:b/>
                <w:bCs/>
                <w:color w:val="000000"/>
                <w:sz w:val="16"/>
                <w:szCs w:val="16"/>
              </w:rPr>
            </w:pPr>
            <w:r>
              <w:rPr>
                <w:rFonts w:ascii="Arial" w:hAnsi="Arial" w:cs="Arial"/>
                <w:b/>
                <w:bCs/>
                <w:sz w:val="16"/>
                <w:szCs w:val="16"/>
              </w:rPr>
              <w:t>% de Ejecución</w:t>
            </w:r>
          </w:p>
        </w:tc>
        <w:tc>
          <w:tcPr>
            <w:tcW w:w="869" w:type="pct"/>
            <w:tcBorders>
              <w:top w:val="nil"/>
              <w:left w:val="nil"/>
              <w:bottom w:val="single" w:sz="8" w:space="0" w:color="auto"/>
              <w:right w:val="single" w:sz="8" w:space="0" w:color="auto"/>
            </w:tcBorders>
            <w:shd w:val="clear" w:color="auto" w:fill="4F81BD" w:themeFill="accent1"/>
            <w:noWrap/>
            <w:vAlign w:val="center"/>
            <w:hideMark/>
          </w:tcPr>
          <w:p w14:paraId="1084671A" w14:textId="77777777" w:rsidR="00123CD8" w:rsidRDefault="00123CD8">
            <w:pPr>
              <w:jc w:val="right"/>
              <w:rPr>
                <w:rFonts w:ascii="Arial" w:hAnsi="Arial" w:cs="Arial"/>
                <w:color w:val="000000"/>
                <w:sz w:val="16"/>
                <w:szCs w:val="16"/>
              </w:rPr>
            </w:pPr>
            <w:r>
              <w:rPr>
                <w:rFonts w:ascii="Arial" w:hAnsi="Arial" w:cs="Arial"/>
                <w:sz w:val="16"/>
                <w:szCs w:val="16"/>
              </w:rPr>
              <w:t>84%</w:t>
            </w:r>
          </w:p>
        </w:tc>
        <w:tc>
          <w:tcPr>
            <w:tcW w:w="898" w:type="pct"/>
            <w:tcBorders>
              <w:top w:val="nil"/>
              <w:left w:val="nil"/>
              <w:bottom w:val="single" w:sz="8" w:space="0" w:color="auto"/>
              <w:right w:val="single" w:sz="8" w:space="0" w:color="auto"/>
            </w:tcBorders>
            <w:shd w:val="clear" w:color="auto" w:fill="4F81BD" w:themeFill="accent1"/>
            <w:noWrap/>
            <w:vAlign w:val="center"/>
            <w:hideMark/>
          </w:tcPr>
          <w:p w14:paraId="4273F84F" w14:textId="77777777" w:rsidR="00123CD8" w:rsidRDefault="00123CD8">
            <w:pPr>
              <w:jc w:val="right"/>
              <w:rPr>
                <w:rFonts w:ascii="Arial" w:hAnsi="Arial" w:cs="Arial"/>
                <w:color w:val="000000"/>
                <w:sz w:val="16"/>
                <w:szCs w:val="16"/>
              </w:rPr>
            </w:pPr>
            <w:r>
              <w:rPr>
                <w:rFonts w:ascii="Arial" w:hAnsi="Arial" w:cs="Arial"/>
                <w:sz w:val="16"/>
                <w:szCs w:val="16"/>
              </w:rPr>
              <w:t>82%</w:t>
            </w:r>
          </w:p>
        </w:tc>
        <w:tc>
          <w:tcPr>
            <w:tcW w:w="872" w:type="pct"/>
            <w:tcBorders>
              <w:top w:val="nil"/>
              <w:left w:val="nil"/>
              <w:bottom w:val="single" w:sz="8" w:space="0" w:color="auto"/>
              <w:right w:val="single" w:sz="8" w:space="0" w:color="auto"/>
            </w:tcBorders>
            <w:shd w:val="clear" w:color="auto" w:fill="4F81BD" w:themeFill="accent1"/>
            <w:noWrap/>
            <w:vAlign w:val="center"/>
            <w:hideMark/>
          </w:tcPr>
          <w:p w14:paraId="7609BA73" w14:textId="77777777" w:rsidR="00123CD8" w:rsidRDefault="00123CD8">
            <w:pPr>
              <w:jc w:val="right"/>
              <w:rPr>
                <w:rFonts w:ascii="Arial" w:hAnsi="Arial" w:cs="Arial"/>
                <w:color w:val="000000"/>
                <w:sz w:val="16"/>
                <w:szCs w:val="16"/>
              </w:rPr>
            </w:pPr>
            <w:r>
              <w:rPr>
                <w:rFonts w:ascii="Arial" w:hAnsi="Arial" w:cs="Arial"/>
                <w:sz w:val="16"/>
                <w:szCs w:val="16"/>
              </w:rPr>
              <w:t>37%</w:t>
            </w:r>
          </w:p>
        </w:tc>
        <w:tc>
          <w:tcPr>
            <w:tcW w:w="748" w:type="pct"/>
            <w:tcBorders>
              <w:top w:val="nil"/>
              <w:left w:val="nil"/>
              <w:bottom w:val="single" w:sz="8" w:space="0" w:color="auto"/>
              <w:right w:val="single" w:sz="8" w:space="0" w:color="auto"/>
            </w:tcBorders>
            <w:shd w:val="clear" w:color="auto" w:fill="4F81BD" w:themeFill="accent1"/>
            <w:noWrap/>
            <w:vAlign w:val="center"/>
            <w:hideMark/>
          </w:tcPr>
          <w:p w14:paraId="6E42C01E" w14:textId="77777777" w:rsidR="00123CD8" w:rsidRDefault="00123CD8">
            <w:pPr>
              <w:jc w:val="right"/>
              <w:rPr>
                <w:rFonts w:ascii="Arial" w:hAnsi="Arial" w:cs="Arial"/>
                <w:color w:val="000000"/>
                <w:sz w:val="16"/>
                <w:szCs w:val="16"/>
              </w:rPr>
            </w:pPr>
            <w:r>
              <w:rPr>
                <w:rFonts w:ascii="Arial" w:hAnsi="Arial" w:cs="Arial"/>
                <w:sz w:val="16"/>
                <w:szCs w:val="16"/>
              </w:rPr>
              <w:t>37%</w:t>
            </w:r>
          </w:p>
        </w:tc>
      </w:tr>
    </w:tbl>
    <w:p w14:paraId="03CC4D16" w14:textId="1EBD1041"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4FB5FF49"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30B4DF25" w14:textId="545A2BA0" w:rsidR="00C02282" w:rsidRPr="00123CD8" w:rsidRDefault="00C02282" w:rsidP="00C02282">
      <w:pPr>
        <w:pStyle w:val="Descripcin"/>
        <w:keepNext/>
        <w:jc w:val="center"/>
      </w:pPr>
      <w:bookmarkStart w:id="139" w:name="_Toc525652510"/>
      <w:r w:rsidRPr="00123CD8">
        <w:t xml:space="preserve">Tabla </w:t>
      </w:r>
      <w:r w:rsidRPr="00123CD8">
        <w:fldChar w:fldCharType="begin"/>
      </w:r>
      <w:r w:rsidRPr="00123CD8">
        <w:instrText xml:space="preserve"> SEQ Tabla \* ARABIC </w:instrText>
      </w:r>
      <w:r w:rsidRPr="00123CD8">
        <w:fldChar w:fldCharType="separate"/>
      </w:r>
      <w:r w:rsidR="008B4625">
        <w:rPr>
          <w:noProof/>
        </w:rPr>
        <w:t>65</w:t>
      </w:r>
      <w:r w:rsidRPr="00123CD8">
        <w:fldChar w:fldCharType="end"/>
      </w:r>
      <w:r w:rsidR="00123CD8" w:rsidRPr="00123CD8">
        <w:t xml:space="preserve"> </w:t>
      </w:r>
      <w:r w:rsidRPr="00123CD8">
        <w:t>Ejecución Gastos de Comercialización</w:t>
      </w:r>
      <w:r w:rsidR="00123CD8" w:rsidRPr="00123CD8">
        <w:t xml:space="preserve"> y Producción – Por Conceptos 30 de junio de </w:t>
      </w:r>
      <w:r w:rsidRPr="00123CD8">
        <w:t xml:space="preserve"> 2018 ANH</w:t>
      </w:r>
      <w:bookmarkEnd w:id="139"/>
    </w:p>
    <w:tbl>
      <w:tblPr>
        <w:tblW w:w="5457" w:type="pct"/>
        <w:tblLayout w:type="fixed"/>
        <w:tblCellMar>
          <w:left w:w="70" w:type="dxa"/>
          <w:right w:w="70" w:type="dxa"/>
        </w:tblCellMar>
        <w:tblLook w:val="04A0" w:firstRow="1" w:lastRow="0" w:firstColumn="1" w:lastColumn="0" w:noHBand="0" w:noVBand="1"/>
      </w:tblPr>
      <w:tblGrid>
        <w:gridCol w:w="4073"/>
        <w:gridCol w:w="1299"/>
        <w:gridCol w:w="946"/>
        <w:gridCol w:w="826"/>
        <w:gridCol w:w="828"/>
        <w:gridCol w:w="1098"/>
        <w:gridCol w:w="584"/>
        <w:gridCol w:w="588"/>
      </w:tblGrid>
      <w:tr w:rsidR="00123CD8" w:rsidRPr="00123CD8" w14:paraId="24A28A48" w14:textId="77777777" w:rsidTr="00803CC6">
        <w:trPr>
          <w:trHeight w:val="412"/>
          <w:tblHeader/>
        </w:trPr>
        <w:tc>
          <w:tcPr>
            <w:tcW w:w="1989"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67051ADD"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DESCRIPCIÓN</w:t>
            </w:r>
          </w:p>
        </w:tc>
        <w:tc>
          <w:tcPr>
            <w:tcW w:w="634" w:type="pct"/>
            <w:vMerge w:val="restart"/>
            <w:tcBorders>
              <w:top w:val="single" w:sz="8" w:space="0" w:color="auto"/>
              <w:left w:val="single" w:sz="8" w:space="0" w:color="auto"/>
              <w:bottom w:val="single" w:sz="8" w:space="0" w:color="000000"/>
              <w:right w:val="single" w:sz="8" w:space="0" w:color="auto"/>
            </w:tcBorders>
            <w:shd w:val="clear" w:color="auto" w:fill="4F81BD" w:themeFill="accent1"/>
            <w:vAlign w:val="center"/>
            <w:hideMark/>
          </w:tcPr>
          <w:p w14:paraId="49E47597"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APROPIACIÓN DEFINITIVA</w:t>
            </w:r>
          </w:p>
        </w:tc>
        <w:tc>
          <w:tcPr>
            <w:tcW w:w="865" w:type="pct"/>
            <w:gridSpan w:val="2"/>
            <w:vMerge w:val="restart"/>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5C7FEB82"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COMPROMISOS ACUMULADOS</w:t>
            </w:r>
          </w:p>
        </w:tc>
        <w:tc>
          <w:tcPr>
            <w:tcW w:w="940" w:type="pct"/>
            <w:gridSpan w:val="2"/>
            <w:vMerge w:val="restart"/>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327AC945"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OBLIGACIONES ACUMULADAS</w:t>
            </w:r>
          </w:p>
        </w:tc>
        <w:tc>
          <w:tcPr>
            <w:tcW w:w="572" w:type="pct"/>
            <w:gridSpan w:val="2"/>
            <w:vMerge w:val="restart"/>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2B883D40"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PAGOS ACUMULADOS</w:t>
            </w:r>
          </w:p>
        </w:tc>
      </w:tr>
      <w:tr w:rsidR="00123CD8" w:rsidRPr="00123CD8" w14:paraId="4CBF63FA" w14:textId="77777777" w:rsidTr="00803CC6">
        <w:trPr>
          <w:trHeight w:val="509"/>
          <w:tblHeader/>
        </w:trPr>
        <w:tc>
          <w:tcPr>
            <w:tcW w:w="1989" w:type="pct"/>
            <w:vMerge/>
            <w:tcBorders>
              <w:top w:val="single" w:sz="8" w:space="0" w:color="auto"/>
              <w:left w:val="single" w:sz="8" w:space="0" w:color="auto"/>
              <w:bottom w:val="single" w:sz="8" w:space="0" w:color="000000"/>
              <w:right w:val="single" w:sz="8" w:space="0" w:color="auto"/>
            </w:tcBorders>
            <w:vAlign w:val="center"/>
            <w:hideMark/>
          </w:tcPr>
          <w:p w14:paraId="0A9FB152" w14:textId="77777777" w:rsidR="00123CD8" w:rsidRPr="00123CD8" w:rsidRDefault="00123CD8">
            <w:pPr>
              <w:rPr>
                <w:rFonts w:ascii="Arial" w:hAnsi="Arial" w:cs="Arial"/>
                <w:b/>
                <w:bCs/>
                <w:color w:val="000000"/>
                <w:sz w:val="16"/>
                <w:szCs w:val="16"/>
              </w:rPr>
            </w:pPr>
          </w:p>
        </w:tc>
        <w:tc>
          <w:tcPr>
            <w:tcW w:w="634" w:type="pct"/>
            <w:vMerge/>
            <w:tcBorders>
              <w:top w:val="single" w:sz="8" w:space="0" w:color="auto"/>
              <w:left w:val="single" w:sz="8" w:space="0" w:color="auto"/>
              <w:bottom w:val="single" w:sz="8" w:space="0" w:color="000000"/>
              <w:right w:val="single" w:sz="8" w:space="0" w:color="auto"/>
            </w:tcBorders>
            <w:vAlign w:val="center"/>
            <w:hideMark/>
          </w:tcPr>
          <w:p w14:paraId="2B623D01" w14:textId="77777777" w:rsidR="00123CD8" w:rsidRPr="00123CD8" w:rsidRDefault="00123CD8">
            <w:pPr>
              <w:rPr>
                <w:rFonts w:ascii="Arial" w:hAnsi="Arial" w:cs="Arial"/>
                <w:b/>
                <w:bCs/>
                <w:color w:val="000000"/>
                <w:sz w:val="16"/>
                <w:szCs w:val="16"/>
              </w:rPr>
            </w:pPr>
          </w:p>
        </w:tc>
        <w:tc>
          <w:tcPr>
            <w:tcW w:w="865" w:type="pct"/>
            <w:gridSpan w:val="2"/>
            <w:vMerge/>
            <w:tcBorders>
              <w:top w:val="single" w:sz="8" w:space="0" w:color="auto"/>
              <w:left w:val="single" w:sz="8" w:space="0" w:color="auto"/>
              <w:bottom w:val="single" w:sz="8" w:space="0" w:color="000000"/>
              <w:right w:val="single" w:sz="8" w:space="0" w:color="000000"/>
            </w:tcBorders>
            <w:vAlign w:val="center"/>
            <w:hideMark/>
          </w:tcPr>
          <w:p w14:paraId="72CB1B43" w14:textId="77777777" w:rsidR="00123CD8" w:rsidRPr="00123CD8" w:rsidRDefault="00123CD8">
            <w:pPr>
              <w:rPr>
                <w:rFonts w:ascii="Arial" w:hAnsi="Arial" w:cs="Arial"/>
                <w:b/>
                <w:bCs/>
                <w:color w:val="000000"/>
                <w:sz w:val="16"/>
                <w:szCs w:val="16"/>
              </w:rPr>
            </w:pPr>
          </w:p>
        </w:tc>
        <w:tc>
          <w:tcPr>
            <w:tcW w:w="940" w:type="pct"/>
            <w:gridSpan w:val="2"/>
            <w:vMerge/>
            <w:tcBorders>
              <w:top w:val="single" w:sz="8" w:space="0" w:color="auto"/>
              <w:left w:val="single" w:sz="8" w:space="0" w:color="auto"/>
              <w:bottom w:val="single" w:sz="8" w:space="0" w:color="000000"/>
              <w:right w:val="single" w:sz="8" w:space="0" w:color="000000"/>
            </w:tcBorders>
            <w:vAlign w:val="center"/>
            <w:hideMark/>
          </w:tcPr>
          <w:p w14:paraId="74E1D99D" w14:textId="77777777" w:rsidR="00123CD8" w:rsidRPr="00123CD8" w:rsidRDefault="00123CD8">
            <w:pPr>
              <w:rPr>
                <w:rFonts w:ascii="Arial" w:hAnsi="Arial" w:cs="Arial"/>
                <w:b/>
                <w:bCs/>
                <w:color w:val="000000"/>
                <w:sz w:val="16"/>
                <w:szCs w:val="16"/>
              </w:rPr>
            </w:pPr>
          </w:p>
        </w:tc>
        <w:tc>
          <w:tcPr>
            <w:tcW w:w="572" w:type="pct"/>
            <w:gridSpan w:val="2"/>
            <w:vMerge/>
            <w:tcBorders>
              <w:top w:val="single" w:sz="8" w:space="0" w:color="auto"/>
              <w:left w:val="single" w:sz="8" w:space="0" w:color="auto"/>
              <w:bottom w:val="single" w:sz="8" w:space="0" w:color="000000"/>
              <w:right w:val="single" w:sz="8" w:space="0" w:color="000000"/>
            </w:tcBorders>
            <w:vAlign w:val="center"/>
            <w:hideMark/>
          </w:tcPr>
          <w:p w14:paraId="17665B0B" w14:textId="77777777" w:rsidR="00123CD8" w:rsidRPr="00123CD8" w:rsidRDefault="00123CD8">
            <w:pPr>
              <w:rPr>
                <w:rFonts w:ascii="Arial" w:hAnsi="Arial" w:cs="Arial"/>
                <w:b/>
                <w:bCs/>
                <w:color w:val="000000"/>
                <w:sz w:val="16"/>
                <w:szCs w:val="16"/>
              </w:rPr>
            </w:pPr>
          </w:p>
        </w:tc>
      </w:tr>
      <w:tr w:rsidR="00FE1111" w:rsidRPr="00123CD8" w14:paraId="2F0B433C" w14:textId="77777777" w:rsidTr="00803CC6">
        <w:trPr>
          <w:trHeight w:val="296"/>
          <w:tblHeader/>
        </w:trPr>
        <w:tc>
          <w:tcPr>
            <w:tcW w:w="1989" w:type="pct"/>
            <w:vMerge/>
            <w:tcBorders>
              <w:top w:val="single" w:sz="8" w:space="0" w:color="auto"/>
              <w:left w:val="single" w:sz="8" w:space="0" w:color="auto"/>
              <w:bottom w:val="single" w:sz="8" w:space="0" w:color="000000"/>
              <w:right w:val="single" w:sz="8" w:space="0" w:color="auto"/>
            </w:tcBorders>
            <w:vAlign w:val="center"/>
            <w:hideMark/>
          </w:tcPr>
          <w:p w14:paraId="656B4363" w14:textId="77777777" w:rsidR="00123CD8" w:rsidRPr="00123CD8" w:rsidRDefault="00123CD8">
            <w:pPr>
              <w:rPr>
                <w:rFonts w:ascii="Arial" w:hAnsi="Arial" w:cs="Arial"/>
                <w:b/>
                <w:bCs/>
                <w:color w:val="000000"/>
                <w:sz w:val="16"/>
                <w:szCs w:val="16"/>
              </w:rPr>
            </w:pPr>
          </w:p>
        </w:tc>
        <w:tc>
          <w:tcPr>
            <w:tcW w:w="634" w:type="pct"/>
            <w:vMerge/>
            <w:tcBorders>
              <w:top w:val="single" w:sz="8" w:space="0" w:color="auto"/>
              <w:left w:val="single" w:sz="8" w:space="0" w:color="auto"/>
              <w:bottom w:val="single" w:sz="8" w:space="0" w:color="000000"/>
              <w:right w:val="single" w:sz="8" w:space="0" w:color="auto"/>
            </w:tcBorders>
            <w:vAlign w:val="center"/>
            <w:hideMark/>
          </w:tcPr>
          <w:p w14:paraId="5F051770" w14:textId="77777777" w:rsidR="00123CD8" w:rsidRPr="00123CD8" w:rsidRDefault="00123CD8">
            <w:pPr>
              <w:rPr>
                <w:rFonts w:ascii="Arial" w:hAnsi="Arial" w:cs="Arial"/>
                <w:b/>
                <w:bCs/>
                <w:color w:val="000000"/>
                <w:sz w:val="16"/>
                <w:szCs w:val="16"/>
              </w:rPr>
            </w:pPr>
          </w:p>
        </w:tc>
        <w:tc>
          <w:tcPr>
            <w:tcW w:w="462" w:type="pct"/>
            <w:tcBorders>
              <w:top w:val="nil"/>
              <w:left w:val="nil"/>
              <w:bottom w:val="single" w:sz="8" w:space="0" w:color="auto"/>
              <w:right w:val="single" w:sz="8" w:space="0" w:color="auto"/>
            </w:tcBorders>
            <w:shd w:val="clear" w:color="auto" w:fill="4F81BD" w:themeFill="accent1"/>
            <w:vAlign w:val="center"/>
            <w:hideMark/>
          </w:tcPr>
          <w:p w14:paraId="616101CC"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VALOR</w:t>
            </w:r>
          </w:p>
        </w:tc>
        <w:tc>
          <w:tcPr>
            <w:tcW w:w="403" w:type="pct"/>
            <w:tcBorders>
              <w:top w:val="nil"/>
              <w:left w:val="nil"/>
              <w:bottom w:val="single" w:sz="8" w:space="0" w:color="auto"/>
              <w:right w:val="nil"/>
            </w:tcBorders>
            <w:shd w:val="clear" w:color="auto" w:fill="4F81BD" w:themeFill="accent1"/>
            <w:vAlign w:val="center"/>
            <w:hideMark/>
          </w:tcPr>
          <w:p w14:paraId="618ECE57"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w:t>
            </w:r>
          </w:p>
        </w:tc>
        <w:tc>
          <w:tcPr>
            <w:tcW w:w="404" w:type="pct"/>
            <w:tcBorders>
              <w:top w:val="nil"/>
              <w:left w:val="single" w:sz="8" w:space="0" w:color="auto"/>
              <w:bottom w:val="single" w:sz="8" w:space="0" w:color="auto"/>
              <w:right w:val="single" w:sz="8" w:space="0" w:color="auto"/>
            </w:tcBorders>
            <w:shd w:val="clear" w:color="auto" w:fill="4F81BD" w:themeFill="accent1"/>
            <w:vAlign w:val="center"/>
            <w:hideMark/>
          </w:tcPr>
          <w:p w14:paraId="3E8EDAA3"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VALOR</w:t>
            </w:r>
          </w:p>
        </w:tc>
        <w:tc>
          <w:tcPr>
            <w:tcW w:w="536" w:type="pct"/>
            <w:tcBorders>
              <w:top w:val="nil"/>
              <w:left w:val="nil"/>
              <w:bottom w:val="single" w:sz="8" w:space="0" w:color="auto"/>
              <w:right w:val="single" w:sz="8" w:space="0" w:color="auto"/>
            </w:tcBorders>
            <w:shd w:val="clear" w:color="auto" w:fill="4F81BD" w:themeFill="accent1"/>
            <w:vAlign w:val="center"/>
            <w:hideMark/>
          </w:tcPr>
          <w:p w14:paraId="096682CC"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w:t>
            </w:r>
          </w:p>
        </w:tc>
        <w:tc>
          <w:tcPr>
            <w:tcW w:w="285" w:type="pct"/>
            <w:tcBorders>
              <w:top w:val="nil"/>
              <w:left w:val="nil"/>
              <w:bottom w:val="single" w:sz="8" w:space="0" w:color="auto"/>
              <w:right w:val="single" w:sz="8" w:space="0" w:color="auto"/>
            </w:tcBorders>
            <w:shd w:val="clear" w:color="auto" w:fill="4F81BD" w:themeFill="accent1"/>
            <w:vAlign w:val="center"/>
            <w:hideMark/>
          </w:tcPr>
          <w:p w14:paraId="3CB48EF2"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VALOR</w:t>
            </w:r>
          </w:p>
        </w:tc>
        <w:tc>
          <w:tcPr>
            <w:tcW w:w="287" w:type="pct"/>
            <w:tcBorders>
              <w:top w:val="nil"/>
              <w:left w:val="nil"/>
              <w:bottom w:val="single" w:sz="8" w:space="0" w:color="auto"/>
              <w:right w:val="single" w:sz="8" w:space="0" w:color="auto"/>
            </w:tcBorders>
            <w:shd w:val="clear" w:color="auto" w:fill="4F81BD" w:themeFill="accent1"/>
            <w:vAlign w:val="center"/>
            <w:hideMark/>
          </w:tcPr>
          <w:p w14:paraId="75DCB4A6"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w:t>
            </w:r>
          </w:p>
        </w:tc>
      </w:tr>
      <w:tr w:rsidR="00FE1111" w:rsidRPr="00123CD8" w14:paraId="717610DD" w14:textId="77777777" w:rsidTr="00FE1111">
        <w:trPr>
          <w:trHeight w:val="296"/>
        </w:trPr>
        <w:tc>
          <w:tcPr>
            <w:tcW w:w="1989" w:type="pct"/>
            <w:tcBorders>
              <w:top w:val="nil"/>
              <w:left w:val="single" w:sz="8" w:space="0" w:color="auto"/>
              <w:bottom w:val="single" w:sz="8" w:space="0" w:color="auto"/>
              <w:right w:val="single" w:sz="8" w:space="0" w:color="auto"/>
            </w:tcBorders>
            <w:vAlign w:val="center"/>
            <w:hideMark/>
          </w:tcPr>
          <w:p w14:paraId="5E1F2318" w14:textId="77777777" w:rsidR="00123CD8" w:rsidRPr="00123CD8" w:rsidRDefault="00123CD8">
            <w:pPr>
              <w:rPr>
                <w:rFonts w:ascii="Arial" w:hAnsi="Arial" w:cs="Arial"/>
                <w:color w:val="000000"/>
                <w:sz w:val="16"/>
                <w:szCs w:val="16"/>
              </w:rPr>
            </w:pPr>
            <w:r w:rsidRPr="00123CD8">
              <w:rPr>
                <w:rFonts w:ascii="Arial" w:hAnsi="Arial" w:cs="Arial"/>
                <w:sz w:val="16"/>
                <w:szCs w:val="16"/>
              </w:rPr>
              <w:t>Honorarios</w:t>
            </w:r>
          </w:p>
        </w:tc>
        <w:tc>
          <w:tcPr>
            <w:tcW w:w="634" w:type="pct"/>
            <w:tcBorders>
              <w:top w:val="nil"/>
              <w:left w:val="nil"/>
              <w:bottom w:val="single" w:sz="8" w:space="0" w:color="auto"/>
              <w:right w:val="single" w:sz="8" w:space="0" w:color="auto"/>
            </w:tcBorders>
            <w:noWrap/>
            <w:vAlign w:val="center"/>
            <w:hideMark/>
          </w:tcPr>
          <w:p w14:paraId="6B9248CD"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37.225</w:t>
            </w:r>
          </w:p>
        </w:tc>
        <w:tc>
          <w:tcPr>
            <w:tcW w:w="462" w:type="pct"/>
            <w:tcBorders>
              <w:top w:val="nil"/>
              <w:left w:val="nil"/>
              <w:bottom w:val="single" w:sz="8" w:space="0" w:color="auto"/>
              <w:right w:val="single" w:sz="8" w:space="0" w:color="auto"/>
            </w:tcBorders>
            <w:noWrap/>
            <w:vAlign w:val="center"/>
            <w:hideMark/>
          </w:tcPr>
          <w:p w14:paraId="65FFCEB1"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31.921</w:t>
            </w:r>
          </w:p>
        </w:tc>
        <w:tc>
          <w:tcPr>
            <w:tcW w:w="403" w:type="pct"/>
            <w:tcBorders>
              <w:top w:val="nil"/>
              <w:left w:val="nil"/>
              <w:bottom w:val="single" w:sz="8" w:space="0" w:color="auto"/>
              <w:right w:val="nil"/>
            </w:tcBorders>
            <w:noWrap/>
            <w:vAlign w:val="center"/>
            <w:hideMark/>
          </w:tcPr>
          <w:p w14:paraId="21A93DA3"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86%</w:t>
            </w:r>
          </w:p>
        </w:tc>
        <w:tc>
          <w:tcPr>
            <w:tcW w:w="404" w:type="pct"/>
            <w:tcBorders>
              <w:top w:val="nil"/>
              <w:left w:val="single" w:sz="8" w:space="0" w:color="auto"/>
              <w:bottom w:val="single" w:sz="8" w:space="0" w:color="auto"/>
              <w:right w:val="single" w:sz="8" w:space="0" w:color="auto"/>
            </w:tcBorders>
            <w:noWrap/>
            <w:vAlign w:val="center"/>
            <w:hideMark/>
          </w:tcPr>
          <w:p w14:paraId="74AE47D1"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12.389</w:t>
            </w:r>
          </w:p>
        </w:tc>
        <w:tc>
          <w:tcPr>
            <w:tcW w:w="536" w:type="pct"/>
            <w:tcBorders>
              <w:top w:val="nil"/>
              <w:left w:val="nil"/>
              <w:bottom w:val="single" w:sz="8" w:space="0" w:color="auto"/>
              <w:right w:val="single" w:sz="8" w:space="0" w:color="auto"/>
            </w:tcBorders>
            <w:noWrap/>
            <w:vAlign w:val="center"/>
            <w:hideMark/>
          </w:tcPr>
          <w:p w14:paraId="5D060034"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33%</w:t>
            </w:r>
          </w:p>
        </w:tc>
        <w:tc>
          <w:tcPr>
            <w:tcW w:w="285" w:type="pct"/>
            <w:tcBorders>
              <w:top w:val="nil"/>
              <w:left w:val="nil"/>
              <w:bottom w:val="single" w:sz="8" w:space="0" w:color="auto"/>
              <w:right w:val="single" w:sz="8" w:space="0" w:color="auto"/>
            </w:tcBorders>
            <w:noWrap/>
            <w:vAlign w:val="center"/>
            <w:hideMark/>
          </w:tcPr>
          <w:p w14:paraId="4A42BEA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12.350</w:t>
            </w:r>
          </w:p>
        </w:tc>
        <w:tc>
          <w:tcPr>
            <w:tcW w:w="287" w:type="pct"/>
            <w:tcBorders>
              <w:top w:val="nil"/>
              <w:left w:val="nil"/>
              <w:bottom w:val="single" w:sz="8" w:space="0" w:color="auto"/>
              <w:right w:val="single" w:sz="8" w:space="0" w:color="auto"/>
            </w:tcBorders>
            <w:noWrap/>
            <w:vAlign w:val="center"/>
            <w:hideMark/>
          </w:tcPr>
          <w:p w14:paraId="7D98FEDB"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33%</w:t>
            </w:r>
          </w:p>
        </w:tc>
      </w:tr>
      <w:tr w:rsidR="00FE1111" w:rsidRPr="00123CD8" w14:paraId="6C22645B" w14:textId="77777777" w:rsidTr="00FE1111">
        <w:trPr>
          <w:trHeight w:val="296"/>
        </w:trPr>
        <w:tc>
          <w:tcPr>
            <w:tcW w:w="1989" w:type="pct"/>
            <w:tcBorders>
              <w:top w:val="nil"/>
              <w:left w:val="single" w:sz="8" w:space="0" w:color="auto"/>
              <w:bottom w:val="single" w:sz="8" w:space="0" w:color="auto"/>
              <w:right w:val="single" w:sz="8" w:space="0" w:color="auto"/>
            </w:tcBorders>
            <w:vAlign w:val="center"/>
            <w:hideMark/>
          </w:tcPr>
          <w:p w14:paraId="5971F17C" w14:textId="77777777" w:rsidR="00123CD8" w:rsidRPr="00123CD8" w:rsidRDefault="00123CD8">
            <w:pPr>
              <w:rPr>
                <w:rFonts w:ascii="Arial" w:hAnsi="Arial" w:cs="Arial"/>
                <w:color w:val="000000"/>
                <w:sz w:val="16"/>
                <w:szCs w:val="16"/>
              </w:rPr>
            </w:pPr>
            <w:r w:rsidRPr="00123CD8">
              <w:rPr>
                <w:rFonts w:ascii="Arial" w:hAnsi="Arial" w:cs="Arial"/>
                <w:sz w:val="16"/>
                <w:szCs w:val="16"/>
              </w:rPr>
              <w:t>Servicios</w:t>
            </w:r>
          </w:p>
        </w:tc>
        <w:tc>
          <w:tcPr>
            <w:tcW w:w="634" w:type="pct"/>
            <w:tcBorders>
              <w:top w:val="nil"/>
              <w:left w:val="nil"/>
              <w:bottom w:val="single" w:sz="8" w:space="0" w:color="auto"/>
              <w:right w:val="single" w:sz="8" w:space="0" w:color="auto"/>
            </w:tcBorders>
            <w:noWrap/>
            <w:vAlign w:val="center"/>
            <w:hideMark/>
          </w:tcPr>
          <w:p w14:paraId="0349FDFD"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10.945</w:t>
            </w:r>
          </w:p>
        </w:tc>
        <w:tc>
          <w:tcPr>
            <w:tcW w:w="462" w:type="pct"/>
            <w:tcBorders>
              <w:top w:val="nil"/>
              <w:left w:val="nil"/>
              <w:bottom w:val="single" w:sz="8" w:space="0" w:color="auto"/>
              <w:right w:val="single" w:sz="8" w:space="0" w:color="auto"/>
            </w:tcBorders>
            <w:noWrap/>
            <w:vAlign w:val="center"/>
            <w:hideMark/>
          </w:tcPr>
          <w:p w14:paraId="48A18184"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8.511</w:t>
            </w:r>
          </w:p>
        </w:tc>
        <w:tc>
          <w:tcPr>
            <w:tcW w:w="403" w:type="pct"/>
            <w:tcBorders>
              <w:top w:val="nil"/>
              <w:left w:val="nil"/>
              <w:bottom w:val="single" w:sz="8" w:space="0" w:color="auto"/>
              <w:right w:val="nil"/>
            </w:tcBorders>
            <w:noWrap/>
            <w:vAlign w:val="center"/>
            <w:hideMark/>
          </w:tcPr>
          <w:p w14:paraId="76F27E0B"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78%</w:t>
            </w:r>
          </w:p>
        </w:tc>
        <w:tc>
          <w:tcPr>
            <w:tcW w:w="404" w:type="pct"/>
            <w:tcBorders>
              <w:top w:val="nil"/>
              <w:left w:val="single" w:sz="8" w:space="0" w:color="auto"/>
              <w:bottom w:val="single" w:sz="8" w:space="0" w:color="auto"/>
              <w:right w:val="single" w:sz="8" w:space="0" w:color="auto"/>
            </w:tcBorders>
            <w:noWrap/>
            <w:vAlign w:val="center"/>
            <w:hideMark/>
          </w:tcPr>
          <w:p w14:paraId="4FDA5BB7"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4.470</w:t>
            </w:r>
          </w:p>
        </w:tc>
        <w:tc>
          <w:tcPr>
            <w:tcW w:w="536" w:type="pct"/>
            <w:tcBorders>
              <w:top w:val="nil"/>
              <w:left w:val="nil"/>
              <w:bottom w:val="single" w:sz="8" w:space="0" w:color="auto"/>
              <w:right w:val="single" w:sz="8" w:space="0" w:color="auto"/>
            </w:tcBorders>
            <w:noWrap/>
            <w:vAlign w:val="center"/>
            <w:hideMark/>
          </w:tcPr>
          <w:p w14:paraId="06FD4EBB"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41%</w:t>
            </w:r>
          </w:p>
        </w:tc>
        <w:tc>
          <w:tcPr>
            <w:tcW w:w="285" w:type="pct"/>
            <w:tcBorders>
              <w:top w:val="nil"/>
              <w:left w:val="nil"/>
              <w:bottom w:val="single" w:sz="8" w:space="0" w:color="auto"/>
              <w:right w:val="single" w:sz="8" w:space="0" w:color="auto"/>
            </w:tcBorders>
            <w:noWrap/>
            <w:vAlign w:val="center"/>
            <w:hideMark/>
          </w:tcPr>
          <w:p w14:paraId="3EC207D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4.466</w:t>
            </w:r>
          </w:p>
        </w:tc>
        <w:tc>
          <w:tcPr>
            <w:tcW w:w="287" w:type="pct"/>
            <w:tcBorders>
              <w:top w:val="nil"/>
              <w:left w:val="nil"/>
              <w:bottom w:val="single" w:sz="8" w:space="0" w:color="auto"/>
              <w:right w:val="single" w:sz="8" w:space="0" w:color="auto"/>
            </w:tcBorders>
            <w:noWrap/>
            <w:vAlign w:val="center"/>
            <w:hideMark/>
          </w:tcPr>
          <w:p w14:paraId="34B3ADE1"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41%</w:t>
            </w:r>
          </w:p>
        </w:tc>
      </w:tr>
      <w:tr w:rsidR="00FE1111" w:rsidRPr="00123CD8" w14:paraId="07716090" w14:textId="77777777" w:rsidTr="00FE1111">
        <w:trPr>
          <w:trHeight w:val="296"/>
        </w:trPr>
        <w:tc>
          <w:tcPr>
            <w:tcW w:w="1989" w:type="pct"/>
            <w:tcBorders>
              <w:top w:val="nil"/>
              <w:left w:val="single" w:sz="8" w:space="0" w:color="auto"/>
              <w:bottom w:val="single" w:sz="8" w:space="0" w:color="auto"/>
              <w:right w:val="single" w:sz="8" w:space="0" w:color="auto"/>
            </w:tcBorders>
            <w:vAlign w:val="center"/>
            <w:hideMark/>
          </w:tcPr>
          <w:p w14:paraId="7E70EC2B" w14:textId="77777777" w:rsidR="00123CD8" w:rsidRPr="00123CD8" w:rsidRDefault="00123CD8">
            <w:pPr>
              <w:rPr>
                <w:rFonts w:ascii="Arial" w:hAnsi="Arial" w:cs="Arial"/>
                <w:color w:val="000000"/>
                <w:sz w:val="16"/>
                <w:szCs w:val="16"/>
              </w:rPr>
            </w:pPr>
            <w:r w:rsidRPr="00123CD8">
              <w:rPr>
                <w:rFonts w:ascii="Arial" w:hAnsi="Arial" w:cs="Arial"/>
                <w:sz w:val="16"/>
                <w:szCs w:val="16"/>
              </w:rPr>
              <w:t>Mantenimiento</w:t>
            </w:r>
          </w:p>
        </w:tc>
        <w:tc>
          <w:tcPr>
            <w:tcW w:w="634" w:type="pct"/>
            <w:tcBorders>
              <w:top w:val="nil"/>
              <w:left w:val="nil"/>
              <w:bottom w:val="single" w:sz="8" w:space="0" w:color="auto"/>
              <w:right w:val="single" w:sz="8" w:space="0" w:color="auto"/>
            </w:tcBorders>
            <w:noWrap/>
            <w:vAlign w:val="center"/>
            <w:hideMark/>
          </w:tcPr>
          <w:p w14:paraId="4D212A3A"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5.452</w:t>
            </w:r>
          </w:p>
        </w:tc>
        <w:tc>
          <w:tcPr>
            <w:tcW w:w="462" w:type="pct"/>
            <w:tcBorders>
              <w:top w:val="nil"/>
              <w:left w:val="nil"/>
              <w:bottom w:val="single" w:sz="8" w:space="0" w:color="auto"/>
              <w:right w:val="single" w:sz="8" w:space="0" w:color="auto"/>
            </w:tcBorders>
            <w:noWrap/>
            <w:vAlign w:val="center"/>
            <w:hideMark/>
          </w:tcPr>
          <w:p w14:paraId="0C5DCF9C"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5.027</w:t>
            </w:r>
          </w:p>
        </w:tc>
        <w:tc>
          <w:tcPr>
            <w:tcW w:w="403" w:type="pct"/>
            <w:tcBorders>
              <w:top w:val="nil"/>
              <w:left w:val="nil"/>
              <w:bottom w:val="single" w:sz="8" w:space="0" w:color="auto"/>
              <w:right w:val="nil"/>
            </w:tcBorders>
            <w:noWrap/>
            <w:vAlign w:val="center"/>
            <w:hideMark/>
          </w:tcPr>
          <w:p w14:paraId="05F253AA"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92%</w:t>
            </w:r>
          </w:p>
        </w:tc>
        <w:tc>
          <w:tcPr>
            <w:tcW w:w="404" w:type="pct"/>
            <w:tcBorders>
              <w:top w:val="nil"/>
              <w:left w:val="single" w:sz="8" w:space="0" w:color="auto"/>
              <w:bottom w:val="single" w:sz="8" w:space="0" w:color="auto"/>
              <w:right w:val="single" w:sz="8" w:space="0" w:color="auto"/>
            </w:tcBorders>
            <w:noWrap/>
            <w:vAlign w:val="center"/>
            <w:hideMark/>
          </w:tcPr>
          <w:p w14:paraId="3C8058E1"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3.694</w:t>
            </w:r>
          </w:p>
        </w:tc>
        <w:tc>
          <w:tcPr>
            <w:tcW w:w="536" w:type="pct"/>
            <w:tcBorders>
              <w:top w:val="nil"/>
              <w:left w:val="nil"/>
              <w:bottom w:val="single" w:sz="8" w:space="0" w:color="auto"/>
              <w:right w:val="single" w:sz="8" w:space="0" w:color="auto"/>
            </w:tcBorders>
            <w:noWrap/>
            <w:vAlign w:val="center"/>
            <w:hideMark/>
          </w:tcPr>
          <w:p w14:paraId="22DE8B74"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68%</w:t>
            </w:r>
          </w:p>
        </w:tc>
        <w:tc>
          <w:tcPr>
            <w:tcW w:w="285" w:type="pct"/>
            <w:tcBorders>
              <w:top w:val="nil"/>
              <w:left w:val="nil"/>
              <w:bottom w:val="single" w:sz="8" w:space="0" w:color="auto"/>
              <w:right w:val="single" w:sz="8" w:space="0" w:color="auto"/>
            </w:tcBorders>
            <w:noWrap/>
            <w:vAlign w:val="center"/>
            <w:hideMark/>
          </w:tcPr>
          <w:p w14:paraId="4E98A134"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3.680</w:t>
            </w:r>
          </w:p>
        </w:tc>
        <w:tc>
          <w:tcPr>
            <w:tcW w:w="287" w:type="pct"/>
            <w:tcBorders>
              <w:top w:val="nil"/>
              <w:left w:val="nil"/>
              <w:bottom w:val="single" w:sz="8" w:space="0" w:color="auto"/>
              <w:right w:val="single" w:sz="8" w:space="0" w:color="auto"/>
            </w:tcBorders>
            <w:noWrap/>
            <w:vAlign w:val="center"/>
            <w:hideMark/>
          </w:tcPr>
          <w:p w14:paraId="506D2D5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67%</w:t>
            </w:r>
          </w:p>
        </w:tc>
      </w:tr>
      <w:tr w:rsidR="00FE1111" w:rsidRPr="00123CD8" w14:paraId="6089857C" w14:textId="77777777" w:rsidTr="00FE1111">
        <w:trPr>
          <w:trHeight w:val="438"/>
        </w:trPr>
        <w:tc>
          <w:tcPr>
            <w:tcW w:w="1989" w:type="pct"/>
            <w:tcBorders>
              <w:top w:val="nil"/>
              <w:left w:val="single" w:sz="8" w:space="0" w:color="auto"/>
              <w:bottom w:val="single" w:sz="8" w:space="0" w:color="auto"/>
              <w:right w:val="single" w:sz="8" w:space="0" w:color="auto"/>
            </w:tcBorders>
            <w:vAlign w:val="center"/>
            <w:hideMark/>
          </w:tcPr>
          <w:p w14:paraId="239234C1" w14:textId="77777777" w:rsidR="00123CD8" w:rsidRPr="00123CD8" w:rsidRDefault="00123CD8">
            <w:pPr>
              <w:rPr>
                <w:rFonts w:ascii="Arial" w:hAnsi="Arial" w:cs="Arial"/>
                <w:color w:val="000000"/>
                <w:sz w:val="16"/>
                <w:szCs w:val="16"/>
              </w:rPr>
            </w:pPr>
            <w:r w:rsidRPr="00123CD8">
              <w:rPr>
                <w:rFonts w:ascii="Arial" w:hAnsi="Arial" w:cs="Arial"/>
                <w:sz w:val="16"/>
                <w:szCs w:val="16"/>
              </w:rPr>
              <w:t>Promoción y divulgación</w:t>
            </w:r>
          </w:p>
        </w:tc>
        <w:tc>
          <w:tcPr>
            <w:tcW w:w="634" w:type="pct"/>
            <w:tcBorders>
              <w:top w:val="nil"/>
              <w:left w:val="nil"/>
              <w:bottom w:val="single" w:sz="8" w:space="0" w:color="auto"/>
              <w:right w:val="single" w:sz="8" w:space="0" w:color="auto"/>
            </w:tcBorders>
            <w:noWrap/>
            <w:vAlign w:val="center"/>
            <w:hideMark/>
          </w:tcPr>
          <w:p w14:paraId="3AFE8BA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1.499</w:t>
            </w:r>
          </w:p>
        </w:tc>
        <w:tc>
          <w:tcPr>
            <w:tcW w:w="462" w:type="pct"/>
            <w:tcBorders>
              <w:top w:val="nil"/>
              <w:left w:val="nil"/>
              <w:bottom w:val="single" w:sz="8" w:space="0" w:color="auto"/>
              <w:right w:val="single" w:sz="8" w:space="0" w:color="auto"/>
            </w:tcBorders>
            <w:noWrap/>
            <w:vAlign w:val="center"/>
            <w:hideMark/>
          </w:tcPr>
          <w:p w14:paraId="52417B8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403" w:type="pct"/>
            <w:tcBorders>
              <w:top w:val="nil"/>
              <w:left w:val="nil"/>
              <w:bottom w:val="single" w:sz="8" w:space="0" w:color="auto"/>
              <w:right w:val="nil"/>
            </w:tcBorders>
            <w:noWrap/>
            <w:vAlign w:val="center"/>
            <w:hideMark/>
          </w:tcPr>
          <w:p w14:paraId="352E05A0"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404" w:type="pct"/>
            <w:tcBorders>
              <w:top w:val="nil"/>
              <w:left w:val="single" w:sz="8" w:space="0" w:color="auto"/>
              <w:bottom w:val="single" w:sz="8" w:space="0" w:color="auto"/>
              <w:right w:val="single" w:sz="8" w:space="0" w:color="auto"/>
            </w:tcBorders>
            <w:noWrap/>
            <w:vAlign w:val="center"/>
            <w:hideMark/>
          </w:tcPr>
          <w:p w14:paraId="419A9B73"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536" w:type="pct"/>
            <w:tcBorders>
              <w:top w:val="nil"/>
              <w:left w:val="nil"/>
              <w:bottom w:val="single" w:sz="8" w:space="0" w:color="auto"/>
              <w:right w:val="single" w:sz="8" w:space="0" w:color="auto"/>
            </w:tcBorders>
            <w:noWrap/>
            <w:vAlign w:val="center"/>
            <w:hideMark/>
          </w:tcPr>
          <w:p w14:paraId="634A59D3"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285" w:type="pct"/>
            <w:tcBorders>
              <w:top w:val="nil"/>
              <w:left w:val="nil"/>
              <w:bottom w:val="single" w:sz="8" w:space="0" w:color="auto"/>
              <w:right w:val="single" w:sz="8" w:space="0" w:color="auto"/>
            </w:tcBorders>
            <w:noWrap/>
            <w:vAlign w:val="center"/>
            <w:hideMark/>
          </w:tcPr>
          <w:p w14:paraId="3664E5B2"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287" w:type="pct"/>
            <w:tcBorders>
              <w:top w:val="nil"/>
              <w:left w:val="nil"/>
              <w:bottom w:val="single" w:sz="8" w:space="0" w:color="auto"/>
              <w:right w:val="single" w:sz="8" w:space="0" w:color="auto"/>
            </w:tcBorders>
            <w:noWrap/>
            <w:vAlign w:val="center"/>
            <w:hideMark/>
          </w:tcPr>
          <w:p w14:paraId="57CCA2AC"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r>
      <w:tr w:rsidR="00FE1111" w:rsidRPr="00123CD8" w14:paraId="4B9F5A0A" w14:textId="77777777" w:rsidTr="00FE1111">
        <w:trPr>
          <w:trHeight w:val="438"/>
        </w:trPr>
        <w:tc>
          <w:tcPr>
            <w:tcW w:w="1989" w:type="pct"/>
            <w:tcBorders>
              <w:top w:val="nil"/>
              <w:left w:val="single" w:sz="8" w:space="0" w:color="auto"/>
              <w:bottom w:val="single" w:sz="8" w:space="0" w:color="auto"/>
              <w:right w:val="single" w:sz="8" w:space="0" w:color="auto"/>
            </w:tcBorders>
            <w:vAlign w:val="center"/>
            <w:hideMark/>
          </w:tcPr>
          <w:p w14:paraId="16D2E08F" w14:textId="77777777" w:rsidR="00123CD8" w:rsidRPr="00123CD8" w:rsidRDefault="00123CD8">
            <w:pPr>
              <w:rPr>
                <w:rFonts w:ascii="Arial" w:hAnsi="Arial" w:cs="Arial"/>
                <w:color w:val="000000"/>
                <w:sz w:val="16"/>
                <w:szCs w:val="16"/>
              </w:rPr>
            </w:pPr>
            <w:r w:rsidRPr="00123CD8">
              <w:rPr>
                <w:rFonts w:ascii="Arial" w:hAnsi="Arial" w:cs="Arial"/>
                <w:sz w:val="16"/>
                <w:szCs w:val="16"/>
              </w:rPr>
              <w:t>Viáticos y Gastos de Viaje</w:t>
            </w:r>
          </w:p>
        </w:tc>
        <w:tc>
          <w:tcPr>
            <w:tcW w:w="634" w:type="pct"/>
            <w:tcBorders>
              <w:top w:val="nil"/>
              <w:left w:val="nil"/>
              <w:bottom w:val="single" w:sz="8" w:space="0" w:color="auto"/>
              <w:right w:val="single" w:sz="8" w:space="0" w:color="auto"/>
            </w:tcBorders>
            <w:noWrap/>
            <w:vAlign w:val="center"/>
            <w:hideMark/>
          </w:tcPr>
          <w:p w14:paraId="32FD80C0"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1.147</w:t>
            </w:r>
          </w:p>
        </w:tc>
        <w:tc>
          <w:tcPr>
            <w:tcW w:w="462" w:type="pct"/>
            <w:tcBorders>
              <w:top w:val="nil"/>
              <w:left w:val="nil"/>
              <w:bottom w:val="single" w:sz="8" w:space="0" w:color="auto"/>
              <w:right w:val="single" w:sz="8" w:space="0" w:color="auto"/>
            </w:tcBorders>
            <w:noWrap/>
            <w:vAlign w:val="center"/>
            <w:hideMark/>
          </w:tcPr>
          <w:p w14:paraId="4241256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369</w:t>
            </w:r>
          </w:p>
        </w:tc>
        <w:tc>
          <w:tcPr>
            <w:tcW w:w="403" w:type="pct"/>
            <w:tcBorders>
              <w:top w:val="nil"/>
              <w:left w:val="nil"/>
              <w:bottom w:val="single" w:sz="8" w:space="0" w:color="auto"/>
              <w:right w:val="nil"/>
            </w:tcBorders>
            <w:noWrap/>
            <w:vAlign w:val="center"/>
            <w:hideMark/>
          </w:tcPr>
          <w:p w14:paraId="5845EB70"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32%</w:t>
            </w:r>
          </w:p>
        </w:tc>
        <w:tc>
          <w:tcPr>
            <w:tcW w:w="404" w:type="pct"/>
            <w:tcBorders>
              <w:top w:val="nil"/>
              <w:left w:val="single" w:sz="8" w:space="0" w:color="auto"/>
              <w:bottom w:val="single" w:sz="8" w:space="0" w:color="auto"/>
              <w:right w:val="single" w:sz="8" w:space="0" w:color="auto"/>
            </w:tcBorders>
            <w:noWrap/>
            <w:vAlign w:val="center"/>
            <w:hideMark/>
          </w:tcPr>
          <w:p w14:paraId="0D6618E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252</w:t>
            </w:r>
          </w:p>
        </w:tc>
        <w:tc>
          <w:tcPr>
            <w:tcW w:w="536" w:type="pct"/>
            <w:tcBorders>
              <w:top w:val="nil"/>
              <w:left w:val="nil"/>
              <w:bottom w:val="single" w:sz="8" w:space="0" w:color="auto"/>
              <w:right w:val="single" w:sz="8" w:space="0" w:color="auto"/>
            </w:tcBorders>
            <w:noWrap/>
            <w:vAlign w:val="center"/>
            <w:hideMark/>
          </w:tcPr>
          <w:p w14:paraId="20D6415E"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22%</w:t>
            </w:r>
          </w:p>
        </w:tc>
        <w:tc>
          <w:tcPr>
            <w:tcW w:w="285" w:type="pct"/>
            <w:tcBorders>
              <w:top w:val="nil"/>
              <w:left w:val="nil"/>
              <w:bottom w:val="single" w:sz="8" w:space="0" w:color="auto"/>
              <w:right w:val="single" w:sz="8" w:space="0" w:color="auto"/>
            </w:tcBorders>
            <w:noWrap/>
            <w:vAlign w:val="center"/>
            <w:hideMark/>
          </w:tcPr>
          <w:p w14:paraId="569678C1"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251</w:t>
            </w:r>
          </w:p>
        </w:tc>
        <w:tc>
          <w:tcPr>
            <w:tcW w:w="287" w:type="pct"/>
            <w:tcBorders>
              <w:top w:val="nil"/>
              <w:left w:val="nil"/>
              <w:bottom w:val="single" w:sz="8" w:space="0" w:color="auto"/>
              <w:right w:val="single" w:sz="8" w:space="0" w:color="auto"/>
            </w:tcBorders>
            <w:noWrap/>
            <w:vAlign w:val="center"/>
            <w:hideMark/>
          </w:tcPr>
          <w:p w14:paraId="65A37A7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22%</w:t>
            </w:r>
          </w:p>
        </w:tc>
      </w:tr>
      <w:tr w:rsidR="00FE1111" w:rsidRPr="00123CD8" w14:paraId="2B1EE742" w14:textId="77777777" w:rsidTr="00FE1111">
        <w:trPr>
          <w:trHeight w:val="296"/>
        </w:trPr>
        <w:tc>
          <w:tcPr>
            <w:tcW w:w="1989" w:type="pct"/>
            <w:tcBorders>
              <w:top w:val="nil"/>
              <w:left w:val="single" w:sz="8" w:space="0" w:color="auto"/>
              <w:bottom w:val="single" w:sz="8" w:space="0" w:color="auto"/>
              <w:right w:val="single" w:sz="8" w:space="0" w:color="auto"/>
            </w:tcBorders>
            <w:noWrap/>
            <w:vAlign w:val="center"/>
            <w:hideMark/>
          </w:tcPr>
          <w:p w14:paraId="3B4E0DCC" w14:textId="77777777" w:rsidR="00123CD8" w:rsidRPr="00123CD8" w:rsidRDefault="00123CD8">
            <w:pPr>
              <w:rPr>
                <w:rFonts w:ascii="Arial" w:hAnsi="Arial" w:cs="Arial"/>
                <w:color w:val="000000"/>
                <w:sz w:val="16"/>
                <w:szCs w:val="16"/>
              </w:rPr>
            </w:pPr>
            <w:r w:rsidRPr="00123CD8">
              <w:rPr>
                <w:rFonts w:ascii="Arial" w:hAnsi="Arial" w:cs="Arial"/>
                <w:sz w:val="16"/>
                <w:szCs w:val="16"/>
              </w:rPr>
              <w:t>Administradoras privadas de aportes para accidentes de trabajo y enfermedades profesionales</w:t>
            </w:r>
          </w:p>
        </w:tc>
        <w:tc>
          <w:tcPr>
            <w:tcW w:w="634" w:type="pct"/>
            <w:tcBorders>
              <w:top w:val="nil"/>
              <w:left w:val="nil"/>
              <w:bottom w:val="single" w:sz="8" w:space="0" w:color="auto"/>
              <w:right w:val="single" w:sz="8" w:space="0" w:color="auto"/>
            </w:tcBorders>
            <w:noWrap/>
            <w:vAlign w:val="center"/>
            <w:hideMark/>
          </w:tcPr>
          <w:p w14:paraId="3C740E9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65</w:t>
            </w:r>
          </w:p>
        </w:tc>
        <w:tc>
          <w:tcPr>
            <w:tcW w:w="462" w:type="pct"/>
            <w:tcBorders>
              <w:top w:val="nil"/>
              <w:left w:val="nil"/>
              <w:bottom w:val="single" w:sz="8" w:space="0" w:color="auto"/>
              <w:right w:val="single" w:sz="8" w:space="0" w:color="auto"/>
            </w:tcBorders>
            <w:noWrap/>
            <w:vAlign w:val="center"/>
            <w:hideMark/>
          </w:tcPr>
          <w:p w14:paraId="4B61B67D"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403" w:type="pct"/>
            <w:tcBorders>
              <w:top w:val="nil"/>
              <w:left w:val="nil"/>
              <w:bottom w:val="single" w:sz="8" w:space="0" w:color="auto"/>
              <w:right w:val="nil"/>
            </w:tcBorders>
            <w:noWrap/>
            <w:vAlign w:val="center"/>
            <w:hideMark/>
          </w:tcPr>
          <w:p w14:paraId="7EA2B33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404" w:type="pct"/>
            <w:tcBorders>
              <w:top w:val="nil"/>
              <w:left w:val="single" w:sz="8" w:space="0" w:color="auto"/>
              <w:bottom w:val="single" w:sz="8" w:space="0" w:color="auto"/>
              <w:right w:val="single" w:sz="8" w:space="0" w:color="auto"/>
            </w:tcBorders>
            <w:noWrap/>
            <w:vAlign w:val="center"/>
            <w:hideMark/>
          </w:tcPr>
          <w:p w14:paraId="42C36FEC"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536" w:type="pct"/>
            <w:tcBorders>
              <w:top w:val="nil"/>
              <w:left w:val="nil"/>
              <w:bottom w:val="single" w:sz="8" w:space="0" w:color="auto"/>
              <w:right w:val="single" w:sz="8" w:space="0" w:color="auto"/>
            </w:tcBorders>
            <w:noWrap/>
            <w:vAlign w:val="center"/>
            <w:hideMark/>
          </w:tcPr>
          <w:p w14:paraId="5EA98A1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285" w:type="pct"/>
            <w:tcBorders>
              <w:top w:val="nil"/>
              <w:left w:val="nil"/>
              <w:bottom w:val="single" w:sz="8" w:space="0" w:color="auto"/>
              <w:right w:val="single" w:sz="8" w:space="0" w:color="auto"/>
            </w:tcBorders>
            <w:noWrap/>
            <w:vAlign w:val="center"/>
            <w:hideMark/>
          </w:tcPr>
          <w:p w14:paraId="2924BBDA"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c>
          <w:tcPr>
            <w:tcW w:w="287" w:type="pct"/>
            <w:tcBorders>
              <w:top w:val="nil"/>
              <w:left w:val="nil"/>
              <w:bottom w:val="single" w:sz="8" w:space="0" w:color="auto"/>
              <w:right w:val="single" w:sz="8" w:space="0" w:color="auto"/>
            </w:tcBorders>
            <w:noWrap/>
            <w:vAlign w:val="center"/>
            <w:hideMark/>
          </w:tcPr>
          <w:p w14:paraId="014765F4"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0%</w:t>
            </w:r>
          </w:p>
        </w:tc>
      </w:tr>
      <w:tr w:rsidR="00FE1111" w:rsidRPr="00123CD8" w14:paraId="4029A026" w14:textId="77777777" w:rsidTr="00FE1111">
        <w:trPr>
          <w:trHeight w:val="296"/>
        </w:trPr>
        <w:tc>
          <w:tcPr>
            <w:tcW w:w="1989" w:type="pct"/>
            <w:tcBorders>
              <w:top w:val="nil"/>
              <w:left w:val="single" w:sz="8" w:space="0" w:color="auto"/>
              <w:bottom w:val="single" w:sz="8" w:space="0" w:color="auto"/>
              <w:right w:val="single" w:sz="8" w:space="0" w:color="auto"/>
            </w:tcBorders>
            <w:noWrap/>
            <w:vAlign w:val="center"/>
            <w:hideMark/>
          </w:tcPr>
          <w:p w14:paraId="5B9A897F" w14:textId="77777777" w:rsidR="00123CD8" w:rsidRPr="00123CD8" w:rsidRDefault="00123CD8">
            <w:pPr>
              <w:rPr>
                <w:rFonts w:ascii="Arial" w:hAnsi="Arial" w:cs="Arial"/>
                <w:color w:val="000000"/>
                <w:sz w:val="16"/>
                <w:szCs w:val="16"/>
              </w:rPr>
            </w:pPr>
            <w:r w:rsidRPr="00123CD8">
              <w:rPr>
                <w:rFonts w:ascii="Arial" w:hAnsi="Arial" w:cs="Arial"/>
                <w:sz w:val="16"/>
                <w:szCs w:val="16"/>
              </w:rPr>
              <w:t>Administradoras públicas de aportes para accidentes de trabajo y enfermedades profesionales</w:t>
            </w:r>
          </w:p>
        </w:tc>
        <w:tc>
          <w:tcPr>
            <w:tcW w:w="634" w:type="pct"/>
            <w:tcBorders>
              <w:top w:val="nil"/>
              <w:left w:val="nil"/>
              <w:bottom w:val="single" w:sz="8" w:space="0" w:color="auto"/>
              <w:right w:val="single" w:sz="8" w:space="0" w:color="auto"/>
            </w:tcBorders>
            <w:noWrap/>
            <w:vAlign w:val="center"/>
            <w:hideMark/>
          </w:tcPr>
          <w:p w14:paraId="5299AD2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150</w:t>
            </w:r>
          </w:p>
        </w:tc>
        <w:tc>
          <w:tcPr>
            <w:tcW w:w="462" w:type="pct"/>
            <w:tcBorders>
              <w:top w:val="nil"/>
              <w:left w:val="nil"/>
              <w:bottom w:val="single" w:sz="8" w:space="0" w:color="auto"/>
              <w:right w:val="single" w:sz="8" w:space="0" w:color="auto"/>
            </w:tcBorders>
            <w:noWrap/>
            <w:vAlign w:val="center"/>
            <w:hideMark/>
          </w:tcPr>
          <w:p w14:paraId="6C94BBDC"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76</w:t>
            </w:r>
          </w:p>
        </w:tc>
        <w:tc>
          <w:tcPr>
            <w:tcW w:w="403" w:type="pct"/>
            <w:tcBorders>
              <w:top w:val="nil"/>
              <w:left w:val="nil"/>
              <w:bottom w:val="single" w:sz="8" w:space="0" w:color="auto"/>
              <w:right w:val="nil"/>
            </w:tcBorders>
            <w:noWrap/>
            <w:vAlign w:val="center"/>
            <w:hideMark/>
          </w:tcPr>
          <w:p w14:paraId="20F7C915"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51%</w:t>
            </w:r>
          </w:p>
        </w:tc>
        <w:tc>
          <w:tcPr>
            <w:tcW w:w="404" w:type="pct"/>
            <w:tcBorders>
              <w:top w:val="nil"/>
              <w:left w:val="single" w:sz="8" w:space="0" w:color="auto"/>
              <w:bottom w:val="single" w:sz="8" w:space="0" w:color="auto"/>
              <w:right w:val="single" w:sz="8" w:space="0" w:color="auto"/>
            </w:tcBorders>
            <w:noWrap/>
            <w:vAlign w:val="center"/>
            <w:hideMark/>
          </w:tcPr>
          <w:p w14:paraId="5CE9DC2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76</w:t>
            </w:r>
          </w:p>
        </w:tc>
        <w:tc>
          <w:tcPr>
            <w:tcW w:w="536" w:type="pct"/>
            <w:tcBorders>
              <w:top w:val="nil"/>
              <w:left w:val="nil"/>
              <w:bottom w:val="single" w:sz="8" w:space="0" w:color="auto"/>
              <w:right w:val="single" w:sz="8" w:space="0" w:color="auto"/>
            </w:tcBorders>
            <w:noWrap/>
            <w:vAlign w:val="center"/>
            <w:hideMark/>
          </w:tcPr>
          <w:p w14:paraId="12AFC6D9"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51%</w:t>
            </w:r>
          </w:p>
        </w:tc>
        <w:tc>
          <w:tcPr>
            <w:tcW w:w="285" w:type="pct"/>
            <w:tcBorders>
              <w:top w:val="nil"/>
              <w:left w:val="nil"/>
              <w:bottom w:val="single" w:sz="8" w:space="0" w:color="auto"/>
              <w:right w:val="single" w:sz="8" w:space="0" w:color="auto"/>
            </w:tcBorders>
            <w:noWrap/>
            <w:vAlign w:val="center"/>
            <w:hideMark/>
          </w:tcPr>
          <w:p w14:paraId="7C6C1DEA"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76</w:t>
            </w:r>
          </w:p>
        </w:tc>
        <w:tc>
          <w:tcPr>
            <w:tcW w:w="287" w:type="pct"/>
            <w:tcBorders>
              <w:top w:val="nil"/>
              <w:left w:val="nil"/>
              <w:bottom w:val="single" w:sz="8" w:space="0" w:color="auto"/>
              <w:right w:val="single" w:sz="8" w:space="0" w:color="auto"/>
            </w:tcBorders>
            <w:noWrap/>
            <w:vAlign w:val="center"/>
            <w:hideMark/>
          </w:tcPr>
          <w:p w14:paraId="5AC484DB"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51%</w:t>
            </w:r>
          </w:p>
        </w:tc>
      </w:tr>
      <w:tr w:rsidR="00FE1111" w:rsidRPr="00123CD8" w14:paraId="3B8DB64F" w14:textId="77777777" w:rsidTr="00FE1111">
        <w:trPr>
          <w:trHeight w:val="296"/>
        </w:trPr>
        <w:tc>
          <w:tcPr>
            <w:tcW w:w="1989" w:type="pct"/>
            <w:tcBorders>
              <w:top w:val="nil"/>
              <w:left w:val="single" w:sz="8" w:space="0" w:color="auto"/>
              <w:bottom w:val="single" w:sz="8" w:space="0" w:color="auto"/>
              <w:right w:val="single" w:sz="8" w:space="0" w:color="auto"/>
            </w:tcBorders>
            <w:noWrap/>
            <w:vAlign w:val="center"/>
            <w:hideMark/>
          </w:tcPr>
          <w:p w14:paraId="17F19C70" w14:textId="77777777" w:rsidR="00123CD8" w:rsidRPr="00123CD8" w:rsidRDefault="00123CD8">
            <w:pPr>
              <w:rPr>
                <w:rFonts w:ascii="Arial" w:hAnsi="Arial" w:cs="Arial"/>
                <w:color w:val="000000"/>
                <w:sz w:val="16"/>
                <w:szCs w:val="16"/>
              </w:rPr>
            </w:pPr>
            <w:r w:rsidRPr="00123CD8">
              <w:rPr>
                <w:rFonts w:ascii="Arial" w:hAnsi="Arial" w:cs="Arial"/>
                <w:sz w:val="16"/>
                <w:szCs w:val="16"/>
              </w:rPr>
              <w:t>Remuneración Servicios Técnicos</w:t>
            </w:r>
          </w:p>
        </w:tc>
        <w:tc>
          <w:tcPr>
            <w:tcW w:w="634" w:type="pct"/>
            <w:tcBorders>
              <w:top w:val="nil"/>
              <w:left w:val="nil"/>
              <w:bottom w:val="single" w:sz="8" w:space="0" w:color="auto"/>
              <w:right w:val="single" w:sz="8" w:space="0" w:color="auto"/>
            </w:tcBorders>
            <w:noWrap/>
            <w:vAlign w:val="center"/>
            <w:hideMark/>
          </w:tcPr>
          <w:p w14:paraId="2B0B24DE"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1.244</w:t>
            </w:r>
          </w:p>
        </w:tc>
        <w:tc>
          <w:tcPr>
            <w:tcW w:w="462" w:type="pct"/>
            <w:tcBorders>
              <w:top w:val="nil"/>
              <w:left w:val="nil"/>
              <w:bottom w:val="single" w:sz="8" w:space="0" w:color="auto"/>
              <w:right w:val="single" w:sz="8" w:space="0" w:color="auto"/>
            </w:tcBorders>
            <w:noWrap/>
            <w:vAlign w:val="center"/>
            <w:hideMark/>
          </w:tcPr>
          <w:p w14:paraId="65922A9E"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1.212</w:t>
            </w:r>
          </w:p>
        </w:tc>
        <w:tc>
          <w:tcPr>
            <w:tcW w:w="403" w:type="pct"/>
            <w:tcBorders>
              <w:top w:val="nil"/>
              <w:left w:val="nil"/>
              <w:bottom w:val="single" w:sz="8" w:space="0" w:color="auto"/>
              <w:right w:val="nil"/>
            </w:tcBorders>
            <w:noWrap/>
            <w:vAlign w:val="center"/>
            <w:hideMark/>
          </w:tcPr>
          <w:p w14:paraId="3379E4AA"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97%</w:t>
            </w:r>
          </w:p>
        </w:tc>
        <w:tc>
          <w:tcPr>
            <w:tcW w:w="404" w:type="pct"/>
            <w:tcBorders>
              <w:top w:val="nil"/>
              <w:left w:val="single" w:sz="8" w:space="0" w:color="auto"/>
              <w:bottom w:val="single" w:sz="8" w:space="0" w:color="auto"/>
              <w:right w:val="single" w:sz="8" w:space="0" w:color="auto"/>
            </w:tcBorders>
            <w:noWrap/>
            <w:vAlign w:val="center"/>
            <w:hideMark/>
          </w:tcPr>
          <w:p w14:paraId="66460B7F"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454</w:t>
            </w:r>
          </w:p>
        </w:tc>
        <w:tc>
          <w:tcPr>
            <w:tcW w:w="536" w:type="pct"/>
            <w:tcBorders>
              <w:top w:val="nil"/>
              <w:left w:val="nil"/>
              <w:bottom w:val="single" w:sz="8" w:space="0" w:color="auto"/>
              <w:right w:val="single" w:sz="8" w:space="0" w:color="auto"/>
            </w:tcBorders>
            <w:noWrap/>
            <w:vAlign w:val="center"/>
            <w:hideMark/>
          </w:tcPr>
          <w:p w14:paraId="2833FAC1"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36%</w:t>
            </w:r>
          </w:p>
        </w:tc>
        <w:tc>
          <w:tcPr>
            <w:tcW w:w="285" w:type="pct"/>
            <w:tcBorders>
              <w:top w:val="nil"/>
              <w:left w:val="nil"/>
              <w:bottom w:val="single" w:sz="8" w:space="0" w:color="auto"/>
              <w:right w:val="single" w:sz="8" w:space="0" w:color="auto"/>
            </w:tcBorders>
            <w:noWrap/>
            <w:vAlign w:val="center"/>
            <w:hideMark/>
          </w:tcPr>
          <w:p w14:paraId="6D277C00"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454</w:t>
            </w:r>
          </w:p>
        </w:tc>
        <w:tc>
          <w:tcPr>
            <w:tcW w:w="287" w:type="pct"/>
            <w:tcBorders>
              <w:top w:val="nil"/>
              <w:left w:val="nil"/>
              <w:bottom w:val="single" w:sz="8" w:space="0" w:color="auto"/>
              <w:right w:val="single" w:sz="8" w:space="0" w:color="auto"/>
            </w:tcBorders>
            <w:noWrap/>
            <w:vAlign w:val="center"/>
            <w:hideMark/>
          </w:tcPr>
          <w:p w14:paraId="1ECD0D8E"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36%</w:t>
            </w:r>
          </w:p>
        </w:tc>
      </w:tr>
      <w:tr w:rsidR="00FE1111" w:rsidRPr="00123CD8" w14:paraId="5FF120A4" w14:textId="77777777" w:rsidTr="00FE1111">
        <w:trPr>
          <w:trHeight w:val="296"/>
        </w:trPr>
        <w:tc>
          <w:tcPr>
            <w:tcW w:w="1989" w:type="pct"/>
            <w:tcBorders>
              <w:top w:val="nil"/>
              <w:left w:val="single" w:sz="8" w:space="0" w:color="auto"/>
              <w:bottom w:val="single" w:sz="8" w:space="0" w:color="auto"/>
              <w:right w:val="single" w:sz="8" w:space="0" w:color="auto"/>
            </w:tcBorders>
            <w:shd w:val="clear" w:color="auto" w:fill="4F81BD" w:themeFill="accent1"/>
            <w:noWrap/>
            <w:vAlign w:val="center"/>
            <w:hideMark/>
          </w:tcPr>
          <w:p w14:paraId="4697D79B" w14:textId="77777777" w:rsidR="00123CD8" w:rsidRPr="00123CD8" w:rsidRDefault="00123CD8">
            <w:pPr>
              <w:rPr>
                <w:rFonts w:ascii="Arial" w:hAnsi="Arial" w:cs="Arial"/>
                <w:b/>
                <w:bCs/>
                <w:color w:val="000000"/>
                <w:sz w:val="16"/>
                <w:szCs w:val="16"/>
              </w:rPr>
            </w:pPr>
            <w:r w:rsidRPr="00123CD8">
              <w:rPr>
                <w:rFonts w:ascii="Arial" w:hAnsi="Arial" w:cs="Arial"/>
                <w:b/>
                <w:bCs/>
                <w:sz w:val="16"/>
                <w:szCs w:val="16"/>
              </w:rPr>
              <w:t>TOTAL</w:t>
            </w:r>
          </w:p>
        </w:tc>
        <w:tc>
          <w:tcPr>
            <w:tcW w:w="634" w:type="pct"/>
            <w:tcBorders>
              <w:top w:val="nil"/>
              <w:left w:val="nil"/>
              <w:bottom w:val="single" w:sz="8" w:space="0" w:color="auto"/>
              <w:right w:val="single" w:sz="8" w:space="0" w:color="auto"/>
            </w:tcBorders>
            <w:shd w:val="clear" w:color="auto" w:fill="4F81BD" w:themeFill="accent1"/>
            <w:noWrap/>
            <w:vAlign w:val="center"/>
            <w:hideMark/>
          </w:tcPr>
          <w:p w14:paraId="4A372628"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57.728</w:t>
            </w:r>
          </w:p>
        </w:tc>
        <w:tc>
          <w:tcPr>
            <w:tcW w:w="462" w:type="pct"/>
            <w:tcBorders>
              <w:top w:val="nil"/>
              <w:left w:val="nil"/>
              <w:bottom w:val="single" w:sz="8" w:space="0" w:color="auto"/>
              <w:right w:val="single" w:sz="8" w:space="0" w:color="auto"/>
            </w:tcBorders>
            <w:shd w:val="clear" w:color="auto" w:fill="4F81BD" w:themeFill="accent1"/>
            <w:noWrap/>
            <w:vAlign w:val="center"/>
            <w:hideMark/>
          </w:tcPr>
          <w:p w14:paraId="40BFA5FF"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47.116</w:t>
            </w:r>
          </w:p>
        </w:tc>
        <w:tc>
          <w:tcPr>
            <w:tcW w:w="403" w:type="pct"/>
            <w:tcBorders>
              <w:top w:val="nil"/>
              <w:left w:val="nil"/>
              <w:bottom w:val="single" w:sz="8" w:space="0" w:color="auto"/>
              <w:right w:val="single" w:sz="8" w:space="0" w:color="auto"/>
            </w:tcBorders>
            <w:shd w:val="clear" w:color="auto" w:fill="4F81BD" w:themeFill="accent1"/>
            <w:noWrap/>
            <w:vAlign w:val="center"/>
            <w:hideMark/>
          </w:tcPr>
          <w:p w14:paraId="134FFCD5"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82%</w:t>
            </w:r>
          </w:p>
        </w:tc>
        <w:tc>
          <w:tcPr>
            <w:tcW w:w="404" w:type="pct"/>
            <w:tcBorders>
              <w:top w:val="nil"/>
              <w:left w:val="nil"/>
              <w:bottom w:val="single" w:sz="8" w:space="0" w:color="auto"/>
              <w:right w:val="single" w:sz="8" w:space="0" w:color="auto"/>
            </w:tcBorders>
            <w:shd w:val="clear" w:color="auto" w:fill="4F81BD" w:themeFill="accent1"/>
            <w:noWrap/>
            <w:vAlign w:val="center"/>
            <w:hideMark/>
          </w:tcPr>
          <w:p w14:paraId="7EA33F02"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21.335</w:t>
            </w:r>
          </w:p>
        </w:tc>
        <w:tc>
          <w:tcPr>
            <w:tcW w:w="536" w:type="pct"/>
            <w:tcBorders>
              <w:top w:val="nil"/>
              <w:left w:val="nil"/>
              <w:bottom w:val="single" w:sz="8" w:space="0" w:color="auto"/>
              <w:right w:val="single" w:sz="8" w:space="0" w:color="auto"/>
            </w:tcBorders>
            <w:shd w:val="clear" w:color="auto" w:fill="4F81BD" w:themeFill="accent1"/>
            <w:noWrap/>
            <w:vAlign w:val="center"/>
            <w:hideMark/>
          </w:tcPr>
          <w:p w14:paraId="57B52271"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37%</w:t>
            </w:r>
          </w:p>
        </w:tc>
        <w:tc>
          <w:tcPr>
            <w:tcW w:w="285" w:type="pct"/>
            <w:tcBorders>
              <w:top w:val="nil"/>
              <w:left w:val="nil"/>
              <w:bottom w:val="single" w:sz="8" w:space="0" w:color="auto"/>
              <w:right w:val="single" w:sz="8" w:space="0" w:color="auto"/>
            </w:tcBorders>
            <w:shd w:val="clear" w:color="auto" w:fill="4F81BD" w:themeFill="accent1"/>
            <w:noWrap/>
            <w:vAlign w:val="center"/>
            <w:hideMark/>
          </w:tcPr>
          <w:p w14:paraId="5AF7267C"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21.277</w:t>
            </w:r>
          </w:p>
        </w:tc>
        <w:tc>
          <w:tcPr>
            <w:tcW w:w="287" w:type="pct"/>
            <w:tcBorders>
              <w:top w:val="nil"/>
              <w:left w:val="nil"/>
              <w:bottom w:val="single" w:sz="8" w:space="0" w:color="auto"/>
              <w:right w:val="single" w:sz="8" w:space="0" w:color="auto"/>
            </w:tcBorders>
            <w:shd w:val="clear" w:color="auto" w:fill="4F81BD" w:themeFill="accent1"/>
            <w:noWrap/>
            <w:vAlign w:val="center"/>
            <w:hideMark/>
          </w:tcPr>
          <w:p w14:paraId="568C504B"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37%</w:t>
            </w:r>
          </w:p>
        </w:tc>
      </w:tr>
    </w:tbl>
    <w:p w14:paraId="5BB569B5" w14:textId="407E13C9"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59A53405"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31C999E8" w14:textId="77777777" w:rsidR="00C02282" w:rsidRPr="00123CD8" w:rsidRDefault="00C02282" w:rsidP="00C02282">
      <w:pPr>
        <w:rPr>
          <w:rFonts w:ascii="Arial" w:hAnsi="Arial" w:cs="Arial"/>
          <w:b/>
        </w:rPr>
      </w:pPr>
      <w:r w:rsidRPr="00123CD8">
        <w:rPr>
          <w:rFonts w:ascii="Arial" w:hAnsi="Arial" w:cs="Arial"/>
          <w:b/>
        </w:rPr>
        <w:lastRenderedPageBreak/>
        <w:t>Tecnologías de La Información -</w:t>
      </w:r>
      <w:r w:rsidRPr="00123CD8">
        <w:rPr>
          <w:rFonts w:ascii="Arial" w:hAnsi="Arial" w:cs="Arial"/>
          <w:b/>
          <w:bCs/>
          <w:lang w:val="es-MX" w:eastAsia="es-ES"/>
        </w:rPr>
        <w:t xml:space="preserve"> Vicepresidencia Administrativa y Financiera:</w:t>
      </w:r>
    </w:p>
    <w:p w14:paraId="1CD72E90" w14:textId="09DA2D76" w:rsidR="00C02282" w:rsidRDefault="00123CD8" w:rsidP="00123CD8">
      <w:pPr>
        <w:jc w:val="both"/>
        <w:rPr>
          <w:rFonts w:ascii="Arial" w:hAnsi="Arial" w:cs="Arial"/>
        </w:rPr>
      </w:pPr>
      <w:bookmarkStart w:id="140" w:name="_Hlk511839776"/>
      <w:r w:rsidRPr="00123CD8">
        <w:rPr>
          <w:rFonts w:ascii="Arial" w:hAnsi="Arial" w:cs="Arial"/>
          <w:lang w:val="es-ES" w:eastAsia="es-ES"/>
        </w:rPr>
        <w:t xml:space="preserve">En el marco de la ejecución del Plan Estratégico de Tecnologías de la Información y su alineación con los objetivos estratégicos de la Agencia, se identificó la necesidad de contratar los servicios especializados para el Gobierno de TI y de servicios tecnológicos, relacionados con los siguientes objetos contractuales por una cuantía de $ </w:t>
      </w:r>
      <w:r w:rsidRPr="00123CD8">
        <w:rPr>
          <w:rFonts w:ascii="Arial" w:hAnsi="Arial" w:cs="Arial"/>
        </w:rPr>
        <w:t>3.587 millones</w:t>
      </w:r>
    </w:p>
    <w:p w14:paraId="0040AE50" w14:textId="77777777" w:rsidR="00FE1111" w:rsidRPr="00123CD8" w:rsidRDefault="00FE1111" w:rsidP="00123CD8">
      <w:pPr>
        <w:jc w:val="both"/>
        <w:rPr>
          <w:rFonts w:ascii="Calibri" w:hAnsi="Calibri" w:cs="Calibri"/>
          <w:b/>
        </w:rPr>
      </w:pPr>
    </w:p>
    <w:p w14:paraId="06220C54" w14:textId="35E769FF" w:rsidR="00C02282" w:rsidRPr="00123CD8" w:rsidRDefault="00C02282" w:rsidP="00C02282">
      <w:pPr>
        <w:pStyle w:val="Descripcin"/>
        <w:keepNext/>
        <w:jc w:val="center"/>
      </w:pPr>
      <w:bookmarkStart w:id="141" w:name="_Toc525652511"/>
      <w:r w:rsidRPr="00123CD8">
        <w:t xml:space="preserve">Tabla </w:t>
      </w:r>
      <w:r w:rsidRPr="00123CD8">
        <w:fldChar w:fldCharType="begin"/>
      </w:r>
      <w:r w:rsidRPr="00123CD8">
        <w:instrText xml:space="preserve"> SEQ Tabla \* ARABIC </w:instrText>
      </w:r>
      <w:r w:rsidRPr="00123CD8">
        <w:fldChar w:fldCharType="separate"/>
      </w:r>
      <w:r w:rsidR="008B4625">
        <w:rPr>
          <w:noProof/>
        </w:rPr>
        <w:t>66</w:t>
      </w:r>
      <w:r w:rsidRPr="00123CD8">
        <w:fldChar w:fldCharType="end"/>
      </w:r>
      <w:r w:rsidRPr="00123CD8">
        <w:t>Gastos de Comercialización y Producción – Oficina Tecnologías de la Información por Objetos de Contratación 3</w:t>
      </w:r>
      <w:r w:rsidR="00123CD8" w:rsidRPr="00123CD8">
        <w:t xml:space="preserve">0 de junio de </w:t>
      </w:r>
      <w:r w:rsidRPr="00123CD8">
        <w:t xml:space="preserve"> 2018 ANH</w:t>
      </w:r>
      <w:bookmarkEnd w:id="141"/>
    </w:p>
    <w:tbl>
      <w:tblPr>
        <w:tblStyle w:val="Tabladecuadrcula1clara4"/>
        <w:tblW w:w="9634" w:type="dxa"/>
        <w:tblInd w:w="0" w:type="dxa"/>
        <w:tblLook w:val="04A0" w:firstRow="1" w:lastRow="0" w:firstColumn="1" w:lastColumn="0" w:noHBand="0" w:noVBand="1"/>
      </w:tblPr>
      <w:tblGrid>
        <w:gridCol w:w="562"/>
        <w:gridCol w:w="9072"/>
      </w:tblGrid>
      <w:tr w:rsidR="00123CD8" w14:paraId="4CBCEA72" w14:textId="77777777" w:rsidTr="00123CD8">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4F81BD" w:themeFill="accent1"/>
            <w:vAlign w:val="center"/>
            <w:hideMark/>
          </w:tcPr>
          <w:p w14:paraId="5DCDF8D2" w14:textId="77777777" w:rsidR="00123CD8" w:rsidRDefault="00123CD8">
            <w:pPr>
              <w:jc w:val="center"/>
              <w:rPr>
                <w:rFonts w:ascii="Arial" w:hAnsi="Arial" w:cs="Arial"/>
                <w:sz w:val="18"/>
                <w:szCs w:val="18"/>
              </w:rPr>
            </w:pPr>
            <w:r>
              <w:rPr>
                <w:rFonts w:ascii="Arial" w:hAnsi="Arial" w:cs="Arial"/>
                <w:sz w:val="18"/>
                <w:szCs w:val="18"/>
              </w:rPr>
              <w:t>CS</w:t>
            </w:r>
          </w:p>
        </w:tc>
        <w:tc>
          <w:tcPr>
            <w:tcW w:w="9072"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4F81BD" w:themeFill="accent1"/>
            <w:vAlign w:val="center"/>
            <w:hideMark/>
          </w:tcPr>
          <w:p w14:paraId="41CF675B" w14:textId="77777777" w:rsidR="00123CD8" w:rsidRDefault="00123CD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OBJETOS CONTRACTUALES</w:t>
            </w:r>
          </w:p>
        </w:tc>
      </w:tr>
      <w:tr w:rsidR="00123CD8" w14:paraId="45BE19FD" w14:textId="77777777" w:rsidTr="00123CD8">
        <w:trPr>
          <w:trHeight w:val="561"/>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67AEFD5" w14:textId="77777777" w:rsidR="00123CD8" w:rsidRDefault="00123CD8">
            <w:pPr>
              <w:jc w:val="center"/>
              <w:rPr>
                <w:rFonts w:ascii="Arial" w:hAnsi="Arial" w:cs="Arial"/>
                <w:b w:val="0"/>
                <w:sz w:val="18"/>
                <w:szCs w:val="18"/>
              </w:rPr>
            </w:pPr>
            <w:r>
              <w:rPr>
                <w:rFonts w:ascii="Arial" w:hAnsi="Arial" w:cs="Arial"/>
                <w:b w:val="0"/>
                <w:sz w:val="18"/>
                <w:szCs w:val="18"/>
              </w:rPr>
              <w:t>1</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4F7EBE"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ANH en la asesoría especializada para la gestión de las diferentes plataformas que conforman la infraestructura tecnológica que soporta los procesos misionales, estratégicos y de apoyo de la entidad.</w:t>
            </w:r>
          </w:p>
        </w:tc>
      </w:tr>
      <w:tr w:rsidR="00123CD8" w14:paraId="41F012F5"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8F7C605" w14:textId="77777777" w:rsidR="00123CD8" w:rsidRDefault="00123CD8">
            <w:pPr>
              <w:jc w:val="center"/>
              <w:rPr>
                <w:rFonts w:ascii="Arial" w:hAnsi="Arial" w:cs="Arial"/>
                <w:b w:val="0"/>
                <w:sz w:val="18"/>
                <w:szCs w:val="18"/>
              </w:rPr>
            </w:pPr>
            <w:r>
              <w:rPr>
                <w:rFonts w:ascii="Arial" w:hAnsi="Arial" w:cs="Arial"/>
                <w:b w:val="0"/>
                <w:sz w:val="18"/>
                <w:szCs w:val="18"/>
              </w:rPr>
              <w:t>2</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746FC1"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OTI para la administración de sistemas operativos, servidores de procesamiento, almacenamiento, virtualización y recursos compartidos e información técnica especializada y comercial de la ANH.</w:t>
            </w:r>
          </w:p>
        </w:tc>
      </w:tr>
      <w:tr w:rsidR="00123CD8" w14:paraId="2C9F4825"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21424A9" w14:textId="77777777" w:rsidR="00123CD8" w:rsidRDefault="00123CD8">
            <w:pPr>
              <w:jc w:val="center"/>
              <w:rPr>
                <w:rFonts w:ascii="Arial" w:hAnsi="Arial" w:cs="Arial"/>
                <w:b w:val="0"/>
                <w:sz w:val="18"/>
                <w:szCs w:val="18"/>
              </w:rPr>
            </w:pPr>
            <w:r>
              <w:rPr>
                <w:rFonts w:ascii="Arial" w:hAnsi="Arial" w:cs="Arial"/>
                <w:b w:val="0"/>
                <w:sz w:val="18"/>
                <w:szCs w:val="18"/>
              </w:rPr>
              <w:t>3</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CF313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OTI para asesorar en la administración de las bases de datos que contienen información técnica especializada y comercial de la ANH.</w:t>
            </w:r>
          </w:p>
        </w:tc>
      </w:tr>
      <w:tr w:rsidR="00123CD8" w14:paraId="20D3ABB8"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59F8C61" w14:textId="77777777" w:rsidR="00123CD8" w:rsidRDefault="00123CD8">
            <w:pPr>
              <w:jc w:val="center"/>
              <w:rPr>
                <w:rFonts w:ascii="Arial" w:hAnsi="Arial" w:cs="Arial"/>
                <w:b w:val="0"/>
                <w:sz w:val="18"/>
                <w:szCs w:val="18"/>
              </w:rPr>
            </w:pPr>
            <w:r>
              <w:rPr>
                <w:rFonts w:ascii="Arial" w:hAnsi="Arial" w:cs="Arial"/>
                <w:b w:val="0"/>
                <w:sz w:val="18"/>
                <w:szCs w:val="18"/>
              </w:rPr>
              <w:t>4</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D95662"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OTI para la administración de las plataformas de directorio activo, correo corporativo que soportan los procesos misionales, estratégicos y de apoyo de la entidad.</w:t>
            </w:r>
          </w:p>
        </w:tc>
      </w:tr>
      <w:tr w:rsidR="00123CD8" w14:paraId="57F77DDB"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36F7B92" w14:textId="77777777" w:rsidR="00123CD8" w:rsidRDefault="00123CD8">
            <w:pPr>
              <w:jc w:val="center"/>
              <w:rPr>
                <w:rFonts w:ascii="Arial" w:hAnsi="Arial" w:cs="Arial"/>
                <w:b w:val="0"/>
                <w:sz w:val="18"/>
                <w:szCs w:val="18"/>
              </w:rPr>
            </w:pPr>
            <w:r>
              <w:rPr>
                <w:rFonts w:ascii="Arial" w:hAnsi="Arial" w:cs="Arial"/>
                <w:b w:val="0"/>
                <w:sz w:val="18"/>
                <w:szCs w:val="18"/>
              </w:rPr>
              <w:t>5</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E4860E"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OTI para la administración de las plataformas de directorio activo, correo corporativo que soportan los procesos misionales, estratégicos y de apoyo de la entidad.</w:t>
            </w:r>
          </w:p>
        </w:tc>
      </w:tr>
      <w:tr w:rsidR="00123CD8" w14:paraId="3B90E956"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A4324B" w14:textId="77777777" w:rsidR="00123CD8" w:rsidRDefault="00123CD8">
            <w:pPr>
              <w:jc w:val="center"/>
              <w:rPr>
                <w:rFonts w:ascii="Arial" w:hAnsi="Arial" w:cs="Arial"/>
                <w:b w:val="0"/>
                <w:sz w:val="18"/>
                <w:szCs w:val="18"/>
              </w:rPr>
            </w:pPr>
            <w:r>
              <w:rPr>
                <w:rFonts w:ascii="Arial" w:hAnsi="Arial" w:cs="Arial"/>
                <w:b w:val="0"/>
                <w:sz w:val="18"/>
                <w:szCs w:val="18"/>
              </w:rPr>
              <w:t>6</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2A4B20"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a la OTI en la asesoría de la administración de la seguridad de la información de la ANH que permita proteger la información técnica, especializada y comercial de la entidad.</w:t>
            </w:r>
          </w:p>
        </w:tc>
      </w:tr>
      <w:tr w:rsidR="00123CD8" w14:paraId="6AF4071A"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154527F" w14:textId="77777777" w:rsidR="00123CD8" w:rsidRDefault="00123CD8">
            <w:pPr>
              <w:jc w:val="center"/>
              <w:rPr>
                <w:rFonts w:ascii="Arial" w:hAnsi="Arial" w:cs="Arial"/>
                <w:b w:val="0"/>
                <w:sz w:val="18"/>
                <w:szCs w:val="18"/>
              </w:rPr>
            </w:pPr>
            <w:r>
              <w:rPr>
                <w:rFonts w:ascii="Arial" w:hAnsi="Arial" w:cs="Arial"/>
                <w:b w:val="0"/>
                <w:sz w:val="18"/>
                <w:szCs w:val="18"/>
              </w:rPr>
              <w:t>7</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EDAC3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OTI en la asesoría especializada para la gestión de las arquitecturas de solución de ti y de las aplicaciones que soportan los procesos misionales, estratégicos y de apoyo de la ANH.</w:t>
            </w:r>
          </w:p>
        </w:tc>
      </w:tr>
      <w:tr w:rsidR="00123CD8" w14:paraId="7CB1D1E7"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EC163D6" w14:textId="77777777" w:rsidR="00123CD8" w:rsidRDefault="00123CD8">
            <w:pPr>
              <w:jc w:val="center"/>
              <w:rPr>
                <w:rFonts w:ascii="Arial" w:hAnsi="Arial" w:cs="Arial"/>
                <w:b w:val="0"/>
                <w:sz w:val="18"/>
                <w:szCs w:val="18"/>
              </w:rPr>
            </w:pPr>
            <w:r>
              <w:rPr>
                <w:rFonts w:ascii="Arial" w:hAnsi="Arial" w:cs="Arial"/>
                <w:b w:val="0"/>
                <w:sz w:val="18"/>
                <w:szCs w:val="18"/>
              </w:rPr>
              <w:t>8</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1FD817"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ANH en la asesoría especializada para la gestión y seguimiento de contratos y el gobierno electrónico de los procesos misionales, estratégicos y de apoyo a la ANH.</w:t>
            </w:r>
          </w:p>
        </w:tc>
      </w:tr>
      <w:tr w:rsidR="00123CD8" w14:paraId="0FB3558F"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CCE8C2B" w14:textId="77777777" w:rsidR="00123CD8" w:rsidRDefault="00123CD8">
            <w:pPr>
              <w:jc w:val="center"/>
              <w:rPr>
                <w:rFonts w:ascii="Arial" w:hAnsi="Arial" w:cs="Arial"/>
                <w:b w:val="0"/>
                <w:sz w:val="18"/>
                <w:szCs w:val="18"/>
              </w:rPr>
            </w:pPr>
            <w:r>
              <w:rPr>
                <w:rFonts w:ascii="Arial" w:hAnsi="Arial" w:cs="Arial"/>
                <w:b w:val="0"/>
                <w:sz w:val="18"/>
                <w:szCs w:val="18"/>
              </w:rPr>
              <w:t>9</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E4343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ANH de asesoría especializada y apoyo a la ejecución del sistema de gestión de la seguridad de la información y el apoyo en el registro de las bases de datos de la ANH.</w:t>
            </w:r>
          </w:p>
        </w:tc>
      </w:tr>
      <w:tr w:rsidR="00123CD8" w14:paraId="110804C4"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DE5F7EF" w14:textId="77777777" w:rsidR="00123CD8" w:rsidRDefault="00123CD8">
            <w:pPr>
              <w:jc w:val="center"/>
              <w:rPr>
                <w:rFonts w:ascii="Arial" w:hAnsi="Arial" w:cs="Arial"/>
                <w:b w:val="0"/>
                <w:sz w:val="18"/>
                <w:szCs w:val="18"/>
              </w:rPr>
            </w:pPr>
            <w:r>
              <w:rPr>
                <w:rFonts w:ascii="Arial" w:hAnsi="Arial" w:cs="Arial"/>
                <w:b w:val="0"/>
                <w:sz w:val="18"/>
                <w:szCs w:val="18"/>
              </w:rPr>
              <w:t>10</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657360"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ANH en la asesoría especializada para la gestión en la estructuración, desarrollo e implementación de proyectos tic en la OTI que apoyan los procesos misionales, estratégicos y de apoyo de la entidad.</w:t>
            </w:r>
          </w:p>
        </w:tc>
      </w:tr>
      <w:tr w:rsidR="00123CD8" w14:paraId="403DA917"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BAB9357" w14:textId="77777777" w:rsidR="00123CD8" w:rsidRDefault="00123CD8">
            <w:pPr>
              <w:jc w:val="center"/>
              <w:rPr>
                <w:rFonts w:ascii="Arial" w:hAnsi="Arial" w:cs="Arial"/>
                <w:b w:val="0"/>
                <w:sz w:val="18"/>
                <w:szCs w:val="18"/>
              </w:rPr>
            </w:pPr>
            <w:r>
              <w:rPr>
                <w:rFonts w:ascii="Arial" w:hAnsi="Arial" w:cs="Arial"/>
                <w:b w:val="0"/>
                <w:sz w:val="18"/>
                <w:szCs w:val="18"/>
              </w:rPr>
              <w:t>11</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405D08"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4.</w:t>
            </w:r>
          </w:p>
        </w:tc>
      </w:tr>
      <w:tr w:rsidR="00123CD8" w14:paraId="5B49CEA6"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88C9F24" w14:textId="77777777" w:rsidR="00123CD8" w:rsidRDefault="00123CD8">
            <w:pPr>
              <w:jc w:val="center"/>
              <w:rPr>
                <w:rFonts w:ascii="Arial" w:hAnsi="Arial" w:cs="Arial"/>
                <w:b w:val="0"/>
                <w:sz w:val="18"/>
                <w:szCs w:val="18"/>
              </w:rPr>
            </w:pPr>
            <w:r>
              <w:rPr>
                <w:rFonts w:ascii="Arial" w:hAnsi="Arial" w:cs="Arial"/>
                <w:b w:val="0"/>
                <w:sz w:val="18"/>
                <w:szCs w:val="18"/>
              </w:rPr>
              <w:t>12</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C1EA6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5.</w:t>
            </w:r>
          </w:p>
        </w:tc>
      </w:tr>
      <w:tr w:rsidR="00123CD8" w14:paraId="5C1542B0"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989ABB8" w14:textId="77777777" w:rsidR="00123CD8" w:rsidRDefault="00123CD8">
            <w:pPr>
              <w:jc w:val="center"/>
              <w:rPr>
                <w:rFonts w:ascii="Arial" w:hAnsi="Arial" w:cs="Arial"/>
                <w:b w:val="0"/>
                <w:sz w:val="18"/>
                <w:szCs w:val="18"/>
              </w:rPr>
            </w:pPr>
            <w:r>
              <w:rPr>
                <w:rFonts w:ascii="Arial" w:hAnsi="Arial" w:cs="Arial"/>
                <w:b w:val="0"/>
                <w:sz w:val="18"/>
                <w:szCs w:val="18"/>
              </w:rPr>
              <w:t>13</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8D7D85"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6</w:t>
            </w:r>
          </w:p>
        </w:tc>
      </w:tr>
      <w:tr w:rsidR="00123CD8" w14:paraId="06FE2AB9"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6AC3F04" w14:textId="77777777" w:rsidR="00123CD8" w:rsidRDefault="00123CD8">
            <w:pPr>
              <w:jc w:val="center"/>
              <w:rPr>
                <w:rFonts w:ascii="Arial" w:hAnsi="Arial" w:cs="Arial"/>
                <w:b w:val="0"/>
                <w:sz w:val="18"/>
                <w:szCs w:val="18"/>
              </w:rPr>
            </w:pPr>
            <w:r>
              <w:rPr>
                <w:rFonts w:ascii="Arial" w:hAnsi="Arial" w:cs="Arial"/>
                <w:b w:val="0"/>
                <w:sz w:val="18"/>
                <w:szCs w:val="18"/>
              </w:rPr>
              <w:lastRenderedPageBreak/>
              <w:t>14</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FA5792"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7</w:t>
            </w:r>
          </w:p>
        </w:tc>
      </w:tr>
      <w:tr w:rsidR="00123CD8" w14:paraId="14FB3C34"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FB9B4E6" w14:textId="77777777" w:rsidR="00123CD8" w:rsidRDefault="00123CD8">
            <w:pPr>
              <w:jc w:val="center"/>
              <w:rPr>
                <w:rFonts w:ascii="Arial" w:hAnsi="Arial" w:cs="Arial"/>
                <w:b w:val="0"/>
                <w:sz w:val="18"/>
                <w:szCs w:val="18"/>
              </w:rPr>
            </w:pPr>
            <w:r>
              <w:rPr>
                <w:rFonts w:ascii="Arial" w:hAnsi="Arial" w:cs="Arial"/>
                <w:b w:val="0"/>
                <w:sz w:val="18"/>
                <w:szCs w:val="18"/>
              </w:rPr>
              <w:t>15</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5DD682"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w:t>
            </w:r>
          </w:p>
        </w:tc>
      </w:tr>
      <w:tr w:rsidR="00123CD8" w14:paraId="7BA4E23F"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5415DDA" w14:textId="77777777" w:rsidR="00123CD8" w:rsidRDefault="00123CD8">
            <w:pPr>
              <w:jc w:val="center"/>
              <w:rPr>
                <w:rFonts w:ascii="Arial" w:hAnsi="Arial" w:cs="Arial"/>
                <w:b w:val="0"/>
                <w:sz w:val="18"/>
                <w:szCs w:val="18"/>
              </w:rPr>
            </w:pPr>
            <w:r>
              <w:rPr>
                <w:rFonts w:ascii="Arial" w:hAnsi="Arial" w:cs="Arial"/>
                <w:b w:val="0"/>
                <w:sz w:val="18"/>
                <w:szCs w:val="18"/>
              </w:rPr>
              <w:t>16</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7BA2832"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9,</w:t>
            </w:r>
          </w:p>
        </w:tc>
      </w:tr>
      <w:tr w:rsidR="00123CD8" w14:paraId="1F2AC9C8"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F889427" w14:textId="77777777" w:rsidR="00123CD8" w:rsidRDefault="00123CD8">
            <w:pPr>
              <w:jc w:val="center"/>
              <w:rPr>
                <w:rFonts w:ascii="Arial" w:hAnsi="Arial" w:cs="Arial"/>
                <w:b w:val="0"/>
                <w:sz w:val="18"/>
                <w:szCs w:val="18"/>
              </w:rPr>
            </w:pPr>
            <w:r>
              <w:rPr>
                <w:rFonts w:ascii="Arial" w:hAnsi="Arial" w:cs="Arial"/>
                <w:b w:val="0"/>
                <w:sz w:val="18"/>
                <w:szCs w:val="18"/>
              </w:rPr>
              <w:t>17</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A89361"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10,</w:t>
            </w:r>
          </w:p>
        </w:tc>
      </w:tr>
      <w:tr w:rsidR="00123CD8" w14:paraId="512D8D2E"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78BB374" w14:textId="77777777" w:rsidR="00123CD8" w:rsidRDefault="00123CD8">
            <w:pPr>
              <w:jc w:val="center"/>
              <w:rPr>
                <w:rFonts w:ascii="Arial" w:hAnsi="Arial" w:cs="Arial"/>
                <w:b w:val="0"/>
                <w:sz w:val="18"/>
                <w:szCs w:val="18"/>
              </w:rPr>
            </w:pPr>
            <w:r>
              <w:rPr>
                <w:rFonts w:ascii="Arial" w:hAnsi="Arial" w:cs="Arial"/>
                <w:b w:val="0"/>
                <w:sz w:val="18"/>
                <w:szCs w:val="18"/>
              </w:rPr>
              <w:t>18</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70530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oficina de tecnologías de la información OTI de la agencia nacional de hidrocarburos en asesoría especializada para la gestión de transferencia de tecnología</w:t>
            </w:r>
          </w:p>
        </w:tc>
      </w:tr>
      <w:tr w:rsidR="00123CD8" w14:paraId="7B420394"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B8DF78C" w14:textId="77777777" w:rsidR="00123CD8" w:rsidRDefault="00123CD8">
            <w:pPr>
              <w:jc w:val="center"/>
              <w:rPr>
                <w:rFonts w:ascii="Arial" w:hAnsi="Arial" w:cs="Arial"/>
                <w:b w:val="0"/>
                <w:sz w:val="18"/>
                <w:szCs w:val="18"/>
              </w:rPr>
            </w:pPr>
            <w:r>
              <w:rPr>
                <w:rFonts w:ascii="Arial" w:hAnsi="Arial" w:cs="Arial"/>
                <w:b w:val="0"/>
                <w:sz w:val="18"/>
                <w:szCs w:val="18"/>
              </w:rPr>
              <w:t>19</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5EADE4"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Prestar los servicios profesionales especializados en la oficina de tecnología de la información OTI para la gestión de la información almacenada en </w:t>
            </w:r>
            <w:proofErr w:type="spellStart"/>
            <w:r>
              <w:rPr>
                <w:rFonts w:ascii="Arial" w:hAnsi="Arial" w:cs="Arial"/>
                <w:sz w:val="18"/>
                <w:szCs w:val="18"/>
              </w:rPr>
              <w:t>backups</w:t>
            </w:r>
            <w:proofErr w:type="spellEnd"/>
            <w:r>
              <w:rPr>
                <w:rFonts w:ascii="Arial" w:hAnsi="Arial" w:cs="Arial"/>
                <w:sz w:val="18"/>
                <w:szCs w:val="18"/>
              </w:rPr>
              <w:t xml:space="preserve"> y repositorios de respaldo derivados de los procesos misionales estratégicos</w:t>
            </w:r>
          </w:p>
        </w:tc>
      </w:tr>
      <w:tr w:rsidR="00123CD8" w14:paraId="5EB4F84D"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E90396E" w14:textId="77777777" w:rsidR="00123CD8" w:rsidRDefault="00123CD8">
            <w:pPr>
              <w:jc w:val="center"/>
              <w:rPr>
                <w:rFonts w:ascii="Arial" w:hAnsi="Arial" w:cs="Arial"/>
                <w:b w:val="0"/>
                <w:sz w:val="18"/>
                <w:szCs w:val="18"/>
              </w:rPr>
            </w:pPr>
            <w:r>
              <w:rPr>
                <w:rFonts w:ascii="Arial" w:hAnsi="Arial" w:cs="Arial"/>
                <w:b w:val="0"/>
                <w:sz w:val="18"/>
                <w:szCs w:val="18"/>
              </w:rPr>
              <w:t>20</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F803C1"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OTI para la administración de las plataformas de directorio activo, correo corporativo que soportan los procesos misionales</w:t>
            </w:r>
          </w:p>
        </w:tc>
      </w:tr>
      <w:tr w:rsidR="00123CD8" w14:paraId="3D3E8660"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FA67F1B" w14:textId="77777777" w:rsidR="00123CD8" w:rsidRDefault="00123CD8">
            <w:pPr>
              <w:jc w:val="center"/>
              <w:rPr>
                <w:rFonts w:ascii="Arial" w:hAnsi="Arial" w:cs="Arial"/>
                <w:b w:val="0"/>
                <w:sz w:val="18"/>
                <w:szCs w:val="18"/>
              </w:rPr>
            </w:pPr>
            <w:r>
              <w:rPr>
                <w:rFonts w:ascii="Arial" w:hAnsi="Arial" w:cs="Arial"/>
                <w:b w:val="0"/>
                <w:sz w:val="18"/>
                <w:szCs w:val="18"/>
              </w:rPr>
              <w:t>21</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67268C"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oficina de tecnologías de la información OTI para la asesoría en la transferencia de tecnología y el levantamiento de requerimientos análisis y diseño</w:t>
            </w:r>
          </w:p>
        </w:tc>
      </w:tr>
      <w:tr w:rsidR="00123CD8" w14:paraId="165CD474"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2B5EF96" w14:textId="77777777" w:rsidR="00123CD8" w:rsidRDefault="00123CD8">
            <w:pPr>
              <w:jc w:val="center"/>
              <w:rPr>
                <w:rFonts w:ascii="Arial" w:hAnsi="Arial" w:cs="Arial"/>
                <w:b w:val="0"/>
                <w:sz w:val="18"/>
                <w:szCs w:val="18"/>
              </w:rPr>
            </w:pPr>
            <w:r>
              <w:rPr>
                <w:rFonts w:ascii="Arial" w:hAnsi="Arial" w:cs="Arial"/>
                <w:b w:val="0"/>
                <w:sz w:val="18"/>
                <w:szCs w:val="18"/>
              </w:rPr>
              <w:t>22</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B517BF"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la oficina de tecnología de la información OTI para gestión de los inventarios de la infraestructura física y lógica de ti que soportan los procesos misionales</w:t>
            </w:r>
          </w:p>
        </w:tc>
      </w:tr>
      <w:tr w:rsidR="00123CD8" w14:paraId="797DA157"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4F265C" w14:textId="77777777" w:rsidR="00123CD8" w:rsidRDefault="00123CD8">
            <w:pPr>
              <w:jc w:val="center"/>
              <w:rPr>
                <w:rFonts w:ascii="Arial" w:hAnsi="Arial" w:cs="Arial"/>
                <w:b w:val="0"/>
                <w:sz w:val="18"/>
                <w:szCs w:val="18"/>
              </w:rPr>
            </w:pPr>
            <w:r>
              <w:rPr>
                <w:rFonts w:ascii="Arial" w:hAnsi="Arial" w:cs="Arial"/>
                <w:b w:val="0"/>
                <w:sz w:val="18"/>
                <w:szCs w:val="18"/>
              </w:rPr>
              <w:t>23</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7F3E16"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VCH en la implementación de los ajustes y desarrollos del sistema integrado de seguimiento y control de contratos de hidrocarburos SSCH de la ANH</w:t>
            </w:r>
          </w:p>
        </w:tc>
      </w:tr>
      <w:tr w:rsidR="00123CD8" w14:paraId="7126FEAD"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3A38528" w14:textId="77777777" w:rsidR="00123CD8" w:rsidRDefault="00123CD8">
            <w:pPr>
              <w:jc w:val="center"/>
              <w:rPr>
                <w:rFonts w:ascii="Arial" w:hAnsi="Arial" w:cs="Arial"/>
                <w:b w:val="0"/>
                <w:sz w:val="18"/>
                <w:szCs w:val="18"/>
              </w:rPr>
            </w:pPr>
            <w:r>
              <w:rPr>
                <w:rFonts w:ascii="Arial" w:hAnsi="Arial" w:cs="Arial"/>
                <w:b w:val="0"/>
                <w:sz w:val="18"/>
                <w:szCs w:val="18"/>
              </w:rPr>
              <w:t>24</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3847CB"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VCH en la implementación de los ajustes y desarrollos del sistema integrado de seguimiento y control de contratos de hidrocarburos SSCH de la ANH</w:t>
            </w:r>
          </w:p>
        </w:tc>
      </w:tr>
      <w:tr w:rsidR="00123CD8" w14:paraId="304BBDF1"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0051B14" w14:textId="77777777" w:rsidR="00123CD8" w:rsidRDefault="00123CD8">
            <w:pPr>
              <w:jc w:val="center"/>
              <w:rPr>
                <w:rFonts w:ascii="Arial" w:hAnsi="Arial" w:cs="Arial"/>
                <w:b w:val="0"/>
                <w:sz w:val="18"/>
                <w:szCs w:val="18"/>
              </w:rPr>
            </w:pPr>
            <w:r>
              <w:rPr>
                <w:rFonts w:ascii="Arial" w:hAnsi="Arial" w:cs="Arial"/>
                <w:b w:val="0"/>
                <w:sz w:val="18"/>
                <w:szCs w:val="18"/>
              </w:rPr>
              <w:t>25</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EC74DA"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a la ANH en la asesoría especializada para la gestión en  la estructuración, desarrollo e implementación de servicios tecnológicos en la OTI que soportan los procesos misionales, estratégicos y de apoyo de la ANH.</w:t>
            </w:r>
          </w:p>
        </w:tc>
      </w:tr>
      <w:tr w:rsidR="00123CD8" w14:paraId="6B2F7F1E"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4C299B8" w14:textId="77777777" w:rsidR="00123CD8" w:rsidRDefault="00123CD8">
            <w:pPr>
              <w:jc w:val="center"/>
              <w:rPr>
                <w:rFonts w:ascii="Arial" w:hAnsi="Arial" w:cs="Arial"/>
                <w:b w:val="0"/>
                <w:sz w:val="18"/>
                <w:szCs w:val="18"/>
              </w:rPr>
            </w:pPr>
            <w:r>
              <w:rPr>
                <w:rFonts w:ascii="Arial" w:hAnsi="Arial" w:cs="Arial"/>
                <w:b w:val="0"/>
                <w:sz w:val="18"/>
                <w:szCs w:val="18"/>
              </w:rPr>
              <w:t>26</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90198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de soporte técnico en sitio para la atención de usuarios, equipos y aplicaciones técnicas y misionales de la agencia nacional de hidrocarburos - ANH. Recurso 3.</w:t>
            </w:r>
          </w:p>
        </w:tc>
      </w:tr>
      <w:tr w:rsidR="00123CD8" w14:paraId="4FC17EC8"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82C9B83" w14:textId="77777777" w:rsidR="00123CD8" w:rsidRDefault="00123CD8">
            <w:pPr>
              <w:jc w:val="center"/>
              <w:rPr>
                <w:rFonts w:ascii="Arial" w:hAnsi="Arial" w:cs="Arial"/>
                <w:b w:val="0"/>
                <w:sz w:val="18"/>
                <w:szCs w:val="18"/>
              </w:rPr>
            </w:pPr>
            <w:r>
              <w:rPr>
                <w:rFonts w:ascii="Arial" w:hAnsi="Arial" w:cs="Arial"/>
                <w:b w:val="0"/>
                <w:sz w:val="18"/>
                <w:szCs w:val="18"/>
              </w:rPr>
              <w:t>27</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569C94"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de soporte técnico en sitio para la atención de usuarios, equipos y aplicaciones técnicas y misionales de la agencia nacional de hidrocarburos - ANH. Recurso 4,</w:t>
            </w:r>
          </w:p>
        </w:tc>
      </w:tr>
      <w:tr w:rsidR="00123CD8" w14:paraId="74516EF9"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4D298E28" w14:textId="77777777" w:rsidR="00123CD8" w:rsidRDefault="00123CD8">
            <w:pPr>
              <w:jc w:val="center"/>
              <w:rPr>
                <w:rFonts w:ascii="Arial" w:hAnsi="Arial" w:cs="Arial"/>
                <w:b w:val="0"/>
                <w:sz w:val="18"/>
                <w:szCs w:val="18"/>
              </w:rPr>
            </w:pPr>
            <w:r>
              <w:rPr>
                <w:rFonts w:ascii="Arial" w:hAnsi="Arial" w:cs="Arial"/>
                <w:b w:val="0"/>
                <w:sz w:val="18"/>
                <w:szCs w:val="18"/>
              </w:rPr>
              <w:t>28</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3F7AA8"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especializados en el apoyo a los procesos de divulgación de la entidad mediante la administración de las plataformas web de la ANH.</w:t>
            </w:r>
          </w:p>
        </w:tc>
      </w:tr>
      <w:tr w:rsidR="00123CD8" w14:paraId="29F27BB8"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31B2E88" w14:textId="77777777" w:rsidR="00123CD8" w:rsidRDefault="00123CD8">
            <w:pPr>
              <w:jc w:val="center"/>
              <w:rPr>
                <w:rFonts w:ascii="Arial" w:hAnsi="Arial" w:cs="Arial"/>
                <w:b w:val="0"/>
                <w:sz w:val="18"/>
                <w:szCs w:val="18"/>
              </w:rPr>
            </w:pPr>
            <w:r>
              <w:rPr>
                <w:rFonts w:ascii="Arial" w:hAnsi="Arial" w:cs="Arial"/>
                <w:b w:val="0"/>
                <w:sz w:val="18"/>
                <w:szCs w:val="18"/>
              </w:rPr>
              <w:t>29</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D4FCC8"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servicios profesionales especializados jurídicos para el apoyo a la gestión de la oficina asesora jurídica de la ANH, en la elaboración de proyecto de respuestas a consultas jurídicas, de conceptos y de documentos jurídicos de carácter misional, así como brindar el apoyo en el desarrollo de los procesos de contratación y demás actividades relacionadas</w:t>
            </w:r>
          </w:p>
        </w:tc>
      </w:tr>
      <w:tr w:rsidR="00123CD8" w14:paraId="4CF1E50D"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56810D72" w14:textId="77777777" w:rsidR="00123CD8" w:rsidRDefault="00123CD8">
            <w:pPr>
              <w:jc w:val="center"/>
              <w:rPr>
                <w:rFonts w:ascii="Arial" w:hAnsi="Arial" w:cs="Arial"/>
                <w:b w:val="0"/>
                <w:sz w:val="18"/>
                <w:szCs w:val="18"/>
              </w:rPr>
            </w:pPr>
            <w:r>
              <w:rPr>
                <w:rFonts w:ascii="Arial" w:hAnsi="Arial" w:cs="Arial"/>
                <w:b w:val="0"/>
                <w:sz w:val="18"/>
                <w:szCs w:val="18"/>
              </w:rPr>
              <w:t>30</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EDB2D2"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Prestar los servicios de soporte técnico en sitio para apoyar en la administración y automatización de las plataformas </w:t>
            </w:r>
            <w:proofErr w:type="spellStart"/>
            <w:r>
              <w:rPr>
                <w:rFonts w:ascii="Arial" w:hAnsi="Arial" w:cs="Arial"/>
                <w:sz w:val="18"/>
                <w:szCs w:val="18"/>
              </w:rPr>
              <w:t>system</w:t>
            </w:r>
            <w:proofErr w:type="spellEnd"/>
            <w:r>
              <w:rPr>
                <w:rFonts w:ascii="Arial" w:hAnsi="Arial" w:cs="Arial"/>
                <w:sz w:val="18"/>
                <w:szCs w:val="18"/>
              </w:rPr>
              <w:t xml:space="preserve"> center </w:t>
            </w:r>
            <w:proofErr w:type="spellStart"/>
            <w:r>
              <w:rPr>
                <w:rFonts w:ascii="Arial" w:hAnsi="Arial" w:cs="Arial"/>
                <w:sz w:val="18"/>
                <w:szCs w:val="18"/>
              </w:rPr>
              <w:t>configuration</w:t>
            </w:r>
            <w:proofErr w:type="spellEnd"/>
            <w:r>
              <w:rPr>
                <w:rFonts w:ascii="Arial" w:hAnsi="Arial" w:cs="Arial"/>
                <w:sz w:val="18"/>
                <w:szCs w:val="18"/>
              </w:rPr>
              <w:t xml:space="preserve"> manager, </w:t>
            </w:r>
            <w:proofErr w:type="spellStart"/>
            <w:r>
              <w:rPr>
                <w:rFonts w:ascii="Arial" w:hAnsi="Arial" w:cs="Arial"/>
                <w:sz w:val="18"/>
                <w:szCs w:val="18"/>
              </w:rPr>
              <w:t>system</w:t>
            </w:r>
            <w:proofErr w:type="spellEnd"/>
            <w:r>
              <w:rPr>
                <w:rFonts w:ascii="Arial" w:hAnsi="Arial" w:cs="Arial"/>
                <w:sz w:val="18"/>
                <w:szCs w:val="18"/>
              </w:rPr>
              <w:t xml:space="preserve"> center </w:t>
            </w:r>
            <w:proofErr w:type="spellStart"/>
            <w:r>
              <w:rPr>
                <w:rFonts w:ascii="Arial" w:hAnsi="Arial" w:cs="Arial"/>
                <w:sz w:val="18"/>
                <w:szCs w:val="18"/>
              </w:rPr>
              <w:t>operation</w:t>
            </w:r>
            <w:proofErr w:type="spellEnd"/>
            <w:r>
              <w:rPr>
                <w:rFonts w:ascii="Arial" w:hAnsi="Arial" w:cs="Arial"/>
                <w:sz w:val="18"/>
                <w:szCs w:val="18"/>
              </w:rPr>
              <w:t xml:space="preserve"> manager y el directorio activo dentro de la infraestructura</w:t>
            </w:r>
          </w:p>
        </w:tc>
      </w:tr>
      <w:tr w:rsidR="00123CD8" w14:paraId="474371DE"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6ECF77D" w14:textId="77777777" w:rsidR="00123CD8" w:rsidRDefault="00123CD8">
            <w:pPr>
              <w:jc w:val="center"/>
              <w:rPr>
                <w:rFonts w:ascii="Arial" w:hAnsi="Arial" w:cs="Arial"/>
                <w:b w:val="0"/>
                <w:sz w:val="18"/>
                <w:szCs w:val="18"/>
              </w:rPr>
            </w:pPr>
            <w:r>
              <w:rPr>
                <w:rFonts w:ascii="Arial" w:hAnsi="Arial" w:cs="Arial"/>
                <w:b w:val="0"/>
                <w:sz w:val="18"/>
                <w:szCs w:val="18"/>
              </w:rPr>
              <w:t>31</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DF7975"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1.</w:t>
            </w:r>
          </w:p>
        </w:tc>
      </w:tr>
      <w:tr w:rsidR="00123CD8" w14:paraId="721001FD"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1742EF0" w14:textId="77777777" w:rsidR="00123CD8" w:rsidRDefault="00123CD8">
            <w:pPr>
              <w:jc w:val="center"/>
              <w:rPr>
                <w:rFonts w:ascii="Arial" w:hAnsi="Arial" w:cs="Arial"/>
                <w:b w:val="0"/>
                <w:sz w:val="18"/>
                <w:szCs w:val="18"/>
              </w:rPr>
            </w:pPr>
            <w:r>
              <w:rPr>
                <w:rFonts w:ascii="Arial" w:hAnsi="Arial" w:cs="Arial"/>
                <w:b w:val="0"/>
                <w:sz w:val="18"/>
                <w:szCs w:val="18"/>
              </w:rPr>
              <w:lastRenderedPageBreak/>
              <w:t>32</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396622"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2.</w:t>
            </w:r>
          </w:p>
        </w:tc>
      </w:tr>
      <w:tr w:rsidR="00123CD8" w14:paraId="3C4632A4"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B2931D5" w14:textId="77777777" w:rsidR="00123CD8" w:rsidRDefault="00123CD8">
            <w:pPr>
              <w:jc w:val="center"/>
              <w:rPr>
                <w:rFonts w:ascii="Arial" w:hAnsi="Arial" w:cs="Arial"/>
                <w:b w:val="0"/>
                <w:sz w:val="18"/>
                <w:szCs w:val="18"/>
              </w:rPr>
            </w:pPr>
            <w:r>
              <w:rPr>
                <w:rFonts w:ascii="Arial" w:hAnsi="Arial" w:cs="Arial"/>
                <w:b w:val="0"/>
                <w:sz w:val="18"/>
                <w:szCs w:val="18"/>
              </w:rPr>
              <w:t>33</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699A0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profesionales y especializados para la estructuración, desarrollo e implementación de proyectos en la OTI asociados a las actividades misionales de la ANH recurso 3</w:t>
            </w:r>
          </w:p>
        </w:tc>
      </w:tr>
      <w:tr w:rsidR="00123CD8" w14:paraId="4DFD0512"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6C119757" w14:textId="77777777" w:rsidR="00123CD8" w:rsidRDefault="00123CD8">
            <w:pPr>
              <w:jc w:val="center"/>
              <w:rPr>
                <w:rFonts w:ascii="Arial" w:hAnsi="Arial" w:cs="Arial"/>
                <w:b w:val="0"/>
                <w:sz w:val="18"/>
                <w:szCs w:val="18"/>
              </w:rPr>
            </w:pPr>
            <w:r>
              <w:rPr>
                <w:rFonts w:ascii="Arial" w:hAnsi="Arial" w:cs="Arial"/>
                <w:b w:val="0"/>
                <w:sz w:val="18"/>
                <w:szCs w:val="18"/>
              </w:rPr>
              <w:t>34</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E7D5AB"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Prestación de servicios profesionales especializados a la OTI en la asesoría de la implementación del sistema de gestión de calidad y planeación en los procesos misionales</w:t>
            </w:r>
          </w:p>
        </w:tc>
      </w:tr>
      <w:tr w:rsidR="00123CD8" w14:paraId="13BE2E41"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7EB8586E" w14:textId="77777777" w:rsidR="00123CD8" w:rsidRDefault="00123CD8">
            <w:pPr>
              <w:jc w:val="center"/>
              <w:rPr>
                <w:rFonts w:ascii="Arial" w:hAnsi="Arial" w:cs="Arial"/>
                <w:b w:val="0"/>
                <w:sz w:val="18"/>
                <w:szCs w:val="18"/>
              </w:rPr>
            </w:pPr>
            <w:r>
              <w:rPr>
                <w:rFonts w:ascii="Arial" w:hAnsi="Arial" w:cs="Arial"/>
                <w:b w:val="0"/>
                <w:sz w:val="18"/>
                <w:szCs w:val="18"/>
              </w:rPr>
              <w:t>35</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256C73" w14:textId="77777777" w:rsid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Prestar los servicios de soporte técnico en sitio para la atención de usuarios, infraestructura y aplicaciones técnicas y misionales de la agencia nacional de hidrocarburos</w:t>
            </w:r>
          </w:p>
        </w:tc>
      </w:tr>
      <w:tr w:rsidR="00123CD8" w:rsidRPr="00123CD8" w14:paraId="02E7A023" w14:textId="77777777" w:rsidTr="00123CD8">
        <w:trPr>
          <w:trHeight w:val="58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0201291E" w14:textId="77777777" w:rsidR="00123CD8" w:rsidRPr="00123CD8" w:rsidRDefault="00123CD8">
            <w:pPr>
              <w:jc w:val="center"/>
              <w:rPr>
                <w:rFonts w:ascii="Arial" w:hAnsi="Arial" w:cs="Arial"/>
                <w:b w:val="0"/>
                <w:sz w:val="18"/>
                <w:szCs w:val="18"/>
              </w:rPr>
            </w:pPr>
            <w:r w:rsidRPr="00123CD8">
              <w:rPr>
                <w:rFonts w:ascii="Arial" w:hAnsi="Arial" w:cs="Arial"/>
                <w:b w:val="0"/>
                <w:sz w:val="18"/>
                <w:szCs w:val="18"/>
              </w:rPr>
              <w:t>36</w:t>
            </w:r>
          </w:p>
        </w:tc>
        <w:tc>
          <w:tcPr>
            <w:tcW w:w="907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93170B" w14:textId="77777777" w:rsidR="00123CD8" w:rsidRPr="00123CD8" w:rsidRDefault="00123CD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23CD8">
              <w:rPr>
                <w:rFonts w:ascii="Arial" w:hAnsi="Arial" w:cs="Arial"/>
                <w:sz w:val="18"/>
                <w:szCs w:val="18"/>
              </w:rPr>
              <w:t>Prestar servicios profesionales jurídicos para el apoyo a la gestión de la oficina asesora jurídica de la ANH en la elaboración de proyecto de respuestas a consultas jurídicas, de conceptos y de documentos jurídicos</w:t>
            </w:r>
          </w:p>
        </w:tc>
      </w:tr>
    </w:tbl>
    <w:p w14:paraId="354E07BD" w14:textId="0AF701BE"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0D8BBC00"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OIT</w:t>
      </w:r>
    </w:p>
    <w:p w14:paraId="1696C31D" w14:textId="77777777" w:rsidR="00123CD8" w:rsidRDefault="00123CD8" w:rsidP="00123CD8">
      <w:pPr>
        <w:jc w:val="both"/>
        <w:rPr>
          <w:rFonts w:ascii="Arial" w:hAnsi="Arial" w:cs="Arial"/>
          <w:lang w:val="es-MX"/>
        </w:rPr>
      </w:pPr>
      <w:r>
        <w:rPr>
          <w:rFonts w:ascii="Arial" w:hAnsi="Arial" w:cs="Arial"/>
          <w:lang w:val="es-MX"/>
        </w:rPr>
        <w:t xml:space="preserve">Los servicios de TI son indispensables para proveer la información digital, procesarla, almacenarla, transitarla electrónicamente, asegurarla y soportar las actividades de usuarios en los diferentes procesos y tramites de la Agencia, es por ello que estos servicios de información deben tener una alta disponibilidad, siendo necesaria la contratación de soporte, mantenimiento, conectividad y convergencia de servicios tecnológicos. </w:t>
      </w:r>
    </w:p>
    <w:p w14:paraId="45A69D44" w14:textId="5E01A4FE" w:rsidR="00C02282" w:rsidRPr="00123CD8" w:rsidRDefault="00123CD8" w:rsidP="00123CD8">
      <w:pPr>
        <w:pStyle w:val="Descripcin"/>
        <w:keepNext/>
        <w:jc w:val="center"/>
      </w:pPr>
      <w:r w:rsidRPr="00123CD8">
        <w:t xml:space="preserve"> </w:t>
      </w:r>
      <w:bookmarkStart w:id="142" w:name="_Toc525652512"/>
      <w:r w:rsidR="00C02282" w:rsidRPr="00123CD8">
        <w:t xml:space="preserve">Tabla </w:t>
      </w:r>
      <w:r w:rsidR="00C02282" w:rsidRPr="00123CD8">
        <w:fldChar w:fldCharType="begin"/>
      </w:r>
      <w:r w:rsidR="00C02282" w:rsidRPr="00123CD8">
        <w:instrText xml:space="preserve"> SEQ Tabla \* ARABIC </w:instrText>
      </w:r>
      <w:r w:rsidR="00C02282" w:rsidRPr="00123CD8">
        <w:fldChar w:fldCharType="separate"/>
      </w:r>
      <w:r w:rsidR="008B4625">
        <w:rPr>
          <w:noProof/>
        </w:rPr>
        <w:t>67</w:t>
      </w:r>
      <w:r w:rsidR="00C02282" w:rsidRPr="00123CD8">
        <w:fldChar w:fldCharType="end"/>
      </w:r>
      <w:r w:rsidRPr="00123CD8">
        <w:t xml:space="preserve"> </w:t>
      </w:r>
      <w:r w:rsidR="00C02282" w:rsidRPr="00123CD8">
        <w:t>Gastos de Comercialización y Producción – Oficina Tecnologías de la Información por Objet</w:t>
      </w:r>
      <w:r w:rsidRPr="00123CD8">
        <w:t xml:space="preserve">os de Contratación y Cuantías 30 de junio de </w:t>
      </w:r>
      <w:r w:rsidR="00C02282" w:rsidRPr="00123CD8">
        <w:t xml:space="preserve"> 2018 ANH</w:t>
      </w:r>
      <w:bookmarkEnd w:id="142"/>
    </w:p>
    <w:tbl>
      <w:tblPr>
        <w:tblStyle w:val="Tablanormal14"/>
        <w:tblW w:w="0" w:type="auto"/>
        <w:tblInd w:w="-5" w:type="dxa"/>
        <w:tblLook w:val="04A0" w:firstRow="1" w:lastRow="0" w:firstColumn="1" w:lastColumn="0" w:noHBand="0" w:noVBand="1"/>
      </w:tblPr>
      <w:tblGrid>
        <w:gridCol w:w="2345"/>
        <w:gridCol w:w="4743"/>
        <w:gridCol w:w="1701"/>
      </w:tblGrid>
      <w:tr w:rsidR="00123CD8" w14:paraId="5F1F1D76" w14:textId="77777777" w:rsidTr="00123CD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F81BD" w:themeFill="accent1"/>
            <w:noWrap/>
            <w:hideMark/>
          </w:tcPr>
          <w:p w14:paraId="1EFA5788" w14:textId="77777777" w:rsidR="00123CD8" w:rsidRDefault="00123CD8">
            <w:pPr>
              <w:jc w:val="center"/>
              <w:rPr>
                <w:rFonts w:ascii="Arial" w:hAnsi="Arial" w:cs="Arial"/>
                <w:sz w:val="22"/>
                <w:szCs w:val="22"/>
              </w:rPr>
            </w:pPr>
            <w:r>
              <w:rPr>
                <w:rFonts w:ascii="Arial" w:hAnsi="Arial" w:cs="Arial"/>
                <w:sz w:val="22"/>
                <w:szCs w:val="22"/>
              </w:rPr>
              <w:t>CONTRATO</w:t>
            </w: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F81BD" w:themeFill="accent1"/>
            <w:hideMark/>
          </w:tcPr>
          <w:p w14:paraId="04FCD20E" w14:textId="77777777" w:rsidR="00123CD8" w:rsidRDefault="00123CD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OBJETO PROYECTADO / NECESIDAD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F81BD" w:themeFill="accent1"/>
            <w:noWrap/>
            <w:hideMark/>
          </w:tcPr>
          <w:p w14:paraId="721307CC" w14:textId="77777777" w:rsidR="00123CD8" w:rsidRDefault="00123CD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CUANTÍA</w:t>
            </w:r>
          </w:p>
        </w:tc>
      </w:tr>
      <w:tr w:rsidR="00123CD8" w14:paraId="1A7E3540" w14:textId="77777777" w:rsidTr="00123CD8">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14:paraId="47BA178D" w14:textId="77777777" w:rsidR="00123CD8" w:rsidRDefault="00123CD8">
            <w:pPr>
              <w:rPr>
                <w:rFonts w:ascii="Arial" w:hAnsi="Arial" w:cs="Arial"/>
                <w:b w:val="0"/>
                <w:sz w:val="22"/>
                <w:szCs w:val="22"/>
              </w:rPr>
            </w:pPr>
            <w:r>
              <w:rPr>
                <w:rFonts w:ascii="Arial" w:hAnsi="Arial" w:cs="Arial"/>
                <w:b w:val="0"/>
                <w:sz w:val="22"/>
                <w:szCs w:val="22"/>
              </w:rPr>
              <w:t>Contrato 427 de 2018</w:t>
            </w:r>
          </w:p>
          <w:p w14:paraId="49265457" w14:textId="77777777" w:rsidR="00123CD8" w:rsidRDefault="00123CD8">
            <w:pPr>
              <w:rPr>
                <w:rFonts w:ascii="Arial" w:hAnsi="Arial" w:cs="Arial"/>
                <w:b w:val="0"/>
                <w:sz w:val="22"/>
                <w:szCs w:val="22"/>
              </w:rPr>
            </w:pP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5E7E5875" w14:textId="77777777" w:rsidR="00123CD8" w:rsidRDefault="00123CD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Contratar el soporte y mantenimiento de los aires acondicionados del centro de cómputo principal de la ANH con suministro de repuestos.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0146BF4" w14:textId="77777777" w:rsidR="00123CD8" w:rsidRDefault="00123C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$ 65</w:t>
            </w:r>
          </w:p>
        </w:tc>
      </w:tr>
      <w:tr w:rsidR="00123CD8" w14:paraId="61422907" w14:textId="77777777" w:rsidTr="00123CD8">
        <w:trPr>
          <w:trHeight w:val="1309"/>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6CDA845" w14:textId="77777777" w:rsidR="00123CD8" w:rsidRDefault="00123CD8">
            <w:pPr>
              <w:rPr>
                <w:rFonts w:ascii="Arial" w:hAnsi="Arial" w:cs="Arial"/>
                <w:b w:val="0"/>
                <w:sz w:val="22"/>
                <w:szCs w:val="22"/>
              </w:rPr>
            </w:pPr>
            <w:r>
              <w:rPr>
                <w:rFonts w:ascii="Arial" w:hAnsi="Arial" w:cs="Arial"/>
                <w:b w:val="0"/>
                <w:sz w:val="22"/>
                <w:szCs w:val="22"/>
              </w:rPr>
              <w:t>Orden de compra 24935</w:t>
            </w:r>
          </w:p>
          <w:p w14:paraId="4ABD5EF8" w14:textId="77777777" w:rsidR="00123CD8" w:rsidRDefault="00123CD8">
            <w:pPr>
              <w:rPr>
                <w:rFonts w:ascii="Arial" w:hAnsi="Arial" w:cs="Arial"/>
                <w:b w:val="0"/>
                <w:sz w:val="22"/>
                <w:szCs w:val="22"/>
              </w:rPr>
            </w:pP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5DF12C54" w14:textId="77777777" w:rsidR="00123CD8" w:rsidRDefault="00123CD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Adquirir el servicio de internet para la ANH. Decremento en rad id 256365 de fecha 27/02/2018</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83E835D" w14:textId="77777777" w:rsidR="00123CD8" w:rsidRDefault="00123C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$ 80</w:t>
            </w:r>
          </w:p>
        </w:tc>
      </w:tr>
      <w:tr w:rsidR="00123CD8" w14:paraId="6A355587" w14:textId="77777777" w:rsidTr="00123CD8">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22CCBC2" w14:textId="77777777" w:rsidR="00123CD8" w:rsidRDefault="00123CD8">
            <w:pPr>
              <w:rPr>
                <w:rFonts w:ascii="Arial" w:hAnsi="Arial" w:cs="Arial"/>
                <w:b w:val="0"/>
                <w:sz w:val="22"/>
                <w:szCs w:val="22"/>
              </w:rPr>
            </w:pPr>
            <w:r>
              <w:rPr>
                <w:rFonts w:ascii="Arial" w:hAnsi="Arial" w:cs="Arial"/>
                <w:b w:val="0"/>
                <w:sz w:val="22"/>
                <w:szCs w:val="22"/>
              </w:rPr>
              <w:t>Contrato 339 de 2018</w:t>
            </w: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B919FA0" w14:textId="77777777" w:rsidR="00123CD8" w:rsidRDefault="00123CD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Contratar el soporte premier para la articulación de la infraestructura Microsoft. Decremento en rad id 256365 de fecha 27/02/2018</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CA5A846" w14:textId="77777777" w:rsidR="00123CD8" w:rsidRDefault="00123C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$ 1.065</w:t>
            </w:r>
          </w:p>
        </w:tc>
      </w:tr>
      <w:tr w:rsidR="00123CD8" w14:paraId="64B3DA0B" w14:textId="77777777" w:rsidTr="00123CD8">
        <w:trPr>
          <w:trHeight w:val="1309"/>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bottom"/>
          </w:tcPr>
          <w:p w14:paraId="1B1EFC8E" w14:textId="77777777" w:rsidR="00123CD8" w:rsidRDefault="00123CD8">
            <w:pPr>
              <w:rPr>
                <w:rFonts w:ascii="Arial" w:hAnsi="Arial" w:cs="Arial"/>
                <w:b w:val="0"/>
                <w:sz w:val="22"/>
                <w:szCs w:val="22"/>
              </w:rPr>
            </w:pPr>
            <w:r>
              <w:rPr>
                <w:rFonts w:ascii="Arial" w:hAnsi="Arial" w:cs="Arial"/>
                <w:b w:val="0"/>
                <w:sz w:val="22"/>
                <w:szCs w:val="22"/>
              </w:rPr>
              <w:lastRenderedPageBreak/>
              <w:t>Orden de Compra 24934</w:t>
            </w:r>
          </w:p>
          <w:p w14:paraId="0ECB8544" w14:textId="77777777" w:rsidR="00123CD8" w:rsidRDefault="00123CD8">
            <w:pPr>
              <w:rPr>
                <w:rFonts w:ascii="Arial" w:hAnsi="Arial" w:cs="Arial"/>
                <w:b w:val="0"/>
                <w:sz w:val="22"/>
                <w:szCs w:val="22"/>
              </w:rPr>
            </w:pP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30C44597" w14:textId="77777777" w:rsidR="00123CD8" w:rsidRDefault="00123CD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Contratar el soporte y mantenimiento de la infraestructura integrada de ingeniería Oracle para los servidores y almacenamientos de la ANH</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4AE7B0F" w14:textId="77777777" w:rsidR="00123CD8" w:rsidRDefault="00123C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$ 1.389</w:t>
            </w:r>
          </w:p>
        </w:tc>
      </w:tr>
      <w:tr w:rsidR="00123CD8" w14:paraId="6DD7FB90" w14:textId="77777777" w:rsidTr="00123CD8">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2C0D1E7" w14:textId="77777777" w:rsidR="00123CD8" w:rsidRDefault="00123CD8">
            <w:pPr>
              <w:rPr>
                <w:rFonts w:ascii="Arial" w:hAnsi="Arial" w:cs="Arial"/>
                <w:b w:val="0"/>
                <w:sz w:val="22"/>
                <w:szCs w:val="22"/>
              </w:rPr>
            </w:pPr>
            <w:r>
              <w:rPr>
                <w:rFonts w:ascii="Arial" w:hAnsi="Arial" w:cs="Arial"/>
                <w:b w:val="0"/>
                <w:sz w:val="22"/>
                <w:szCs w:val="22"/>
              </w:rPr>
              <w:t>RP 39618 de fecha 26/01/2018, Contrato 389 de 2018, CONTROL ONLINE S.A.S</w:t>
            </w: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1A417911" w14:textId="77777777" w:rsidR="00123CD8" w:rsidRDefault="00123CD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Adquirir el paquete de soporte y actualización y mantenimiento de la plataforma </w:t>
            </w:r>
            <w:proofErr w:type="spellStart"/>
            <w:r>
              <w:rPr>
                <w:rFonts w:ascii="Arial" w:hAnsi="Arial" w:cs="Arial"/>
                <w:sz w:val="22"/>
                <w:szCs w:val="22"/>
              </w:rPr>
              <w:t>viedo</w:t>
            </w:r>
            <w:proofErr w:type="spellEnd"/>
            <w:r>
              <w:rPr>
                <w:rFonts w:ascii="Arial" w:hAnsi="Arial" w:cs="Arial"/>
                <w:sz w:val="22"/>
                <w:szCs w:val="22"/>
              </w:rPr>
              <w:t xml:space="preserve"> y los componentes para la integración de datos. Decremento en rad id 256365 de fecha 27/02/2018</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CCE351A" w14:textId="77777777" w:rsidR="00123CD8" w:rsidRDefault="00123C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$ 3.573</w:t>
            </w:r>
          </w:p>
        </w:tc>
      </w:tr>
      <w:tr w:rsidR="00123CD8" w14:paraId="081B52F1" w14:textId="77777777" w:rsidTr="00123CD8">
        <w:trPr>
          <w:trHeight w:val="782"/>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1DAAA58" w14:textId="77777777" w:rsidR="00123CD8" w:rsidRDefault="00123CD8">
            <w:pPr>
              <w:jc w:val="center"/>
              <w:rPr>
                <w:rFonts w:ascii="Arial" w:hAnsi="Arial" w:cs="Arial"/>
                <w:b w:val="0"/>
                <w:sz w:val="22"/>
                <w:szCs w:val="22"/>
              </w:rPr>
            </w:pPr>
            <w:r>
              <w:rPr>
                <w:rFonts w:ascii="Arial" w:hAnsi="Arial" w:cs="Arial"/>
                <w:b w:val="0"/>
                <w:sz w:val="22"/>
                <w:szCs w:val="22"/>
              </w:rPr>
              <w:t>Orden de Compra 28533</w:t>
            </w: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C59C28" w14:textId="77777777" w:rsidR="00123CD8" w:rsidRDefault="00123C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Consumibles de Impresión</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4046820" w14:textId="77777777" w:rsidR="00123CD8" w:rsidRDefault="00123C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$ 20</w:t>
            </w:r>
          </w:p>
        </w:tc>
      </w:tr>
      <w:tr w:rsidR="00123CD8" w14:paraId="039D2B4C" w14:textId="77777777" w:rsidTr="00123CD8">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3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B49ADB0" w14:textId="77777777" w:rsidR="00123CD8" w:rsidRDefault="00123CD8">
            <w:pPr>
              <w:rPr>
                <w:rFonts w:ascii="Arial" w:hAnsi="Arial" w:cs="Arial"/>
                <w:b w:val="0"/>
                <w:sz w:val="22"/>
                <w:szCs w:val="22"/>
              </w:rPr>
            </w:pPr>
            <w:r>
              <w:rPr>
                <w:rFonts w:ascii="Arial" w:hAnsi="Arial" w:cs="Arial"/>
                <w:b w:val="0"/>
                <w:sz w:val="22"/>
                <w:szCs w:val="22"/>
              </w:rPr>
              <w:t>Orden de Compra 29360</w:t>
            </w:r>
          </w:p>
        </w:tc>
        <w:tc>
          <w:tcPr>
            <w:tcW w:w="47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7498ED03" w14:textId="77777777" w:rsidR="00123CD8" w:rsidRDefault="00123CD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Renovar la suscripción de la plataforma tecnológica en la nube de Microsoft para el DRP de la ANH, que permite la gestión</w:t>
            </w:r>
          </w:p>
          <w:p w14:paraId="29C96F26" w14:textId="77777777" w:rsidR="00123CD8" w:rsidRDefault="00123CD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de parte de las herramientas y sistemas informáticas de la Entidad.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FB9BD3A" w14:textId="77777777" w:rsidR="00123CD8" w:rsidRDefault="00123C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$ 1.635</w:t>
            </w:r>
          </w:p>
        </w:tc>
      </w:tr>
    </w:tbl>
    <w:p w14:paraId="69CD693A" w14:textId="3F92B230"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084AC4F8"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OIT</w:t>
      </w:r>
    </w:p>
    <w:p w14:paraId="27E26275" w14:textId="77777777" w:rsidR="00123CD8" w:rsidRDefault="00123CD8" w:rsidP="00123CD8">
      <w:pPr>
        <w:suppressAutoHyphens/>
        <w:jc w:val="both"/>
        <w:rPr>
          <w:rFonts w:ascii="Arial" w:hAnsi="Arial" w:cs="Arial"/>
          <w:lang w:val="es-MX" w:eastAsia="es-ES"/>
        </w:rPr>
      </w:pPr>
      <w:r w:rsidRPr="00123CD8">
        <w:rPr>
          <w:rFonts w:ascii="Arial" w:hAnsi="Arial" w:cs="Arial"/>
          <w:lang w:val="es-MX" w:eastAsia="es-ES"/>
        </w:rPr>
        <w:t>En concomitancia con las necesidades de los servicios técnicos de Mesa que aseguren la disponibilidad de información en sitio del usuario.</w:t>
      </w:r>
    </w:p>
    <w:p w14:paraId="5378EB17" w14:textId="7202A5B5" w:rsidR="00C02282" w:rsidRPr="00123CD8" w:rsidRDefault="00123CD8" w:rsidP="00123CD8">
      <w:pPr>
        <w:pStyle w:val="Descripcin"/>
        <w:keepNext/>
        <w:jc w:val="center"/>
      </w:pPr>
      <w:r w:rsidRPr="00123CD8">
        <w:t xml:space="preserve"> </w:t>
      </w:r>
      <w:bookmarkStart w:id="143" w:name="_Toc525652513"/>
      <w:r w:rsidR="00C02282" w:rsidRPr="00123CD8">
        <w:t xml:space="preserve">Tabla </w:t>
      </w:r>
      <w:r w:rsidR="00C02282" w:rsidRPr="00123CD8">
        <w:fldChar w:fldCharType="begin"/>
      </w:r>
      <w:r w:rsidR="00C02282" w:rsidRPr="00123CD8">
        <w:instrText xml:space="preserve"> SEQ Tabla \* ARABIC </w:instrText>
      </w:r>
      <w:r w:rsidR="00C02282" w:rsidRPr="00123CD8">
        <w:fldChar w:fldCharType="separate"/>
      </w:r>
      <w:r w:rsidR="008B4625">
        <w:rPr>
          <w:noProof/>
        </w:rPr>
        <w:t>68</w:t>
      </w:r>
      <w:r w:rsidR="00C02282" w:rsidRPr="00123CD8">
        <w:fldChar w:fldCharType="end"/>
      </w:r>
      <w:r>
        <w:t xml:space="preserve"> </w:t>
      </w:r>
      <w:r w:rsidR="00C02282" w:rsidRPr="00123CD8">
        <w:t>Gastos de Comercialización y Producción – Oficina Tecnologías de la Información Contrat</w:t>
      </w:r>
      <w:r w:rsidRPr="00123CD8">
        <w:t xml:space="preserve">ación Prestación de Servicios 30 de junio de </w:t>
      </w:r>
      <w:r w:rsidR="00C02282" w:rsidRPr="00123CD8">
        <w:t xml:space="preserve"> 2018 ANH</w:t>
      </w:r>
      <w:bookmarkEnd w:id="143"/>
    </w:p>
    <w:tbl>
      <w:tblPr>
        <w:tblW w:w="2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9"/>
        <w:gridCol w:w="1558"/>
      </w:tblGrid>
      <w:tr w:rsidR="00123CD8" w14:paraId="5565122B"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shd w:val="clear" w:color="auto" w:fill="4F81BD" w:themeFill="accent1"/>
            <w:noWrap/>
            <w:tcMar>
              <w:top w:w="0" w:type="dxa"/>
              <w:left w:w="70" w:type="dxa"/>
              <w:bottom w:w="0" w:type="dxa"/>
              <w:right w:w="70" w:type="dxa"/>
            </w:tcMar>
            <w:vAlign w:val="center"/>
            <w:hideMark/>
          </w:tcPr>
          <w:p w14:paraId="4960ABEE" w14:textId="77777777" w:rsidR="00123CD8" w:rsidRDefault="00123CD8">
            <w:pPr>
              <w:jc w:val="center"/>
              <w:rPr>
                <w:rFonts w:ascii="Arial" w:hAnsi="Arial" w:cs="Arial"/>
                <w:b/>
                <w:lang w:val="es-MX" w:eastAsia="es-ES"/>
              </w:rPr>
            </w:pPr>
            <w:r>
              <w:rPr>
                <w:rFonts w:ascii="Arial" w:hAnsi="Arial" w:cs="Arial"/>
                <w:b/>
                <w:lang w:val="es-MX" w:eastAsia="es-ES"/>
              </w:rPr>
              <w:t>N.º de Contrato</w:t>
            </w:r>
          </w:p>
        </w:tc>
        <w:tc>
          <w:tcPr>
            <w:tcW w:w="2256" w:type="pct"/>
            <w:tcBorders>
              <w:top w:val="single" w:sz="4" w:space="0" w:color="auto"/>
              <w:left w:val="single" w:sz="4" w:space="0" w:color="auto"/>
              <w:bottom w:val="single" w:sz="4" w:space="0" w:color="auto"/>
              <w:right w:val="single" w:sz="4" w:space="0" w:color="auto"/>
            </w:tcBorders>
            <w:shd w:val="clear" w:color="auto" w:fill="4F81BD" w:themeFill="accent1"/>
            <w:noWrap/>
            <w:tcMar>
              <w:top w:w="0" w:type="dxa"/>
              <w:left w:w="70" w:type="dxa"/>
              <w:bottom w:w="0" w:type="dxa"/>
              <w:right w:w="70" w:type="dxa"/>
            </w:tcMar>
            <w:vAlign w:val="bottom"/>
            <w:hideMark/>
          </w:tcPr>
          <w:p w14:paraId="1CB09957" w14:textId="77777777" w:rsidR="00123CD8" w:rsidRDefault="00123CD8">
            <w:pPr>
              <w:jc w:val="center"/>
              <w:rPr>
                <w:rFonts w:ascii="Arial" w:hAnsi="Arial" w:cs="Arial"/>
                <w:b/>
                <w:lang w:val="es-MX" w:eastAsia="es-ES"/>
              </w:rPr>
            </w:pPr>
            <w:r>
              <w:rPr>
                <w:rFonts w:ascii="Arial" w:hAnsi="Arial" w:cs="Arial"/>
                <w:b/>
                <w:lang w:val="es-MX" w:eastAsia="es-ES"/>
              </w:rPr>
              <w:t xml:space="preserve">Valor </w:t>
            </w:r>
          </w:p>
          <w:p w14:paraId="3DF75AD9" w14:textId="77777777" w:rsidR="00123CD8" w:rsidRDefault="00123CD8">
            <w:pPr>
              <w:jc w:val="center"/>
              <w:rPr>
                <w:rFonts w:ascii="Arial" w:hAnsi="Arial" w:cs="Arial"/>
                <w:b/>
                <w:lang w:val="es-MX" w:eastAsia="es-ES"/>
              </w:rPr>
            </w:pPr>
            <w:r>
              <w:rPr>
                <w:rFonts w:ascii="Arial" w:hAnsi="Arial" w:cs="Arial"/>
                <w:b/>
                <w:lang w:val="es-MX" w:eastAsia="es-ES"/>
              </w:rPr>
              <w:t>(IVA incluido)</w:t>
            </w:r>
          </w:p>
        </w:tc>
      </w:tr>
      <w:tr w:rsidR="00123CD8" w14:paraId="05E73305"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176E592" w14:textId="77777777" w:rsidR="00123CD8" w:rsidRDefault="00123CD8">
            <w:pPr>
              <w:rPr>
                <w:rFonts w:ascii="Arial" w:hAnsi="Arial" w:cs="Arial"/>
                <w:color w:val="000000"/>
              </w:rPr>
            </w:pPr>
            <w:r>
              <w:rPr>
                <w:rFonts w:ascii="Arial" w:hAnsi="Arial" w:cs="Arial"/>
              </w:rPr>
              <w:t>Contrato 316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51E5BB" w14:textId="77777777" w:rsidR="00123CD8" w:rsidRDefault="00123CD8">
            <w:pPr>
              <w:jc w:val="center"/>
              <w:rPr>
                <w:rFonts w:ascii="Arial" w:hAnsi="Arial" w:cs="Arial"/>
                <w:color w:val="000000"/>
              </w:rPr>
            </w:pPr>
            <w:r>
              <w:rPr>
                <w:rFonts w:ascii="Arial" w:hAnsi="Arial" w:cs="Arial"/>
              </w:rPr>
              <w:t>$ 40</w:t>
            </w:r>
          </w:p>
        </w:tc>
      </w:tr>
      <w:tr w:rsidR="00123CD8" w14:paraId="77386C21"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9CF281" w14:textId="77777777" w:rsidR="00123CD8" w:rsidRDefault="00123CD8">
            <w:pPr>
              <w:rPr>
                <w:rFonts w:ascii="Arial" w:hAnsi="Arial" w:cs="Arial"/>
                <w:color w:val="000000"/>
              </w:rPr>
            </w:pPr>
            <w:r>
              <w:rPr>
                <w:rFonts w:ascii="Arial" w:hAnsi="Arial" w:cs="Arial"/>
              </w:rPr>
              <w:t>Contrato 384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D0FEE5E" w14:textId="77777777" w:rsidR="00123CD8" w:rsidRDefault="00123CD8">
            <w:pPr>
              <w:jc w:val="center"/>
              <w:rPr>
                <w:rFonts w:ascii="Arial" w:hAnsi="Arial" w:cs="Arial"/>
                <w:color w:val="000000"/>
              </w:rPr>
            </w:pPr>
            <w:r>
              <w:rPr>
                <w:rFonts w:ascii="Arial" w:hAnsi="Arial" w:cs="Arial"/>
              </w:rPr>
              <w:t>$ 40</w:t>
            </w:r>
          </w:p>
        </w:tc>
      </w:tr>
      <w:tr w:rsidR="00123CD8" w14:paraId="33ED922B"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A9921FA" w14:textId="77777777" w:rsidR="00123CD8" w:rsidRDefault="00123CD8">
            <w:pPr>
              <w:rPr>
                <w:rFonts w:ascii="Arial" w:hAnsi="Arial" w:cs="Arial"/>
                <w:color w:val="000000"/>
              </w:rPr>
            </w:pPr>
            <w:r>
              <w:rPr>
                <w:rFonts w:ascii="Arial" w:hAnsi="Arial" w:cs="Arial"/>
              </w:rPr>
              <w:t>Contrato 434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B9548D" w14:textId="77777777" w:rsidR="00123CD8" w:rsidRDefault="00123CD8">
            <w:pPr>
              <w:jc w:val="center"/>
              <w:rPr>
                <w:rFonts w:ascii="Arial" w:hAnsi="Arial" w:cs="Arial"/>
                <w:color w:val="000000"/>
              </w:rPr>
            </w:pPr>
            <w:r>
              <w:rPr>
                <w:rFonts w:ascii="Arial" w:hAnsi="Arial" w:cs="Arial"/>
              </w:rPr>
              <w:t>$ 40</w:t>
            </w:r>
          </w:p>
        </w:tc>
      </w:tr>
      <w:tr w:rsidR="00123CD8" w14:paraId="28491A9F"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C0D5982" w14:textId="77777777" w:rsidR="00123CD8" w:rsidRDefault="00123CD8">
            <w:pPr>
              <w:rPr>
                <w:rFonts w:ascii="Arial" w:hAnsi="Arial" w:cs="Arial"/>
                <w:color w:val="000000"/>
              </w:rPr>
            </w:pPr>
            <w:r>
              <w:rPr>
                <w:rFonts w:ascii="Arial" w:hAnsi="Arial" w:cs="Arial"/>
              </w:rPr>
              <w:t>Contrato 460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F9A8E" w14:textId="77777777" w:rsidR="00123CD8" w:rsidRDefault="00123CD8">
            <w:pPr>
              <w:jc w:val="center"/>
              <w:rPr>
                <w:rFonts w:ascii="Arial" w:hAnsi="Arial" w:cs="Arial"/>
                <w:color w:val="000000"/>
              </w:rPr>
            </w:pPr>
            <w:r>
              <w:rPr>
                <w:rFonts w:ascii="Arial" w:hAnsi="Arial" w:cs="Arial"/>
              </w:rPr>
              <w:t>$ 40</w:t>
            </w:r>
          </w:p>
        </w:tc>
      </w:tr>
      <w:tr w:rsidR="00123CD8" w14:paraId="123CD833"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178F01DB" w14:textId="77777777" w:rsidR="00123CD8" w:rsidRDefault="00123CD8">
            <w:pPr>
              <w:rPr>
                <w:rFonts w:ascii="Arial" w:hAnsi="Arial" w:cs="Arial"/>
                <w:color w:val="000000"/>
              </w:rPr>
            </w:pPr>
            <w:r>
              <w:rPr>
                <w:rFonts w:ascii="Arial" w:hAnsi="Arial" w:cs="Arial"/>
              </w:rPr>
              <w:t>Contrato 299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46FBF5" w14:textId="77777777" w:rsidR="00123CD8" w:rsidRDefault="00123CD8">
            <w:pPr>
              <w:jc w:val="center"/>
              <w:rPr>
                <w:rFonts w:ascii="Arial" w:hAnsi="Arial" w:cs="Arial"/>
                <w:color w:val="000000"/>
              </w:rPr>
            </w:pPr>
            <w:r>
              <w:rPr>
                <w:rFonts w:ascii="Arial" w:hAnsi="Arial" w:cs="Arial"/>
              </w:rPr>
              <w:t>$ 45</w:t>
            </w:r>
          </w:p>
        </w:tc>
      </w:tr>
      <w:tr w:rsidR="00123CD8" w14:paraId="16278CB9"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433EC91C" w14:textId="77777777" w:rsidR="00123CD8" w:rsidRDefault="00123CD8">
            <w:pPr>
              <w:rPr>
                <w:rFonts w:ascii="Arial" w:hAnsi="Arial" w:cs="Arial"/>
                <w:color w:val="000000"/>
              </w:rPr>
            </w:pPr>
            <w:r>
              <w:rPr>
                <w:rFonts w:ascii="Arial" w:hAnsi="Arial" w:cs="Arial"/>
              </w:rPr>
              <w:t>Contrato 297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B613EF" w14:textId="77777777" w:rsidR="00123CD8" w:rsidRDefault="00123CD8">
            <w:pPr>
              <w:jc w:val="center"/>
              <w:rPr>
                <w:rFonts w:ascii="Arial" w:hAnsi="Arial" w:cs="Arial"/>
                <w:color w:val="000000"/>
              </w:rPr>
            </w:pPr>
            <w:r>
              <w:rPr>
                <w:rFonts w:ascii="Arial" w:hAnsi="Arial" w:cs="Arial"/>
              </w:rPr>
              <w:t>$ 45</w:t>
            </w:r>
          </w:p>
        </w:tc>
      </w:tr>
      <w:tr w:rsidR="00123CD8" w14:paraId="5C313689"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064E40F8" w14:textId="77777777" w:rsidR="00123CD8" w:rsidRDefault="00123CD8">
            <w:pPr>
              <w:rPr>
                <w:rFonts w:ascii="Arial" w:hAnsi="Arial" w:cs="Arial"/>
                <w:color w:val="000000"/>
              </w:rPr>
            </w:pPr>
            <w:r>
              <w:rPr>
                <w:rFonts w:ascii="Arial" w:hAnsi="Arial" w:cs="Arial"/>
              </w:rPr>
              <w:t>Contrato 317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1F2092" w14:textId="77777777" w:rsidR="00123CD8" w:rsidRDefault="00123CD8">
            <w:pPr>
              <w:jc w:val="center"/>
              <w:rPr>
                <w:rFonts w:ascii="Arial" w:hAnsi="Arial" w:cs="Arial"/>
                <w:color w:val="000000"/>
              </w:rPr>
            </w:pPr>
            <w:r>
              <w:rPr>
                <w:rFonts w:ascii="Arial" w:hAnsi="Arial" w:cs="Arial"/>
              </w:rPr>
              <w:t>$ 45</w:t>
            </w:r>
          </w:p>
        </w:tc>
      </w:tr>
      <w:tr w:rsidR="00123CD8" w14:paraId="69754FF3"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7061A22" w14:textId="77777777" w:rsidR="00123CD8" w:rsidRDefault="00123CD8">
            <w:pPr>
              <w:rPr>
                <w:rFonts w:ascii="Arial" w:hAnsi="Arial" w:cs="Arial"/>
                <w:color w:val="000000"/>
              </w:rPr>
            </w:pPr>
            <w:r>
              <w:rPr>
                <w:rFonts w:ascii="Arial" w:hAnsi="Arial" w:cs="Arial"/>
              </w:rPr>
              <w:lastRenderedPageBreak/>
              <w:t>Contrato 318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257E90" w14:textId="77777777" w:rsidR="00123CD8" w:rsidRDefault="00123CD8">
            <w:pPr>
              <w:jc w:val="center"/>
              <w:rPr>
                <w:rFonts w:ascii="Arial" w:hAnsi="Arial" w:cs="Arial"/>
                <w:color w:val="000000"/>
              </w:rPr>
            </w:pPr>
            <w:r>
              <w:rPr>
                <w:rFonts w:ascii="Arial" w:hAnsi="Arial" w:cs="Arial"/>
              </w:rPr>
              <w:t>$ 45</w:t>
            </w:r>
          </w:p>
        </w:tc>
      </w:tr>
      <w:tr w:rsidR="00123CD8" w14:paraId="0DF2F397" w14:textId="77777777" w:rsidTr="00123CD8">
        <w:trPr>
          <w:trHeight w:val="271"/>
          <w:jc w:val="center"/>
        </w:trPr>
        <w:tc>
          <w:tcPr>
            <w:tcW w:w="274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488FDDC" w14:textId="77777777" w:rsidR="00123CD8" w:rsidRDefault="00123CD8">
            <w:pPr>
              <w:rPr>
                <w:rFonts w:ascii="Arial" w:hAnsi="Arial" w:cs="Arial"/>
                <w:color w:val="000000"/>
              </w:rPr>
            </w:pPr>
            <w:r>
              <w:rPr>
                <w:rFonts w:ascii="Arial" w:hAnsi="Arial" w:cs="Arial"/>
              </w:rPr>
              <w:t>Contrato 300 de 2018</w:t>
            </w:r>
          </w:p>
        </w:tc>
        <w:tc>
          <w:tcPr>
            <w:tcW w:w="22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7FBFEF" w14:textId="77777777" w:rsidR="00123CD8" w:rsidRDefault="00123CD8">
            <w:pPr>
              <w:jc w:val="center"/>
              <w:rPr>
                <w:rFonts w:ascii="Arial" w:hAnsi="Arial" w:cs="Arial"/>
                <w:color w:val="000000"/>
              </w:rPr>
            </w:pPr>
            <w:r>
              <w:rPr>
                <w:rFonts w:ascii="Arial" w:hAnsi="Arial" w:cs="Arial"/>
              </w:rPr>
              <w:t>$ 35</w:t>
            </w:r>
          </w:p>
        </w:tc>
      </w:tr>
    </w:tbl>
    <w:p w14:paraId="4ECAFC3B" w14:textId="1BEA8EC2" w:rsidR="00C02282" w:rsidRDefault="00123CD8" w:rsidP="00C02282">
      <w:pPr>
        <w:jc w:val="center"/>
        <w:rPr>
          <w:rFonts w:ascii="Arial" w:hAnsi="Arial" w:cs="Arial"/>
          <w:sz w:val="16"/>
          <w:szCs w:val="16"/>
          <w:lang w:val="es-ES" w:eastAsia="es-ES"/>
        </w:rPr>
      </w:pPr>
      <w:r w:rsidRPr="00123CD8">
        <w:rPr>
          <w:rFonts w:ascii="Arial" w:hAnsi="Arial" w:cs="Arial"/>
          <w:sz w:val="16"/>
          <w:szCs w:val="16"/>
          <w:lang w:val="es-ES" w:eastAsia="es-ES"/>
        </w:rPr>
        <w:t xml:space="preserve"> </w:t>
      </w:r>
      <w:r w:rsidR="00C02282" w:rsidRPr="00123CD8">
        <w:rPr>
          <w:rFonts w:ascii="Arial" w:hAnsi="Arial" w:cs="Arial"/>
          <w:sz w:val="16"/>
          <w:szCs w:val="16"/>
          <w:lang w:val="es-ES" w:eastAsia="es-ES"/>
        </w:rPr>
        <w:t>Fuente OTI</w:t>
      </w:r>
    </w:p>
    <w:p w14:paraId="1073641F" w14:textId="4B7C22E8" w:rsidR="00CC62DC" w:rsidRDefault="00CC62DC" w:rsidP="00C02282">
      <w:pPr>
        <w:jc w:val="center"/>
        <w:rPr>
          <w:rFonts w:ascii="Arial" w:hAnsi="Arial" w:cs="Arial"/>
          <w:sz w:val="16"/>
          <w:szCs w:val="16"/>
          <w:lang w:val="es-ES" w:eastAsia="es-ES"/>
        </w:rPr>
      </w:pPr>
    </w:p>
    <w:p w14:paraId="7453FC04" w14:textId="446578E8" w:rsidR="00CC62DC" w:rsidRDefault="00CC62DC" w:rsidP="00C02282">
      <w:pPr>
        <w:jc w:val="center"/>
        <w:rPr>
          <w:rFonts w:ascii="Arial" w:hAnsi="Arial" w:cs="Arial"/>
          <w:sz w:val="16"/>
          <w:szCs w:val="16"/>
          <w:lang w:val="es-ES" w:eastAsia="es-ES"/>
        </w:rPr>
      </w:pPr>
    </w:p>
    <w:p w14:paraId="03DC3F57" w14:textId="77777777" w:rsidR="00CC62DC" w:rsidRPr="00123CD8" w:rsidRDefault="00CC62DC" w:rsidP="00C02282">
      <w:pPr>
        <w:jc w:val="center"/>
        <w:rPr>
          <w:rFonts w:ascii="Arial" w:hAnsi="Arial" w:cs="Arial"/>
          <w:sz w:val="16"/>
          <w:szCs w:val="16"/>
          <w:lang w:val="es-ES" w:eastAsia="es-ES"/>
        </w:rPr>
      </w:pPr>
    </w:p>
    <w:p w14:paraId="667F858D" w14:textId="2A2A8442" w:rsidR="00C02282" w:rsidRPr="00123CD8" w:rsidRDefault="00C02282" w:rsidP="00C02282">
      <w:pPr>
        <w:pStyle w:val="Descripcin"/>
        <w:keepNext/>
        <w:jc w:val="center"/>
      </w:pPr>
      <w:bookmarkStart w:id="144" w:name="_Toc525652514"/>
      <w:r w:rsidRPr="00123CD8">
        <w:t xml:space="preserve">Tabla </w:t>
      </w:r>
      <w:r w:rsidRPr="00123CD8">
        <w:fldChar w:fldCharType="begin"/>
      </w:r>
      <w:r w:rsidRPr="00123CD8">
        <w:instrText xml:space="preserve"> SEQ Tabla \* ARABIC </w:instrText>
      </w:r>
      <w:r w:rsidRPr="00123CD8">
        <w:fldChar w:fldCharType="separate"/>
      </w:r>
      <w:r w:rsidR="008B4625">
        <w:rPr>
          <w:noProof/>
        </w:rPr>
        <w:t>69</w:t>
      </w:r>
      <w:r w:rsidRPr="00123CD8">
        <w:fldChar w:fldCharType="end"/>
      </w:r>
      <w:r w:rsidR="00123CD8">
        <w:t xml:space="preserve"> </w:t>
      </w:r>
      <w:r w:rsidRPr="00123CD8">
        <w:t>Ejecución Gastos de Comercialización y Producción – Oficina Tecnologías de la Información 3</w:t>
      </w:r>
      <w:r w:rsidR="00123CD8" w:rsidRPr="00123CD8">
        <w:t xml:space="preserve">0 de junio de </w:t>
      </w:r>
      <w:r w:rsidRPr="00123CD8">
        <w:t xml:space="preserve"> 2018 ANH</w:t>
      </w:r>
      <w:bookmarkEnd w:id="144"/>
    </w:p>
    <w:tbl>
      <w:tblPr>
        <w:tblW w:w="9351" w:type="dxa"/>
        <w:jc w:val="center"/>
        <w:tblCellMar>
          <w:left w:w="70" w:type="dxa"/>
          <w:right w:w="70" w:type="dxa"/>
        </w:tblCellMar>
        <w:tblLook w:val="04A0" w:firstRow="1" w:lastRow="0" w:firstColumn="1" w:lastColumn="0" w:noHBand="0" w:noVBand="1"/>
      </w:tblPr>
      <w:tblGrid>
        <w:gridCol w:w="2122"/>
        <w:gridCol w:w="1562"/>
        <w:gridCol w:w="1565"/>
        <w:gridCol w:w="1560"/>
        <w:gridCol w:w="1417"/>
        <w:gridCol w:w="1125"/>
      </w:tblGrid>
      <w:tr w:rsidR="00123CD8" w:rsidRPr="00123CD8" w14:paraId="4D5A22DD" w14:textId="77777777" w:rsidTr="00123CD8">
        <w:trPr>
          <w:trHeight w:val="600"/>
          <w:jc w:val="center"/>
        </w:trPr>
        <w:tc>
          <w:tcPr>
            <w:tcW w:w="2122"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bookmarkEnd w:id="140"/>
          <w:p w14:paraId="0ECE6802"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Descripción</w:t>
            </w:r>
          </w:p>
        </w:tc>
        <w:tc>
          <w:tcPr>
            <w:tcW w:w="156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F78C73B"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Apropiación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77FE63E"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Disponibilidad</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0B0C121"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Compromisos</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7EDB1FC"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Obligaciones</w:t>
            </w:r>
          </w:p>
        </w:tc>
        <w:tc>
          <w:tcPr>
            <w:tcW w:w="112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4D1BD5C"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Pagos</w:t>
            </w:r>
          </w:p>
        </w:tc>
      </w:tr>
      <w:tr w:rsidR="00123CD8" w:rsidRPr="00123CD8" w14:paraId="513F8957" w14:textId="77777777" w:rsidTr="00123CD8">
        <w:trPr>
          <w:trHeight w:val="300"/>
          <w:jc w:val="center"/>
        </w:trPr>
        <w:tc>
          <w:tcPr>
            <w:tcW w:w="2122" w:type="dxa"/>
            <w:tcBorders>
              <w:top w:val="nil"/>
              <w:left w:val="single" w:sz="4" w:space="0" w:color="auto"/>
              <w:bottom w:val="nil"/>
              <w:right w:val="single" w:sz="4" w:space="0" w:color="auto"/>
            </w:tcBorders>
            <w:noWrap/>
            <w:vAlign w:val="bottom"/>
            <w:hideMark/>
          </w:tcPr>
          <w:p w14:paraId="15F84F78" w14:textId="77777777" w:rsidR="00123CD8" w:rsidRPr="00123CD8" w:rsidRDefault="00123CD8">
            <w:pPr>
              <w:rPr>
                <w:rFonts w:ascii="Arial" w:hAnsi="Arial" w:cs="Arial"/>
                <w:b/>
                <w:bCs/>
                <w:color w:val="000000"/>
                <w:sz w:val="16"/>
                <w:szCs w:val="16"/>
              </w:rPr>
            </w:pPr>
            <w:r w:rsidRPr="00123CD8">
              <w:rPr>
                <w:rFonts w:ascii="Arial" w:hAnsi="Arial" w:cs="Arial"/>
                <w:b/>
                <w:bCs/>
                <w:sz w:val="16"/>
                <w:szCs w:val="16"/>
              </w:rPr>
              <w:t>Gastos de Comercialización</w:t>
            </w:r>
          </w:p>
        </w:tc>
        <w:tc>
          <w:tcPr>
            <w:tcW w:w="1562" w:type="dxa"/>
            <w:tcBorders>
              <w:top w:val="nil"/>
              <w:left w:val="nil"/>
              <w:bottom w:val="nil"/>
              <w:right w:val="single" w:sz="4" w:space="0" w:color="auto"/>
            </w:tcBorders>
            <w:noWrap/>
            <w:vAlign w:val="center"/>
            <w:hideMark/>
          </w:tcPr>
          <w:p w14:paraId="720D5BEC"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$ 17.076</w:t>
            </w:r>
          </w:p>
        </w:tc>
        <w:tc>
          <w:tcPr>
            <w:tcW w:w="1565" w:type="dxa"/>
            <w:tcBorders>
              <w:top w:val="nil"/>
              <w:left w:val="nil"/>
              <w:bottom w:val="nil"/>
              <w:right w:val="single" w:sz="4" w:space="0" w:color="auto"/>
            </w:tcBorders>
            <w:noWrap/>
            <w:vAlign w:val="center"/>
            <w:hideMark/>
          </w:tcPr>
          <w:p w14:paraId="058C68D2"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$ 16.127</w:t>
            </w:r>
          </w:p>
        </w:tc>
        <w:tc>
          <w:tcPr>
            <w:tcW w:w="1560" w:type="dxa"/>
            <w:tcBorders>
              <w:top w:val="nil"/>
              <w:left w:val="nil"/>
              <w:bottom w:val="nil"/>
              <w:right w:val="single" w:sz="4" w:space="0" w:color="auto"/>
            </w:tcBorders>
            <w:noWrap/>
            <w:vAlign w:val="center"/>
            <w:hideMark/>
          </w:tcPr>
          <w:p w14:paraId="769DEBF8"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$ 15.887</w:t>
            </w:r>
          </w:p>
        </w:tc>
        <w:tc>
          <w:tcPr>
            <w:tcW w:w="1417" w:type="dxa"/>
            <w:tcBorders>
              <w:top w:val="nil"/>
              <w:left w:val="nil"/>
              <w:bottom w:val="nil"/>
              <w:right w:val="single" w:sz="4" w:space="0" w:color="auto"/>
            </w:tcBorders>
            <w:noWrap/>
            <w:vAlign w:val="center"/>
            <w:hideMark/>
          </w:tcPr>
          <w:p w14:paraId="23728554"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$ 8.415</w:t>
            </w:r>
          </w:p>
        </w:tc>
        <w:tc>
          <w:tcPr>
            <w:tcW w:w="1125" w:type="dxa"/>
            <w:tcBorders>
              <w:top w:val="nil"/>
              <w:left w:val="nil"/>
              <w:bottom w:val="nil"/>
              <w:right w:val="single" w:sz="4" w:space="0" w:color="auto"/>
            </w:tcBorders>
            <w:noWrap/>
            <w:vAlign w:val="center"/>
            <w:hideMark/>
          </w:tcPr>
          <w:p w14:paraId="7B71A122" w14:textId="77777777" w:rsidR="00123CD8" w:rsidRPr="00123CD8" w:rsidRDefault="00123CD8">
            <w:pPr>
              <w:jc w:val="right"/>
              <w:rPr>
                <w:rFonts w:ascii="Arial" w:hAnsi="Arial" w:cs="Arial"/>
                <w:color w:val="000000"/>
                <w:sz w:val="16"/>
                <w:szCs w:val="16"/>
              </w:rPr>
            </w:pPr>
            <w:r w:rsidRPr="00123CD8">
              <w:rPr>
                <w:rFonts w:ascii="Arial" w:hAnsi="Arial" w:cs="Arial"/>
                <w:sz w:val="16"/>
                <w:szCs w:val="16"/>
              </w:rPr>
              <w:t>$ 8.397</w:t>
            </w:r>
          </w:p>
        </w:tc>
      </w:tr>
      <w:tr w:rsidR="00123CD8" w:rsidRPr="00123CD8" w14:paraId="5D532996" w14:textId="77777777" w:rsidTr="00123CD8">
        <w:trPr>
          <w:trHeight w:val="300"/>
          <w:jc w:val="center"/>
        </w:trPr>
        <w:tc>
          <w:tcPr>
            <w:tcW w:w="2122" w:type="dxa"/>
            <w:tcBorders>
              <w:top w:val="single" w:sz="4" w:space="0" w:color="auto"/>
              <w:left w:val="nil"/>
              <w:bottom w:val="nil"/>
              <w:right w:val="nil"/>
            </w:tcBorders>
            <w:noWrap/>
            <w:vAlign w:val="bottom"/>
            <w:hideMark/>
          </w:tcPr>
          <w:p w14:paraId="0D84AF57" w14:textId="77777777" w:rsidR="00123CD8" w:rsidRPr="00123CD8" w:rsidRDefault="00123CD8">
            <w:pPr>
              <w:rPr>
                <w:rFonts w:ascii="Calibri" w:hAnsi="Calibri" w:cs="Times New Roman"/>
                <w:color w:val="000000"/>
                <w:sz w:val="19"/>
                <w:szCs w:val="19"/>
              </w:rPr>
            </w:pPr>
          </w:p>
        </w:tc>
        <w:tc>
          <w:tcPr>
            <w:tcW w:w="1562" w:type="dxa"/>
            <w:tcBorders>
              <w:top w:val="single" w:sz="4" w:space="0" w:color="auto"/>
              <w:left w:val="nil"/>
              <w:bottom w:val="nil"/>
              <w:right w:val="nil"/>
            </w:tcBorders>
            <w:noWrap/>
            <w:vAlign w:val="bottom"/>
            <w:hideMark/>
          </w:tcPr>
          <w:p w14:paraId="36476330" w14:textId="77777777" w:rsidR="00123CD8" w:rsidRPr="00123CD8" w:rsidRDefault="00123CD8">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6BB50652" w14:textId="77777777" w:rsidR="00123CD8" w:rsidRPr="00123CD8" w:rsidRDefault="00123CD8">
            <w:pPr>
              <w:rPr>
                <w:rFonts w:ascii="Calibri" w:hAnsi="Calibri" w:cs="Times New Roman"/>
                <w:color w:val="000000"/>
                <w:sz w:val="19"/>
                <w:szCs w:val="19"/>
              </w:rPr>
            </w:pPr>
          </w:p>
        </w:tc>
        <w:tc>
          <w:tcPr>
            <w:tcW w:w="1560" w:type="dxa"/>
            <w:tcBorders>
              <w:top w:val="single" w:sz="4" w:space="0" w:color="auto"/>
              <w:left w:val="nil"/>
              <w:bottom w:val="nil"/>
              <w:right w:val="nil"/>
            </w:tcBorders>
            <w:noWrap/>
            <w:vAlign w:val="bottom"/>
            <w:hideMark/>
          </w:tcPr>
          <w:p w14:paraId="1AC0687C" w14:textId="77777777" w:rsidR="00123CD8" w:rsidRPr="00123CD8" w:rsidRDefault="00123CD8">
            <w:pPr>
              <w:rPr>
                <w:rFonts w:ascii="Calibri" w:hAnsi="Calibri" w:cs="Times New Roman"/>
                <w:color w:val="000000"/>
                <w:sz w:val="19"/>
                <w:szCs w:val="19"/>
              </w:rPr>
            </w:pPr>
          </w:p>
        </w:tc>
        <w:tc>
          <w:tcPr>
            <w:tcW w:w="1417" w:type="dxa"/>
            <w:tcBorders>
              <w:top w:val="single" w:sz="4" w:space="0" w:color="auto"/>
              <w:left w:val="nil"/>
              <w:bottom w:val="nil"/>
              <w:right w:val="nil"/>
            </w:tcBorders>
            <w:noWrap/>
            <w:vAlign w:val="bottom"/>
            <w:hideMark/>
          </w:tcPr>
          <w:p w14:paraId="627517B7" w14:textId="77777777" w:rsidR="00123CD8" w:rsidRPr="00123CD8" w:rsidRDefault="00123CD8">
            <w:pPr>
              <w:rPr>
                <w:rFonts w:ascii="Calibri" w:hAnsi="Calibri" w:cs="Times New Roman"/>
                <w:color w:val="000000"/>
                <w:sz w:val="19"/>
                <w:szCs w:val="19"/>
              </w:rPr>
            </w:pPr>
          </w:p>
        </w:tc>
        <w:tc>
          <w:tcPr>
            <w:tcW w:w="1125" w:type="dxa"/>
            <w:tcBorders>
              <w:top w:val="single" w:sz="4" w:space="0" w:color="auto"/>
              <w:left w:val="nil"/>
              <w:bottom w:val="nil"/>
              <w:right w:val="nil"/>
            </w:tcBorders>
            <w:noWrap/>
            <w:vAlign w:val="bottom"/>
            <w:hideMark/>
          </w:tcPr>
          <w:p w14:paraId="411BA9F0" w14:textId="77777777" w:rsidR="00123CD8" w:rsidRPr="00123CD8" w:rsidRDefault="00123CD8">
            <w:pPr>
              <w:rPr>
                <w:rFonts w:ascii="Calibri" w:hAnsi="Calibri" w:cs="Times New Roman"/>
                <w:color w:val="000000"/>
                <w:sz w:val="19"/>
                <w:szCs w:val="19"/>
              </w:rPr>
            </w:pPr>
          </w:p>
        </w:tc>
      </w:tr>
      <w:tr w:rsidR="00123CD8" w:rsidRPr="00123CD8" w14:paraId="3B07654A" w14:textId="77777777" w:rsidTr="00123CD8">
        <w:trPr>
          <w:trHeight w:val="300"/>
          <w:jc w:val="center"/>
        </w:trPr>
        <w:tc>
          <w:tcPr>
            <w:tcW w:w="3684"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A6F51AE" w14:textId="77777777" w:rsidR="00123CD8" w:rsidRPr="00123CD8" w:rsidRDefault="00123CD8">
            <w:pPr>
              <w:jc w:val="center"/>
              <w:rPr>
                <w:rFonts w:ascii="Arial" w:hAnsi="Arial" w:cs="Arial"/>
                <w:b/>
                <w:bCs/>
                <w:color w:val="000000"/>
                <w:sz w:val="16"/>
                <w:szCs w:val="16"/>
              </w:rPr>
            </w:pPr>
            <w:r w:rsidRPr="00123CD8">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B9D7984"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94%</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34BC013"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93%</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C149428"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49%</w:t>
            </w:r>
          </w:p>
        </w:tc>
        <w:tc>
          <w:tcPr>
            <w:tcW w:w="112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C84BB03" w14:textId="77777777" w:rsidR="00123CD8" w:rsidRPr="00123CD8" w:rsidRDefault="00123CD8">
            <w:pPr>
              <w:jc w:val="right"/>
              <w:rPr>
                <w:rFonts w:ascii="Arial" w:hAnsi="Arial" w:cs="Arial"/>
                <w:b/>
                <w:bCs/>
                <w:color w:val="000000"/>
                <w:sz w:val="16"/>
                <w:szCs w:val="16"/>
              </w:rPr>
            </w:pPr>
            <w:r w:rsidRPr="00123CD8">
              <w:rPr>
                <w:rFonts w:ascii="Arial" w:hAnsi="Arial" w:cs="Arial"/>
                <w:b/>
                <w:bCs/>
                <w:sz w:val="16"/>
                <w:szCs w:val="16"/>
              </w:rPr>
              <w:t>49%</w:t>
            </w:r>
          </w:p>
        </w:tc>
      </w:tr>
    </w:tbl>
    <w:p w14:paraId="168D47A1" w14:textId="25C5A3D2" w:rsidR="00C02282" w:rsidRPr="00123CD8" w:rsidRDefault="00123CD8" w:rsidP="00C02282">
      <w:pPr>
        <w:spacing w:after="0" w:line="240" w:lineRule="auto"/>
        <w:jc w:val="center"/>
        <w:rPr>
          <w:rFonts w:ascii="Arial" w:eastAsia="Calibri" w:hAnsi="Arial" w:cs="Arial"/>
          <w:sz w:val="16"/>
          <w:szCs w:val="16"/>
        </w:rPr>
      </w:pPr>
      <w:r w:rsidRPr="00123CD8">
        <w:rPr>
          <w:rFonts w:ascii="Arial" w:hAnsi="Arial" w:cs="Arial"/>
          <w:sz w:val="16"/>
          <w:szCs w:val="16"/>
          <w:lang w:eastAsia="es-ES"/>
        </w:rPr>
        <w:t xml:space="preserve"> </w:t>
      </w:r>
      <w:r w:rsidR="00C02282" w:rsidRPr="00123CD8">
        <w:rPr>
          <w:rFonts w:ascii="Arial" w:hAnsi="Arial" w:cs="Arial"/>
          <w:sz w:val="16"/>
          <w:szCs w:val="16"/>
          <w:lang w:eastAsia="es-ES"/>
        </w:rPr>
        <w:t>Millones de pesos</w:t>
      </w:r>
    </w:p>
    <w:p w14:paraId="4501A94E" w14:textId="77777777" w:rsidR="00C02282" w:rsidRPr="00123CD8" w:rsidRDefault="00C02282" w:rsidP="00C02282">
      <w:pPr>
        <w:jc w:val="center"/>
        <w:rPr>
          <w:rFonts w:ascii="Arial" w:hAnsi="Arial" w:cs="Arial"/>
          <w:bCs/>
          <w:lang w:val="es-MX" w:eastAsia="es-ES"/>
        </w:rPr>
      </w:pPr>
      <w:r w:rsidRPr="00123CD8">
        <w:rPr>
          <w:rFonts w:ascii="Calibri" w:hAnsi="Calibri" w:cs="Calibri"/>
          <w:sz w:val="18"/>
          <w:szCs w:val="18"/>
        </w:rPr>
        <w:t>Fuente SIIF</w:t>
      </w:r>
    </w:p>
    <w:p w14:paraId="6BC8E98E" w14:textId="77777777" w:rsidR="00C02282" w:rsidRDefault="00C02282" w:rsidP="00C02282">
      <w:pPr>
        <w:rPr>
          <w:rFonts w:ascii="Arial" w:hAnsi="Arial" w:cs="Arial"/>
          <w:b/>
          <w:highlight w:val="yellow"/>
          <w:lang w:val="es-MX" w:eastAsia="es-ES"/>
        </w:rPr>
      </w:pPr>
    </w:p>
    <w:p w14:paraId="15B4CCB9" w14:textId="77777777" w:rsidR="00C02282" w:rsidRPr="00123CD8" w:rsidRDefault="00C02282" w:rsidP="00C02282">
      <w:pPr>
        <w:rPr>
          <w:rFonts w:ascii="Arial" w:hAnsi="Arial" w:cs="Arial"/>
          <w:b/>
          <w:lang w:val="es-MX" w:eastAsia="es-ES"/>
        </w:rPr>
      </w:pPr>
      <w:r w:rsidRPr="00123CD8">
        <w:rPr>
          <w:rFonts w:ascii="Arial" w:hAnsi="Arial" w:cs="Arial"/>
          <w:b/>
          <w:lang w:val="es-MX" w:eastAsia="es-ES"/>
        </w:rPr>
        <w:t>Oficina de Control Interno:</w:t>
      </w:r>
    </w:p>
    <w:p w14:paraId="52618152" w14:textId="77777777" w:rsidR="00123CD8" w:rsidRDefault="00123CD8" w:rsidP="00123CD8">
      <w:pPr>
        <w:jc w:val="both"/>
        <w:rPr>
          <w:rFonts w:ascii="Arial" w:eastAsia="Calibri" w:hAnsi="Arial" w:cs="Arial"/>
        </w:rPr>
      </w:pPr>
      <w:r>
        <w:rPr>
          <w:rFonts w:ascii="Arial" w:eastAsia="Calibri" w:hAnsi="Arial" w:cs="Arial"/>
        </w:rPr>
        <w:t>Para el cumplimiento de las funciones señaladas en el Decreto 714 de 2012, Artículo 11, la Oficina de Control Interno diseña un Programa de Auditoría cada vigencia, el cual es aprobado en Comité Estratégico, que en la ANH hace las veces de Comité de Control Interno. Este Programa se compone de distintas actividades que permiten el logro de resultados para las cinco estrategias de gestión de la Oficina de Control Interno de la ANH, a saber: evaluación y seguimiento, fomento de la cultura de autocontrol, orientación técnica, relaciones con entes externos y valoración de riesgos.</w:t>
      </w:r>
    </w:p>
    <w:p w14:paraId="16CE42FA" w14:textId="77777777" w:rsidR="00123CD8" w:rsidRDefault="00123CD8" w:rsidP="00123CD8">
      <w:pPr>
        <w:autoSpaceDE w:val="0"/>
        <w:autoSpaceDN w:val="0"/>
        <w:jc w:val="both"/>
        <w:rPr>
          <w:rFonts w:ascii="Arial" w:eastAsia="Calibri" w:hAnsi="Arial" w:cs="Arial"/>
        </w:rPr>
      </w:pPr>
      <w:r>
        <w:rPr>
          <w:rFonts w:ascii="Arial" w:eastAsia="Calibri" w:hAnsi="Arial" w:cs="Arial"/>
        </w:rPr>
        <w:t xml:space="preserve">Por lo anterior se realizó la contratación de una persona natural que aportaran en el cumplimiento integral de las funciones de la Oficina de Control Interno por valor de $ 133 millones bajo el contrato No. 035 de 2018 y se justificó la fuente presupuestal por funcionamiento – gastos de comercialización, del rubro A512106- Honorarios, en razón a que el propósito central de las contrataciones es apoyar en el componente técnico como ingeniero de petróleos para la integral ejecución del Programa de Auditoría 2018.. </w:t>
      </w:r>
    </w:p>
    <w:p w14:paraId="00F323E4" w14:textId="125F341B" w:rsidR="00C02282" w:rsidRPr="00123CD8" w:rsidRDefault="00C02282" w:rsidP="00C02282">
      <w:pPr>
        <w:pStyle w:val="Descripcin"/>
        <w:keepNext/>
        <w:jc w:val="center"/>
      </w:pPr>
      <w:bookmarkStart w:id="145" w:name="_Toc525652515"/>
      <w:r w:rsidRPr="00123CD8">
        <w:lastRenderedPageBreak/>
        <w:t xml:space="preserve">Tabla </w:t>
      </w:r>
      <w:r w:rsidRPr="00123CD8">
        <w:fldChar w:fldCharType="begin"/>
      </w:r>
      <w:r w:rsidRPr="00123CD8">
        <w:instrText xml:space="preserve"> SEQ Tabla \* ARABIC </w:instrText>
      </w:r>
      <w:r w:rsidRPr="00123CD8">
        <w:fldChar w:fldCharType="separate"/>
      </w:r>
      <w:r w:rsidR="008B4625">
        <w:rPr>
          <w:noProof/>
        </w:rPr>
        <w:t>70</w:t>
      </w:r>
      <w:r w:rsidRPr="00123CD8">
        <w:fldChar w:fldCharType="end"/>
      </w:r>
      <w:r w:rsidRPr="00123CD8">
        <w:t xml:space="preserve"> Ejecución Gastos de Comercialización y Producción – Oficina Control Interno 3</w:t>
      </w:r>
      <w:r w:rsidR="00123CD8" w:rsidRPr="00123CD8">
        <w:t xml:space="preserve">0 de junio de </w:t>
      </w:r>
      <w:r w:rsidRPr="00123CD8">
        <w:t xml:space="preserve"> 2018 ANH</w:t>
      </w:r>
      <w:bookmarkEnd w:id="145"/>
    </w:p>
    <w:tbl>
      <w:tblPr>
        <w:tblW w:w="9562" w:type="dxa"/>
        <w:jc w:val="center"/>
        <w:tblCellMar>
          <w:left w:w="70" w:type="dxa"/>
          <w:right w:w="70" w:type="dxa"/>
        </w:tblCellMar>
        <w:tblLook w:val="04A0" w:firstRow="1" w:lastRow="0" w:firstColumn="1" w:lastColumn="0" w:noHBand="0" w:noVBand="1"/>
      </w:tblPr>
      <w:tblGrid>
        <w:gridCol w:w="2112"/>
        <w:gridCol w:w="1555"/>
        <w:gridCol w:w="1648"/>
        <w:gridCol w:w="1612"/>
        <w:gridCol w:w="1515"/>
        <w:gridCol w:w="1120"/>
      </w:tblGrid>
      <w:tr w:rsidR="00485284" w14:paraId="360AD2AE" w14:textId="77777777" w:rsidTr="00485284">
        <w:trPr>
          <w:trHeight w:val="600"/>
          <w:jc w:val="center"/>
        </w:trPr>
        <w:tc>
          <w:tcPr>
            <w:tcW w:w="2112"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05ED7809" w14:textId="77777777" w:rsidR="00485284" w:rsidRDefault="00485284">
            <w:pPr>
              <w:jc w:val="center"/>
              <w:rPr>
                <w:rFonts w:ascii="Arial" w:hAnsi="Arial" w:cs="Arial"/>
                <w:b/>
                <w:bCs/>
                <w:color w:val="000000"/>
                <w:sz w:val="16"/>
                <w:szCs w:val="16"/>
              </w:rPr>
            </w:pPr>
            <w:r>
              <w:rPr>
                <w:rFonts w:ascii="Arial" w:hAnsi="Arial" w:cs="Arial"/>
                <w:b/>
                <w:bCs/>
                <w:sz w:val="16"/>
                <w:szCs w:val="16"/>
              </w:rPr>
              <w:t>Descripción</w:t>
            </w:r>
          </w:p>
        </w:tc>
        <w:tc>
          <w:tcPr>
            <w:tcW w:w="155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2229CBB" w14:textId="77777777" w:rsidR="00485284" w:rsidRDefault="00485284">
            <w:pPr>
              <w:jc w:val="center"/>
              <w:rPr>
                <w:rFonts w:ascii="Arial" w:hAnsi="Arial" w:cs="Arial"/>
                <w:b/>
                <w:bCs/>
                <w:color w:val="000000"/>
                <w:sz w:val="16"/>
                <w:szCs w:val="16"/>
              </w:rPr>
            </w:pPr>
            <w:r>
              <w:rPr>
                <w:rFonts w:ascii="Arial" w:hAnsi="Arial" w:cs="Arial"/>
                <w:b/>
                <w:bCs/>
                <w:sz w:val="16"/>
                <w:szCs w:val="16"/>
              </w:rPr>
              <w:t>Apropiación</w:t>
            </w:r>
          </w:p>
        </w:tc>
        <w:tc>
          <w:tcPr>
            <w:tcW w:w="1648"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4E372E6" w14:textId="77777777" w:rsidR="00485284" w:rsidRDefault="00485284">
            <w:pPr>
              <w:jc w:val="center"/>
              <w:rPr>
                <w:rFonts w:ascii="Arial" w:hAnsi="Arial" w:cs="Arial"/>
                <w:b/>
                <w:bCs/>
                <w:color w:val="000000"/>
                <w:sz w:val="16"/>
                <w:szCs w:val="16"/>
              </w:rPr>
            </w:pPr>
            <w:r>
              <w:rPr>
                <w:rFonts w:ascii="Arial" w:hAnsi="Arial" w:cs="Arial"/>
                <w:b/>
                <w:bCs/>
                <w:sz w:val="16"/>
                <w:szCs w:val="16"/>
              </w:rPr>
              <w:t>Disponibilidad</w:t>
            </w:r>
          </w:p>
        </w:tc>
        <w:tc>
          <w:tcPr>
            <w:tcW w:w="161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4BBA78B" w14:textId="77777777" w:rsidR="00485284" w:rsidRDefault="00485284">
            <w:pPr>
              <w:jc w:val="center"/>
              <w:rPr>
                <w:rFonts w:ascii="Arial" w:hAnsi="Arial" w:cs="Arial"/>
                <w:b/>
                <w:bCs/>
                <w:color w:val="000000"/>
                <w:sz w:val="16"/>
                <w:szCs w:val="16"/>
              </w:rPr>
            </w:pPr>
            <w:r>
              <w:rPr>
                <w:rFonts w:ascii="Arial" w:hAnsi="Arial" w:cs="Arial"/>
                <w:b/>
                <w:bCs/>
                <w:sz w:val="16"/>
                <w:szCs w:val="16"/>
              </w:rPr>
              <w:t>Compromisos</w:t>
            </w:r>
          </w:p>
        </w:tc>
        <w:tc>
          <w:tcPr>
            <w:tcW w:w="151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E173CA2" w14:textId="77777777" w:rsidR="00485284" w:rsidRDefault="00485284">
            <w:pPr>
              <w:jc w:val="center"/>
              <w:rPr>
                <w:rFonts w:ascii="Arial" w:hAnsi="Arial" w:cs="Arial"/>
                <w:b/>
                <w:bCs/>
                <w:color w:val="000000"/>
                <w:sz w:val="16"/>
                <w:szCs w:val="16"/>
              </w:rPr>
            </w:pPr>
            <w:r>
              <w:rPr>
                <w:rFonts w:ascii="Arial" w:hAnsi="Arial" w:cs="Arial"/>
                <w:b/>
                <w:bCs/>
                <w:sz w:val="16"/>
                <w:szCs w:val="16"/>
              </w:rPr>
              <w:t>Obligaciones</w:t>
            </w:r>
          </w:p>
        </w:tc>
        <w:tc>
          <w:tcPr>
            <w:tcW w:w="11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C7DED70" w14:textId="77777777" w:rsidR="00485284" w:rsidRDefault="00485284">
            <w:pPr>
              <w:jc w:val="center"/>
              <w:rPr>
                <w:rFonts w:ascii="Arial" w:hAnsi="Arial" w:cs="Arial"/>
                <w:b/>
                <w:bCs/>
                <w:color w:val="000000"/>
                <w:sz w:val="16"/>
                <w:szCs w:val="16"/>
              </w:rPr>
            </w:pPr>
            <w:r>
              <w:rPr>
                <w:rFonts w:ascii="Arial" w:hAnsi="Arial" w:cs="Arial"/>
                <w:b/>
                <w:bCs/>
                <w:sz w:val="16"/>
                <w:szCs w:val="16"/>
              </w:rPr>
              <w:t>Pagos</w:t>
            </w:r>
          </w:p>
        </w:tc>
      </w:tr>
      <w:tr w:rsidR="00485284" w14:paraId="151ED198" w14:textId="77777777" w:rsidTr="00485284">
        <w:trPr>
          <w:trHeight w:val="300"/>
          <w:jc w:val="center"/>
        </w:trPr>
        <w:tc>
          <w:tcPr>
            <w:tcW w:w="2112" w:type="dxa"/>
            <w:tcBorders>
              <w:top w:val="nil"/>
              <w:left w:val="single" w:sz="4" w:space="0" w:color="auto"/>
              <w:bottom w:val="nil"/>
              <w:right w:val="single" w:sz="4" w:space="0" w:color="auto"/>
            </w:tcBorders>
            <w:noWrap/>
            <w:vAlign w:val="bottom"/>
            <w:hideMark/>
          </w:tcPr>
          <w:p w14:paraId="584133C1"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555" w:type="dxa"/>
            <w:tcBorders>
              <w:top w:val="nil"/>
              <w:left w:val="nil"/>
              <w:bottom w:val="nil"/>
              <w:right w:val="single" w:sz="4" w:space="0" w:color="auto"/>
            </w:tcBorders>
            <w:noWrap/>
            <w:vAlign w:val="center"/>
            <w:hideMark/>
          </w:tcPr>
          <w:p w14:paraId="586B4515" w14:textId="77777777" w:rsidR="00485284" w:rsidRDefault="00485284">
            <w:pPr>
              <w:jc w:val="right"/>
              <w:rPr>
                <w:rFonts w:ascii="Arial" w:hAnsi="Arial" w:cs="Arial"/>
                <w:color w:val="000000"/>
                <w:sz w:val="16"/>
                <w:szCs w:val="16"/>
              </w:rPr>
            </w:pPr>
            <w:r>
              <w:rPr>
                <w:rFonts w:ascii="Arial" w:hAnsi="Arial" w:cs="Arial"/>
                <w:sz w:val="16"/>
                <w:szCs w:val="16"/>
              </w:rPr>
              <w:t>$ 133</w:t>
            </w:r>
          </w:p>
        </w:tc>
        <w:tc>
          <w:tcPr>
            <w:tcW w:w="1648" w:type="dxa"/>
            <w:tcBorders>
              <w:top w:val="nil"/>
              <w:left w:val="nil"/>
              <w:bottom w:val="nil"/>
              <w:right w:val="single" w:sz="4" w:space="0" w:color="auto"/>
            </w:tcBorders>
            <w:noWrap/>
            <w:vAlign w:val="center"/>
            <w:hideMark/>
          </w:tcPr>
          <w:p w14:paraId="26462BE5" w14:textId="77777777" w:rsidR="00485284" w:rsidRDefault="00485284">
            <w:pPr>
              <w:jc w:val="right"/>
              <w:rPr>
                <w:rFonts w:ascii="Arial" w:hAnsi="Arial" w:cs="Arial"/>
                <w:color w:val="000000"/>
                <w:sz w:val="16"/>
                <w:szCs w:val="16"/>
              </w:rPr>
            </w:pPr>
            <w:r>
              <w:rPr>
                <w:rFonts w:ascii="Arial" w:hAnsi="Arial" w:cs="Arial"/>
                <w:sz w:val="16"/>
                <w:szCs w:val="16"/>
              </w:rPr>
              <w:t>$ 133</w:t>
            </w:r>
          </w:p>
        </w:tc>
        <w:tc>
          <w:tcPr>
            <w:tcW w:w="1612" w:type="dxa"/>
            <w:tcBorders>
              <w:top w:val="nil"/>
              <w:left w:val="nil"/>
              <w:bottom w:val="nil"/>
              <w:right w:val="single" w:sz="4" w:space="0" w:color="auto"/>
            </w:tcBorders>
            <w:noWrap/>
            <w:vAlign w:val="center"/>
            <w:hideMark/>
          </w:tcPr>
          <w:p w14:paraId="6D0EADEE" w14:textId="77777777" w:rsidR="00485284" w:rsidRDefault="00485284">
            <w:pPr>
              <w:jc w:val="right"/>
              <w:rPr>
                <w:rFonts w:ascii="Arial" w:hAnsi="Arial" w:cs="Arial"/>
                <w:color w:val="000000"/>
                <w:sz w:val="16"/>
                <w:szCs w:val="16"/>
              </w:rPr>
            </w:pPr>
            <w:r>
              <w:rPr>
                <w:rFonts w:ascii="Arial" w:hAnsi="Arial" w:cs="Arial"/>
                <w:sz w:val="16"/>
                <w:szCs w:val="16"/>
              </w:rPr>
              <w:t>$ 133</w:t>
            </w:r>
          </w:p>
        </w:tc>
        <w:tc>
          <w:tcPr>
            <w:tcW w:w="1515" w:type="dxa"/>
            <w:tcBorders>
              <w:top w:val="nil"/>
              <w:left w:val="nil"/>
              <w:bottom w:val="nil"/>
              <w:right w:val="single" w:sz="4" w:space="0" w:color="auto"/>
            </w:tcBorders>
            <w:noWrap/>
            <w:vAlign w:val="center"/>
            <w:hideMark/>
          </w:tcPr>
          <w:p w14:paraId="67337713" w14:textId="77777777" w:rsidR="00485284" w:rsidRDefault="00485284">
            <w:pPr>
              <w:jc w:val="right"/>
              <w:rPr>
                <w:rFonts w:ascii="Arial" w:hAnsi="Arial" w:cs="Arial"/>
                <w:color w:val="000000"/>
                <w:sz w:val="16"/>
                <w:szCs w:val="16"/>
              </w:rPr>
            </w:pPr>
            <w:r>
              <w:rPr>
                <w:rFonts w:ascii="Arial" w:hAnsi="Arial" w:cs="Arial"/>
                <w:sz w:val="16"/>
                <w:szCs w:val="16"/>
              </w:rPr>
              <w:t>$ 51</w:t>
            </w:r>
          </w:p>
        </w:tc>
        <w:tc>
          <w:tcPr>
            <w:tcW w:w="1120" w:type="dxa"/>
            <w:tcBorders>
              <w:top w:val="nil"/>
              <w:left w:val="nil"/>
              <w:bottom w:val="nil"/>
              <w:right w:val="single" w:sz="4" w:space="0" w:color="auto"/>
            </w:tcBorders>
            <w:noWrap/>
            <w:vAlign w:val="center"/>
            <w:hideMark/>
          </w:tcPr>
          <w:p w14:paraId="3C6BF83B" w14:textId="77777777" w:rsidR="00485284" w:rsidRDefault="00485284">
            <w:pPr>
              <w:jc w:val="right"/>
              <w:rPr>
                <w:rFonts w:ascii="Arial" w:hAnsi="Arial" w:cs="Arial"/>
                <w:color w:val="000000"/>
                <w:sz w:val="16"/>
                <w:szCs w:val="16"/>
              </w:rPr>
            </w:pPr>
            <w:r>
              <w:rPr>
                <w:rFonts w:ascii="Arial" w:hAnsi="Arial" w:cs="Arial"/>
                <w:sz w:val="16"/>
                <w:szCs w:val="16"/>
              </w:rPr>
              <w:t>$ 51</w:t>
            </w:r>
          </w:p>
        </w:tc>
      </w:tr>
      <w:tr w:rsidR="00485284" w14:paraId="7DAB94E3" w14:textId="77777777" w:rsidTr="00485284">
        <w:trPr>
          <w:trHeight w:val="300"/>
          <w:jc w:val="center"/>
        </w:trPr>
        <w:tc>
          <w:tcPr>
            <w:tcW w:w="2112" w:type="dxa"/>
            <w:tcBorders>
              <w:top w:val="single" w:sz="4" w:space="0" w:color="auto"/>
              <w:left w:val="nil"/>
              <w:bottom w:val="nil"/>
              <w:right w:val="nil"/>
            </w:tcBorders>
            <w:noWrap/>
            <w:vAlign w:val="bottom"/>
            <w:hideMark/>
          </w:tcPr>
          <w:p w14:paraId="5A5B65BF" w14:textId="77777777" w:rsidR="00485284" w:rsidRDefault="00485284">
            <w:pPr>
              <w:rPr>
                <w:rFonts w:ascii="Calibri" w:hAnsi="Calibri" w:cs="Times New Roman"/>
                <w:color w:val="000000"/>
                <w:sz w:val="19"/>
                <w:szCs w:val="19"/>
              </w:rPr>
            </w:pPr>
          </w:p>
        </w:tc>
        <w:tc>
          <w:tcPr>
            <w:tcW w:w="1555" w:type="dxa"/>
            <w:tcBorders>
              <w:top w:val="single" w:sz="4" w:space="0" w:color="auto"/>
              <w:left w:val="nil"/>
              <w:bottom w:val="nil"/>
              <w:right w:val="nil"/>
            </w:tcBorders>
            <w:noWrap/>
            <w:vAlign w:val="bottom"/>
            <w:hideMark/>
          </w:tcPr>
          <w:p w14:paraId="7F5B2CB2" w14:textId="77777777" w:rsidR="00485284" w:rsidRDefault="00485284">
            <w:pPr>
              <w:rPr>
                <w:rFonts w:ascii="Calibri" w:hAnsi="Calibri" w:cs="Times New Roman"/>
                <w:color w:val="000000"/>
                <w:sz w:val="19"/>
                <w:szCs w:val="19"/>
              </w:rPr>
            </w:pPr>
          </w:p>
        </w:tc>
        <w:tc>
          <w:tcPr>
            <w:tcW w:w="1648" w:type="dxa"/>
            <w:tcBorders>
              <w:top w:val="single" w:sz="4" w:space="0" w:color="auto"/>
              <w:left w:val="nil"/>
              <w:bottom w:val="nil"/>
              <w:right w:val="nil"/>
            </w:tcBorders>
            <w:noWrap/>
            <w:vAlign w:val="bottom"/>
            <w:hideMark/>
          </w:tcPr>
          <w:p w14:paraId="67CEA079" w14:textId="77777777" w:rsidR="00485284" w:rsidRDefault="00485284">
            <w:pPr>
              <w:rPr>
                <w:rFonts w:ascii="Calibri" w:hAnsi="Calibri" w:cs="Times New Roman"/>
                <w:color w:val="000000"/>
                <w:sz w:val="19"/>
                <w:szCs w:val="19"/>
              </w:rPr>
            </w:pPr>
          </w:p>
        </w:tc>
        <w:tc>
          <w:tcPr>
            <w:tcW w:w="1612" w:type="dxa"/>
            <w:tcBorders>
              <w:top w:val="single" w:sz="4" w:space="0" w:color="auto"/>
              <w:left w:val="nil"/>
              <w:bottom w:val="nil"/>
              <w:right w:val="nil"/>
            </w:tcBorders>
            <w:noWrap/>
            <w:vAlign w:val="bottom"/>
            <w:hideMark/>
          </w:tcPr>
          <w:p w14:paraId="7CEF2CE0" w14:textId="77777777" w:rsidR="00485284" w:rsidRDefault="00485284">
            <w:pPr>
              <w:rPr>
                <w:rFonts w:ascii="Calibri" w:hAnsi="Calibri" w:cs="Times New Roman"/>
                <w:color w:val="000000"/>
                <w:sz w:val="19"/>
                <w:szCs w:val="19"/>
              </w:rPr>
            </w:pPr>
          </w:p>
        </w:tc>
        <w:tc>
          <w:tcPr>
            <w:tcW w:w="1515" w:type="dxa"/>
            <w:tcBorders>
              <w:top w:val="single" w:sz="4" w:space="0" w:color="auto"/>
              <w:left w:val="nil"/>
              <w:bottom w:val="nil"/>
              <w:right w:val="nil"/>
            </w:tcBorders>
            <w:noWrap/>
            <w:vAlign w:val="bottom"/>
            <w:hideMark/>
          </w:tcPr>
          <w:p w14:paraId="7E99954B" w14:textId="77777777" w:rsidR="00485284" w:rsidRDefault="00485284">
            <w:pPr>
              <w:rPr>
                <w:rFonts w:ascii="Calibri" w:hAnsi="Calibri" w:cs="Times New Roman"/>
                <w:color w:val="000000"/>
                <w:sz w:val="19"/>
                <w:szCs w:val="19"/>
              </w:rPr>
            </w:pPr>
          </w:p>
        </w:tc>
        <w:tc>
          <w:tcPr>
            <w:tcW w:w="1120" w:type="dxa"/>
            <w:tcBorders>
              <w:top w:val="single" w:sz="4" w:space="0" w:color="auto"/>
              <w:left w:val="nil"/>
              <w:bottom w:val="nil"/>
              <w:right w:val="nil"/>
            </w:tcBorders>
            <w:noWrap/>
            <w:vAlign w:val="bottom"/>
            <w:hideMark/>
          </w:tcPr>
          <w:p w14:paraId="65014B1D" w14:textId="77777777" w:rsidR="00485284" w:rsidRDefault="00485284">
            <w:pPr>
              <w:rPr>
                <w:rFonts w:ascii="Calibri" w:hAnsi="Calibri" w:cs="Times New Roman"/>
                <w:color w:val="000000"/>
                <w:sz w:val="19"/>
                <w:szCs w:val="19"/>
              </w:rPr>
            </w:pPr>
          </w:p>
        </w:tc>
      </w:tr>
      <w:tr w:rsidR="00485284" w14:paraId="08FAE3D6" w14:textId="77777777" w:rsidTr="00485284">
        <w:trPr>
          <w:trHeight w:val="300"/>
          <w:jc w:val="center"/>
        </w:trPr>
        <w:tc>
          <w:tcPr>
            <w:tcW w:w="3667"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3A7BC43F" w14:textId="77777777" w:rsidR="00485284" w:rsidRDefault="00485284">
            <w:pPr>
              <w:jc w:val="center"/>
              <w:rPr>
                <w:rFonts w:ascii="Arial" w:hAnsi="Arial" w:cs="Arial"/>
                <w:b/>
                <w:bCs/>
                <w:color w:val="000000"/>
                <w:sz w:val="16"/>
                <w:szCs w:val="16"/>
              </w:rPr>
            </w:pPr>
            <w:r>
              <w:rPr>
                <w:rFonts w:ascii="Arial" w:hAnsi="Arial" w:cs="Arial"/>
                <w:b/>
                <w:bCs/>
                <w:sz w:val="16"/>
                <w:szCs w:val="16"/>
              </w:rPr>
              <w:t>Porcentaje de ejecución</w:t>
            </w:r>
          </w:p>
        </w:tc>
        <w:tc>
          <w:tcPr>
            <w:tcW w:w="1648"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924816D" w14:textId="77777777" w:rsidR="00485284" w:rsidRDefault="00485284">
            <w:pPr>
              <w:jc w:val="right"/>
              <w:rPr>
                <w:rFonts w:ascii="Arial" w:hAnsi="Arial" w:cs="Arial"/>
                <w:b/>
                <w:bCs/>
                <w:color w:val="000000"/>
                <w:sz w:val="16"/>
                <w:szCs w:val="16"/>
              </w:rPr>
            </w:pPr>
            <w:r>
              <w:rPr>
                <w:rFonts w:ascii="Arial" w:hAnsi="Arial" w:cs="Arial"/>
                <w:b/>
                <w:bCs/>
                <w:sz w:val="16"/>
                <w:szCs w:val="16"/>
              </w:rPr>
              <w:t>100%</w:t>
            </w:r>
          </w:p>
        </w:tc>
        <w:tc>
          <w:tcPr>
            <w:tcW w:w="161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885F296" w14:textId="77777777" w:rsidR="00485284" w:rsidRDefault="00485284">
            <w:pPr>
              <w:jc w:val="right"/>
              <w:rPr>
                <w:rFonts w:ascii="Arial" w:hAnsi="Arial" w:cs="Arial"/>
                <w:b/>
                <w:bCs/>
                <w:color w:val="000000"/>
                <w:sz w:val="16"/>
                <w:szCs w:val="16"/>
              </w:rPr>
            </w:pPr>
            <w:r>
              <w:rPr>
                <w:rFonts w:ascii="Arial" w:hAnsi="Arial" w:cs="Arial"/>
                <w:b/>
                <w:bCs/>
                <w:sz w:val="16"/>
                <w:szCs w:val="16"/>
              </w:rPr>
              <w:t>100%</w:t>
            </w:r>
          </w:p>
        </w:tc>
        <w:tc>
          <w:tcPr>
            <w:tcW w:w="151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5B842FA" w14:textId="77777777" w:rsidR="00485284" w:rsidRDefault="00485284">
            <w:pPr>
              <w:jc w:val="right"/>
              <w:rPr>
                <w:rFonts w:ascii="Arial" w:hAnsi="Arial" w:cs="Arial"/>
                <w:b/>
                <w:bCs/>
                <w:color w:val="000000"/>
                <w:sz w:val="16"/>
                <w:szCs w:val="16"/>
              </w:rPr>
            </w:pPr>
            <w:r>
              <w:rPr>
                <w:rFonts w:ascii="Arial" w:hAnsi="Arial" w:cs="Arial"/>
                <w:b/>
                <w:bCs/>
                <w:sz w:val="16"/>
                <w:szCs w:val="16"/>
              </w:rPr>
              <w:t>38%</w:t>
            </w:r>
          </w:p>
        </w:tc>
        <w:tc>
          <w:tcPr>
            <w:tcW w:w="11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8EE4C89" w14:textId="77777777" w:rsidR="00485284" w:rsidRDefault="00485284">
            <w:pPr>
              <w:jc w:val="right"/>
              <w:rPr>
                <w:rFonts w:ascii="Arial" w:hAnsi="Arial" w:cs="Arial"/>
                <w:b/>
                <w:bCs/>
                <w:color w:val="000000"/>
                <w:sz w:val="16"/>
                <w:szCs w:val="16"/>
              </w:rPr>
            </w:pPr>
            <w:r>
              <w:rPr>
                <w:rFonts w:ascii="Arial" w:hAnsi="Arial" w:cs="Arial"/>
                <w:b/>
                <w:bCs/>
                <w:sz w:val="16"/>
                <w:szCs w:val="16"/>
              </w:rPr>
              <w:t>38%</w:t>
            </w:r>
          </w:p>
        </w:tc>
      </w:tr>
    </w:tbl>
    <w:p w14:paraId="63B4A3D5" w14:textId="1C0347D6"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23FE0908"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0A45A826" w14:textId="77777777" w:rsidR="00C02282" w:rsidRPr="007B73C3" w:rsidRDefault="00C02282" w:rsidP="00C02282">
      <w:pPr>
        <w:jc w:val="both"/>
        <w:rPr>
          <w:rFonts w:ascii="Arial" w:hAnsi="Arial" w:cs="Arial"/>
          <w:b/>
          <w:bCs/>
          <w:lang w:val="es-MX" w:eastAsia="es-ES"/>
        </w:rPr>
      </w:pPr>
      <w:r w:rsidRPr="007B73C3">
        <w:rPr>
          <w:rFonts w:ascii="Arial" w:hAnsi="Arial" w:cs="Arial"/>
          <w:b/>
          <w:lang w:val="es-ES" w:eastAsia="es-ES"/>
        </w:rPr>
        <w:t xml:space="preserve">Oficina Asesora Jurídica - </w:t>
      </w:r>
      <w:r w:rsidRPr="007B73C3">
        <w:rPr>
          <w:rFonts w:ascii="Arial" w:hAnsi="Arial" w:cs="Arial"/>
          <w:b/>
          <w:bCs/>
          <w:lang w:val="es-MX" w:eastAsia="es-ES"/>
        </w:rPr>
        <w:t>Vicepresidencia Administrativa y Financiera:</w:t>
      </w:r>
    </w:p>
    <w:p w14:paraId="1E8136B8" w14:textId="77777777" w:rsidR="00485284" w:rsidRDefault="00485284" w:rsidP="00485284">
      <w:pPr>
        <w:autoSpaceDE w:val="0"/>
        <w:autoSpaceDN w:val="0"/>
        <w:adjustRightInd w:val="0"/>
        <w:jc w:val="both"/>
        <w:rPr>
          <w:rFonts w:ascii="Arial" w:hAnsi="Arial" w:cs="Arial"/>
        </w:rPr>
      </w:pPr>
      <w:r>
        <w:rPr>
          <w:rFonts w:ascii="Arial" w:hAnsi="Arial" w:cs="Arial"/>
        </w:rPr>
        <w:t>Para efectos de realizar las funciones asignadas a la Oficina Asesora Jurídica, esta se encuentra conformada por un grupo de abogados, que se encargan de asesorar y brindar asistencia en materia misional relacionada con las actividades que se realizan por parte de las operadoras dentro de los contratos E&amp;P y TEA, regulados en los acuerdos emitidos por la ANH</w:t>
      </w:r>
    </w:p>
    <w:p w14:paraId="5F9A29E5" w14:textId="77777777" w:rsidR="00485284" w:rsidRDefault="00485284" w:rsidP="00485284">
      <w:pPr>
        <w:autoSpaceDE w:val="0"/>
        <w:autoSpaceDN w:val="0"/>
        <w:adjustRightInd w:val="0"/>
        <w:jc w:val="both"/>
        <w:rPr>
          <w:rFonts w:ascii="Arial" w:hAnsi="Arial" w:cs="Arial"/>
        </w:rPr>
      </w:pPr>
      <w:r>
        <w:rPr>
          <w:rFonts w:ascii="Arial" w:hAnsi="Arial" w:cs="Arial"/>
        </w:rPr>
        <w:t>De otra parte, resulta importante resaltar que dentro de la ejecución de los contratos E&amp;P y TEA, de acuerdo al seguimiento realizado por la Vicepresidencia de Contratos de Hidrocarburos, se presentan situaciones jurídicas que requieren un acompañamiento legal por parte de la Oficina Asesora Jurídica, con el fin de dar solución a los problemas que se presenten. Es así, que resulta común entrar a revisar tanto la normatividad que regula las operaciones de hidrocarburos, como el contenido de los contratos referente a la interpretación de las cláusulas, lo cual amerita un análisis normativo sobre cada uno de los hechos, con el fin de verificar la vialidad o no de declarar el incumplimiento y las medidas a tomar, ya sea a través de plazo adicional, multa, la imposición de una sanción, o la caducidad del contrato.</w:t>
      </w:r>
    </w:p>
    <w:p w14:paraId="2864B778" w14:textId="3846162D" w:rsidR="00485284" w:rsidRPr="00485284" w:rsidRDefault="00485284" w:rsidP="00485284">
      <w:pPr>
        <w:autoSpaceDE w:val="0"/>
        <w:autoSpaceDN w:val="0"/>
        <w:adjustRightInd w:val="0"/>
        <w:jc w:val="both"/>
        <w:rPr>
          <w:rFonts w:ascii="Arial" w:hAnsi="Arial" w:cs="Arial"/>
        </w:rPr>
      </w:pPr>
      <w:r>
        <w:rPr>
          <w:rFonts w:ascii="Arial" w:hAnsi="Arial" w:cs="Arial"/>
          <w:lang w:val="es-ES" w:eastAsia="es-ES"/>
        </w:rPr>
        <w:t xml:space="preserve">De acuerdo con ello se necesita contar con el apoyo de contratistas que presten sus servicios de apoyo a la Oficina Asesora Jurídica en temas misionales y contractuales, apoyando la gestión de las diferentes dependencias de la ANH. Durante el segundo trimestre de 2018 se suscribieron cuarenta y tres contratos por valor de $4.988 millones y como apoyo a las demás áreas de la ANH treinta contratos por el orden de $1.662 millones de pesos. </w:t>
      </w:r>
    </w:p>
    <w:p w14:paraId="3ADF51EF" w14:textId="77777777" w:rsidR="00485284" w:rsidRDefault="00485284" w:rsidP="00485284">
      <w:pPr>
        <w:jc w:val="both"/>
        <w:rPr>
          <w:rFonts w:ascii="Arial" w:hAnsi="Arial" w:cs="Arial"/>
          <w:lang w:val="es-ES" w:eastAsia="es-ES"/>
        </w:rPr>
      </w:pPr>
      <w:r>
        <w:rPr>
          <w:rFonts w:ascii="Arial" w:hAnsi="Arial" w:cs="Arial"/>
          <w:lang w:val="es-ES" w:eastAsia="es-ES"/>
        </w:rPr>
        <w:t>Durante el segundo trimestre se suscribió el contrato No. 479 de 2018 cuyo objeto consiste en: “</w:t>
      </w:r>
      <w:r>
        <w:rPr>
          <w:rFonts w:ascii="Arial" w:hAnsi="Arial" w:cs="Arial"/>
          <w:i/>
          <w:lang w:val="es-ES" w:eastAsia="es-ES"/>
        </w:rPr>
        <w:t xml:space="preserve">Apoderamiento dentro del trámite de sustentación del recurso de anulación contra el Laudo Arbitral proferido el 6 de diciembre de 2017”, </w:t>
      </w:r>
      <w:r>
        <w:rPr>
          <w:rFonts w:ascii="Arial" w:hAnsi="Arial" w:cs="Arial"/>
          <w:lang w:val="es-ES" w:eastAsia="es-ES"/>
        </w:rPr>
        <w:t xml:space="preserve">por valor de $71.400.000. Lo anterior debido a que el pasado 6 de diciembre de 2017 el Tribunal de Arbitramento, en la cláusula vigésimo segunda del Laudo Arbitral, condena a la Agencia Nacional de Hidrocarburos – ANH -, a pagar a PETROMINERALES la suma de TRES MIL DOSCIENTOS CINCO MILLONES CIENTO TREINTA Y SIETE MIL QUINIENTOS PESOS ($3.205.137.500) más IVA, por concepto costas y </w:t>
      </w:r>
      <w:r>
        <w:rPr>
          <w:rFonts w:ascii="Arial" w:hAnsi="Arial" w:cs="Arial"/>
          <w:lang w:val="es-ES" w:eastAsia="es-ES"/>
        </w:rPr>
        <w:lastRenderedPageBreak/>
        <w:t>agencias en derecho, de conformidad con la liquidación efectuada en la parte motiva de la providencia.</w:t>
      </w:r>
    </w:p>
    <w:p w14:paraId="38DDECD7" w14:textId="77777777" w:rsidR="00485284" w:rsidRDefault="00485284" w:rsidP="00485284">
      <w:pPr>
        <w:jc w:val="both"/>
        <w:rPr>
          <w:rFonts w:ascii="Arial" w:hAnsi="Arial" w:cs="Arial"/>
          <w:lang w:val="es-ES" w:eastAsia="es-ES"/>
        </w:rPr>
      </w:pPr>
      <w:r>
        <w:rPr>
          <w:rFonts w:ascii="Arial" w:hAnsi="Arial" w:cs="Arial"/>
          <w:lang w:val="es-ES" w:eastAsia="es-ES"/>
        </w:rPr>
        <w:t>Como quiera que la Oficina Asesora Jurídica –OAJ- debe liderar la defensa judicial de la Entidad, para lograr una eficaz y eficiente defensa de los intereses de la ANH; se consideró necesario presentar recurso extraordinario de anulación ante el Consejo de Estado, contra el fallo proferido por el Tribunal de Arbitramento, para lo cual se requiere contratar los servicios profesionales de un abogado o firma de abogados que cuente con la experiencia requerida para ello.</w:t>
      </w:r>
    </w:p>
    <w:p w14:paraId="1B1B2326" w14:textId="340A3FB5" w:rsidR="00C02282" w:rsidRPr="00485284" w:rsidRDefault="00485284" w:rsidP="00485284">
      <w:pPr>
        <w:pStyle w:val="Descripcin"/>
        <w:keepNext/>
        <w:jc w:val="center"/>
      </w:pPr>
      <w:r w:rsidRPr="00485284">
        <w:t xml:space="preserve"> </w:t>
      </w:r>
      <w:bookmarkStart w:id="146" w:name="_Toc525652516"/>
      <w:r w:rsidR="00C02282" w:rsidRPr="00485284">
        <w:t xml:space="preserve">Tabla </w:t>
      </w:r>
      <w:r w:rsidR="00C02282" w:rsidRPr="00485284">
        <w:fldChar w:fldCharType="begin"/>
      </w:r>
      <w:r w:rsidR="00C02282" w:rsidRPr="00485284">
        <w:instrText xml:space="preserve"> SEQ Tabla \* ARABIC </w:instrText>
      </w:r>
      <w:r w:rsidR="00C02282" w:rsidRPr="00485284">
        <w:fldChar w:fldCharType="separate"/>
      </w:r>
      <w:r w:rsidR="008B4625">
        <w:rPr>
          <w:noProof/>
        </w:rPr>
        <w:t>71</w:t>
      </w:r>
      <w:r w:rsidR="00C02282" w:rsidRPr="00485284">
        <w:fldChar w:fldCharType="end"/>
      </w:r>
      <w:r w:rsidRPr="00485284">
        <w:t xml:space="preserve"> </w:t>
      </w:r>
      <w:r w:rsidR="00C02282" w:rsidRPr="00485284">
        <w:t>Ejecución Gastos de Comercialización y Producción – Oficina Asesora jurídica 3</w:t>
      </w:r>
      <w:r w:rsidRPr="00485284">
        <w:t xml:space="preserve">0 de junio de </w:t>
      </w:r>
      <w:r w:rsidR="00C02282" w:rsidRPr="00485284">
        <w:t xml:space="preserve"> 2018 ANH</w:t>
      </w:r>
      <w:bookmarkEnd w:id="146"/>
    </w:p>
    <w:tbl>
      <w:tblPr>
        <w:tblW w:w="9351" w:type="dxa"/>
        <w:jc w:val="center"/>
        <w:tblCellMar>
          <w:left w:w="70" w:type="dxa"/>
          <w:right w:w="70" w:type="dxa"/>
        </w:tblCellMar>
        <w:tblLook w:val="04A0" w:firstRow="1" w:lastRow="0" w:firstColumn="1" w:lastColumn="0" w:noHBand="0" w:noVBand="1"/>
      </w:tblPr>
      <w:tblGrid>
        <w:gridCol w:w="2122"/>
        <w:gridCol w:w="1562"/>
        <w:gridCol w:w="1565"/>
        <w:gridCol w:w="1560"/>
        <w:gridCol w:w="1417"/>
        <w:gridCol w:w="1125"/>
      </w:tblGrid>
      <w:tr w:rsidR="00485284" w14:paraId="40C5FBD9" w14:textId="77777777" w:rsidTr="00485284">
        <w:trPr>
          <w:trHeight w:val="600"/>
          <w:jc w:val="center"/>
        </w:trPr>
        <w:tc>
          <w:tcPr>
            <w:tcW w:w="2122"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61872E1F" w14:textId="77777777" w:rsidR="00485284" w:rsidRDefault="00485284">
            <w:pPr>
              <w:jc w:val="center"/>
              <w:rPr>
                <w:rFonts w:ascii="Arial" w:hAnsi="Arial" w:cs="Arial"/>
                <w:b/>
                <w:bCs/>
                <w:color w:val="000000"/>
                <w:sz w:val="16"/>
                <w:szCs w:val="16"/>
              </w:rPr>
            </w:pPr>
            <w:r>
              <w:rPr>
                <w:rFonts w:ascii="Arial" w:hAnsi="Arial" w:cs="Arial"/>
                <w:b/>
                <w:bCs/>
                <w:sz w:val="16"/>
                <w:szCs w:val="16"/>
              </w:rPr>
              <w:t>Descripción</w:t>
            </w:r>
          </w:p>
        </w:tc>
        <w:tc>
          <w:tcPr>
            <w:tcW w:w="156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A0132C8" w14:textId="77777777" w:rsidR="00485284" w:rsidRDefault="00485284">
            <w:pPr>
              <w:jc w:val="center"/>
              <w:rPr>
                <w:rFonts w:ascii="Arial" w:hAnsi="Arial" w:cs="Arial"/>
                <w:b/>
                <w:bCs/>
                <w:color w:val="000000"/>
                <w:sz w:val="16"/>
                <w:szCs w:val="16"/>
              </w:rPr>
            </w:pPr>
            <w:r>
              <w:rPr>
                <w:rFonts w:ascii="Arial" w:hAnsi="Arial" w:cs="Arial"/>
                <w:b/>
                <w:bCs/>
                <w:sz w:val="16"/>
                <w:szCs w:val="16"/>
              </w:rPr>
              <w:t>Apropiación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B05DC20" w14:textId="77777777" w:rsidR="00485284" w:rsidRDefault="00485284">
            <w:pPr>
              <w:jc w:val="center"/>
              <w:rPr>
                <w:rFonts w:ascii="Arial" w:hAnsi="Arial" w:cs="Arial"/>
                <w:b/>
                <w:bCs/>
                <w:color w:val="000000"/>
                <w:sz w:val="16"/>
                <w:szCs w:val="16"/>
              </w:rPr>
            </w:pPr>
            <w:r>
              <w:rPr>
                <w:rFonts w:ascii="Arial" w:hAnsi="Arial" w:cs="Arial"/>
                <w:b/>
                <w:bCs/>
                <w:sz w:val="16"/>
                <w:szCs w:val="16"/>
              </w:rPr>
              <w:t>Disponibilidad</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ADA9DAD" w14:textId="77777777" w:rsidR="00485284" w:rsidRDefault="00485284">
            <w:pPr>
              <w:jc w:val="center"/>
              <w:rPr>
                <w:rFonts w:ascii="Arial" w:hAnsi="Arial" w:cs="Arial"/>
                <w:b/>
                <w:bCs/>
                <w:color w:val="000000"/>
                <w:sz w:val="16"/>
                <w:szCs w:val="16"/>
              </w:rPr>
            </w:pPr>
            <w:r>
              <w:rPr>
                <w:rFonts w:ascii="Arial" w:hAnsi="Arial" w:cs="Arial"/>
                <w:b/>
                <w:bCs/>
                <w:sz w:val="16"/>
                <w:szCs w:val="16"/>
              </w:rPr>
              <w:t>Compromisos</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FDFDED2" w14:textId="77777777" w:rsidR="00485284" w:rsidRDefault="00485284">
            <w:pPr>
              <w:jc w:val="center"/>
              <w:rPr>
                <w:rFonts w:ascii="Arial" w:hAnsi="Arial" w:cs="Arial"/>
                <w:b/>
                <w:bCs/>
                <w:color w:val="000000"/>
                <w:sz w:val="16"/>
                <w:szCs w:val="16"/>
              </w:rPr>
            </w:pPr>
            <w:r>
              <w:rPr>
                <w:rFonts w:ascii="Arial" w:hAnsi="Arial" w:cs="Arial"/>
                <w:b/>
                <w:bCs/>
                <w:sz w:val="16"/>
                <w:szCs w:val="16"/>
              </w:rPr>
              <w:t>Obligaciones</w:t>
            </w:r>
          </w:p>
        </w:tc>
        <w:tc>
          <w:tcPr>
            <w:tcW w:w="112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A740A90" w14:textId="77777777" w:rsidR="00485284" w:rsidRDefault="00485284">
            <w:pPr>
              <w:jc w:val="center"/>
              <w:rPr>
                <w:rFonts w:ascii="Arial" w:hAnsi="Arial" w:cs="Arial"/>
                <w:b/>
                <w:bCs/>
                <w:color w:val="000000"/>
                <w:sz w:val="16"/>
                <w:szCs w:val="16"/>
              </w:rPr>
            </w:pPr>
            <w:r>
              <w:rPr>
                <w:rFonts w:ascii="Arial" w:hAnsi="Arial" w:cs="Arial"/>
                <w:b/>
                <w:bCs/>
                <w:sz w:val="16"/>
                <w:szCs w:val="16"/>
              </w:rPr>
              <w:t>Pagos</w:t>
            </w:r>
          </w:p>
        </w:tc>
      </w:tr>
      <w:tr w:rsidR="00485284" w14:paraId="17A91569" w14:textId="77777777" w:rsidTr="00485284">
        <w:trPr>
          <w:trHeight w:val="300"/>
          <w:jc w:val="center"/>
        </w:trPr>
        <w:tc>
          <w:tcPr>
            <w:tcW w:w="2122" w:type="dxa"/>
            <w:tcBorders>
              <w:top w:val="nil"/>
              <w:left w:val="single" w:sz="4" w:space="0" w:color="auto"/>
              <w:bottom w:val="nil"/>
              <w:right w:val="single" w:sz="4" w:space="0" w:color="auto"/>
            </w:tcBorders>
            <w:noWrap/>
            <w:vAlign w:val="bottom"/>
            <w:hideMark/>
          </w:tcPr>
          <w:p w14:paraId="065B7CE4"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562" w:type="dxa"/>
            <w:tcBorders>
              <w:top w:val="nil"/>
              <w:left w:val="nil"/>
              <w:bottom w:val="nil"/>
              <w:right w:val="single" w:sz="4" w:space="0" w:color="auto"/>
            </w:tcBorders>
            <w:noWrap/>
            <w:vAlign w:val="center"/>
            <w:hideMark/>
          </w:tcPr>
          <w:p w14:paraId="7ED2EE1F" w14:textId="77777777" w:rsidR="00485284" w:rsidRDefault="00485284">
            <w:pPr>
              <w:jc w:val="right"/>
              <w:rPr>
                <w:rFonts w:ascii="Arial" w:hAnsi="Arial" w:cs="Arial"/>
                <w:color w:val="000000"/>
                <w:sz w:val="16"/>
                <w:szCs w:val="16"/>
              </w:rPr>
            </w:pPr>
            <w:r>
              <w:rPr>
                <w:rFonts w:ascii="Arial" w:hAnsi="Arial" w:cs="Arial"/>
                <w:sz w:val="16"/>
                <w:szCs w:val="16"/>
              </w:rPr>
              <w:t>$ 7.840</w:t>
            </w:r>
          </w:p>
        </w:tc>
        <w:tc>
          <w:tcPr>
            <w:tcW w:w="1565" w:type="dxa"/>
            <w:tcBorders>
              <w:top w:val="nil"/>
              <w:left w:val="nil"/>
              <w:bottom w:val="nil"/>
              <w:right w:val="single" w:sz="4" w:space="0" w:color="auto"/>
            </w:tcBorders>
            <w:noWrap/>
            <w:vAlign w:val="center"/>
            <w:hideMark/>
          </w:tcPr>
          <w:p w14:paraId="7D061D69" w14:textId="77777777" w:rsidR="00485284" w:rsidRDefault="00485284">
            <w:pPr>
              <w:jc w:val="right"/>
              <w:rPr>
                <w:rFonts w:ascii="Arial" w:hAnsi="Arial" w:cs="Arial"/>
                <w:color w:val="000000"/>
                <w:sz w:val="16"/>
                <w:szCs w:val="16"/>
              </w:rPr>
            </w:pPr>
            <w:r>
              <w:rPr>
                <w:rFonts w:ascii="Arial" w:hAnsi="Arial" w:cs="Arial"/>
                <w:sz w:val="16"/>
                <w:szCs w:val="16"/>
              </w:rPr>
              <w:t>$ 6.579</w:t>
            </w:r>
          </w:p>
        </w:tc>
        <w:tc>
          <w:tcPr>
            <w:tcW w:w="1560" w:type="dxa"/>
            <w:tcBorders>
              <w:top w:val="nil"/>
              <w:left w:val="nil"/>
              <w:bottom w:val="nil"/>
              <w:right w:val="single" w:sz="4" w:space="0" w:color="auto"/>
            </w:tcBorders>
            <w:noWrap/>
            <w:vAlign w:val="center"/>
            <w:hideMark/>
          </w:tcPr>
          <w:p w14:paraId="6EA3329D" w14:textId="77777777" w:rsidR="00485284" w:rsidRDefault="00485284">
            <w:pPr>
              <w:jc w:val="right"/>
              <w:rPr>
                <w:rFonts w:ascii="Arial" w:hAnsi="Arial" w:cs="Arial"/>
                <w:color w:val="000000"/>
                <w:sz w:val="16"/>
                <w:szCs w:val="16"/>
              </w:rPr>
            </w:pPr>
            <w:r>
              <w:rPr>
                <w:rFonts w:ascii="Arial" w:hAnsi="Arial" w:cs="Arial"/>
                <w:sz w:val="16"/>
                <w:szCs w:val="16"/>
              </w:rPr>
              <w:t>$ 6.579</w:t>
            </w:r>
          </w:p>
        </w:tc>
        <w:tc>
          <w:tcPr>
            <w:tcW w:w="1417" w:type="dxa"/>
            <w:tcBorders>
              <w:top w:val="nil"/>
              <w:left w:val="nil"/>
              <w:bottom w:val="nil"/>
              <w:right w:val="single" w:sz="4" w:space="0" w:color="auto"/>
            </w:tcBorders>
            <w:noWrap/>
            <w:vAlign w:val="center"/>
            <w:hideMark/>
          </w:tcPr>
          <w:p w14:paraId="05D9996A" w14:textId="77777777" w:rsidR="00485284" w:rsidRDefault="00485284">
            <w:pPr>
              <w:jc w:val="right"/>
              <w:rPr>
                <w:rFonts w:ascii="Arial" w:hAnsi="Arial" w:cs="Arial"/>
                <w:color w:val="000000"/>
                <w:sz w:val="16"/>
                <w:szCs w:val="16"/>
              </w:rPr>
            </w:pPr>
            <w:r>
              <w:rPr>
                <w:rFonts w:ascii="Arial" w:hAnsi="Arial" w:cs="Arial"/>
                <w:sz w:val="16"/>
                <w:szCs w:val="16"/>
              </w:rPr>
              <w:t>$2.502</w:t>
            </w:r>
          </w:p>
        </w:tc>
        <w:tc>
          <w:tcPr>
            <w:tcW w:w="1125" w:type="dxa"/>
            <w:tcBorders>
              <w:top w:val="nil"/>
              <w:left w:val="nil"/>
              <w:bottom w:val="nil"/>
              <w:right w:val="single" w:sz="4" w:space="0" w:color="auto"/>
            </w:tcBorders>
            <w:noWrap/>
            <w:vAlign w:val="center"/>
            <w:hideMark/>
          </w:tcPr>
          <w:p w14:paraId="07DF2C09" w14:textId="77777777" w:rsidR="00485284" w:rsidRDefault="00485284">
            <w:pPr>
              <w:jc w:val="right"/>
              <w:rPr>
                <w:rFonts w:ascii="Arial" w:hAnsi="Arial" w:cs="Arial"/>
                <w:color w:val="000000"/>
                <w:sz w:val="16"/>
                <w:szCs w:val="16"/>
              </w:rPr>
            </w:pPr>
            <w:r>
              <w:rPr>
                <w:rFonts w:ascii="Arial" w:hAnsi="Arial" w:cs="Arial"/>
                <w:sz w:val="16"/>
                <w:szCs w:val="16"/>
              </w:rPr>
              <w:t>$2.476</w:t>
            </w:r>
          </w:p>
        </w:tc>
      </w:tr>
      <w:tr w:rsidR="00485284" w14:paraId="7859FE13" w14:textId="77777777" w:rsidTr="00485284">
        <w:trPr>
          <w:trHeight w:val="300"/>
          <w:jc w:val="center"/>
        </w:trPr>
        <w:tc>
          <w:tcPr>
            <w:tcW w:w="2122" w:type="dxa"/>
            <w:tcBorders>
              <w:top w:val="single" w:sz="4" w:space="0" w:color="auto"/>
              <w:left w:val="nil"/>
              <w:bottom w:val="nil"/>
              <w:right w:val="nil"/>
            </w:tcBorders>
            <w:noWrap/>
            <w:vAlign w:val="bottom"/>
            <w:hideMark/>
          </w:tcPr>
          <w:p w14:paraId="4CA72334" w14:textId="77777777" w:rsidR="00485284" w:rsidRDefault="00485284">
            <w:pPr>
              <w:rPr>
                <w:rFonts w:ascii="Calibri" w:hAnsi="Calibri" w:cs="Times New Roman"/>
                <w:color w:val="000000"/>
                <w:sz w:val="19"/>
                <w:szCs w:val="19"/>
              </w:rPr>
            </w:pPr>
          </w:p>
        </w:tc>
        <w:tc>
          <w:tcPr>
            <w:tcW w:w="1562" w:type="dxa"/>
            <w:tcBorders>
              <w:top w:val="single" w:sz="4" w:space="0" w:color="auto"/>
              <w:left w:val="nil"/>
              <w:bottom w:val="nil"/>
              <w:right w:val="nil"/>
            </w:tcBorders>
            <w:noWrap/>
            <w:vAlign w:val="bottom"/>
            <w:hideMark/>
          </w:tcPr>
          <w:p w14:paraId="42FE555C" w14:textId="77777777" w:rsidR="00485284" w:rsidRDefault="00485284">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321D9199" w14:textId="77777777" w:rsidR="00485284" w:rsidRDefault="00485284">
            <w:pPr>
              <w:rPr>
                <w:rFonts w:ascii="Calibri" w:hAnsi="Calibri" w:cs="Times New Roman"/>
                <w:color w:val="000000"/>
                <w:sz w:val="19"/>
                <w:szCs w:val="19"/>
              </w:rPr>
            </w:pPr>
          </w:p>
        </w:tc>
        <w:tc>
          <w:tcPr>
            <w:tcW w:w="1560" w:type="dxa"/>
            <w:tcBorders>
              <w:top w:val="single" w:sz="4" w:space="0" w:color="auto"/>
              <w:left w:val="nil"/>
              <w:bottom w:val="nil"/>
              <w:right w:val="nil"/>
            </w:tcBorders>
            <w:noWrap/>
            <w:vAlign w:val="bottom"/>
            <w:hideMark/>
          </w:tcPr>
          <w:p w14:paraId="336778FE" w14:textId="77777777" w:rsidR="00485284" w:rsidRDefault="00485284">
            <w:pPr>
              <w:rPr>
                <w:rFonts w:ascii="Calibri" w:hAnsi="Calibri" w:cs="Times New Roman"/>
                <w:color w:val="000000"/>
                <w:sz w:val="19"/>
                <w:szCs w:val="19"/>
              </w:rPr>
            </w:pPr>
          </w:p>
        </w:tc>
        <w:tc>
          <w:tcPr>
            <w:tcW w:w="1417" w:type="dxa"/>
            <w:tcBorders>
              <w:top w:val="single" w:sz="4" w:space="0" w:color="auto"/>
              <w:left w:val="nil"/>
              <w:bottom w:val="nil"/>
              <w:right w:val="nil"/>
            </w:tcBorders>
            <w:noWrap/>
            <w:vAlign w:val="bottom"/>
            <w:hideMark/>
          </w:tcPr>
          <w:p w14:paraId="23997D05" w14:textId="77777777" w:rsidR="00485284" w:rsidRDefault="00485284">
            <w:pPr>
              <w:rPr>
                <w:rFonts w:ascii="Calibri" w:hAnsi="Calibri" w:cs="Times New Roman"/>
                <w:color w:val="000000"/>
                <w:sz w:val="19"/>
                <w:szCs w:val="19"/>
              </w:rPr>
            </w:pPr>
          </w:p>
        </w:tc>
        <w:tc>
          <w:tcPr>
            <w:tcW w:w="1125" w:type="dxa"/>
            <w:tcBorders>
              <w:top w:val="single" w:sz="4" w:space="0" w:color="auto"/>
              <w:left w:val="nil"/>
              <w:bottom w:val="nil"/>
              <w:right w:val="nil"/>
            </w:tcBorders>
            <w:noWrap/>
            <w:vAlign w:val="bottom"/>
            <w:hideMark/>
          </w:tcPr>
          <w:p w14:paraId="525DED00" w14:textId="77777777" w:rsidR="00485284" w:rsidRDefault="00485284">
            <w:pPr>
              <w:rPr>
                <w:rFonts w:ascii="Calibri" w:hAnsi="Calibri" w:cs="Times New Roman"/>
                <w:color w:val="000000"/>
                <w:sz w:val="19"/>
                <w:szCs w:val="19"/>
              </w:rPr>
            </w:pPr>
          </w:p>
        </w:tc>
      </w:tr>
      <w:tr w:rsidR="00485284" w:rsidRPr="00485284" w14:paraId="1DC6066A" w14:textId="77777777" w:rsidTr="00485284">
        <w:trPr>
          <w:trHeight w:val="300"/>
          <w:jc w:val="center"/>
        </w:trPr>
        <w:tc>
          <w:tcPr>
            <w:tcW w:w="3684"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2F752061"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B67FE48"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84%</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F92F037"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84%</w:t>
            </w:r>
          </w:p>
        </w:tc>
        <w:tc>
          <w:tcPr>
            <w:tcW w:w="1417"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3164293"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32%</w:t>
            </w:r>
          </w:p>
        </w:tc>
        <w:tc>
          <w:tcPr>
            <w:tcW w:w="112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804DE03"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32%</w:t>
            </w:r>
          </w:p>
        </w:tc>
      </w:tr>
    </w:tbl>
    <w:p w14:paraId="44D005FA" w14:textId="50F0C482"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7B8224BA"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7538B528" w14:textId="77777777" w:rsidR="00C02282" w:rsidRPr="007B73C3" w:rsidRDefault="00C02282" w:rsidP="00C02282">
      <w:pPr>
        <w:rPr>
          <w:rFonts w:ascii="Arial" w:hAnsi="Arial" w:cs="Arial"/>
          <w:b/>
          <w:bCs/>
          <w:lang w:val="es-MX" w:eastAsia="es-ES"/>
        </w:rPr>
      </w:pPr>
      <w:r w:rsidRPr="007B73C3">
        <w:rPr>
          <w:rFonts w:ascii="Arial" w:hAnsi="Arial" w:cs="Arial"/>
          <w:b/>
          <w:lang w:val="es-MX" w:eastAsia="es-ES"/>
        </w:rPr>
        <w:t xml:space="preserve">Planeación - </w:t>
      </w:r>
      <w:r w:rsidRPr="007B73C3">
        <w:rPr>
          <w:rFonts w:ascii="Arial" w:hAnsi="Arial" w:cs="Arial"/>
          <w:b/>
          <w:bCs/>
          <w:lang w:val="es-MX" w:eastAsia="es-ES"/>
        </w:rPr>
        <w:t>Vicepresidencia Administrativa y Financiera:</w:t>
      </w:r>
    </w:p>
    <w:p w14:paraId="0B3F0A39" w14:textId="694486D1" w:rsidR="00485284" w:rsidRDefault="00485284" w:rsidP="00803CC6">
      <w:pPr>
        <w:jc w:val="both"/>
        <w:rPr>
          <w:highlight w:val="yellow"/>
        </w:rPr>
      </w:pPr>
      <w:r>
        <w:rPr>
          <w:rFonts w:ascii="Arial" w:hAnsi="Arial" w:cs="Arial"/>
          <w:lang w:val="es-MX" w:eastAsia="es-ES"/>
        </w:rPr>
        <w:t xml:space="preserve">La Gerencia de Planeación durante el primer trimestre, adelantó cinco contrataciones de prestación de servicios profesionales de apoyo al seguimiento y gestión de las actividades a cargo de la Presidencia, a la gerencia de Planeación  en temas estratégicos y misionales, para la identificación, formulación, evaluación, análisis y/o recomendación de actividades programadas e iniciativas tecnológicas presentadas al Comité de Transferencia de tecnología, para el fortalecimiento de los procesos misionales dentro del  proyecto de integración del sistema de gestión y control por valor de $551 millones de pesos. </w:t>
      </w:r>
    </w:p>
    <w:p w14:paraId="2B1841D5" w14:textId="09C2321C" w:rsidR="00C02282" w:rsidRPr="00485284" w:rsidRDefault="00C02282" w:rsidP="00C02282">
      <w:pPr>
        <w:pStyle w:val="Descripcin"/>
        <w:keepNext/>
        <w:jc w:val="center"/>
      </w:pPr>
      <w:bookmarkStart w:id="147" w:name="_Toc525652517"/>
      <w:r w:rsidRPr="00485284">
        <w:t xml:space="preserve">Tabla </w:t>
      </w:r>
      <w:r w:rsidRPr="00485284">
        <w:fldChar w:fldCharType="begin"/>
      </w:r>
      <w:r w:rsidRPr="00485284">
        <w:instrText xml:space="preserve"> SEQ Tabla \* ARABIC </w:instrText>
      </w:r>
      <w:r w:rsidRPr="00485284">
        <w:fldChar w:fldCharType="separate"/>
      </w:r>
      <w:r w:rsidR="008B4625">
        <w:rPr>
          <w:noProof/>
        </w:rPr>
        <w:t>72</w:t>
      </w:r>
      <w:r w:rsidRPr="00485284">
        <w:fldChar w:fldCharType="end"/>
      </w:r>
      <w:r w:rsidR="00485284" w:rsidRPr="00485284">
        <w:t xml:space="preserve"> </w:t>
      </w:r>
      <w:r w:rsidRPr="00485284">
        <w:t>Ejecución Gastos de Comercialización y Producción – Planeación 3</w:t>
      </w:r>
      <w:r w:rsidR="00485284" w:rsidRPr="00485284">
        <w:t xml:space="preserve">0 de junio de </w:t>
      </w:r>
      <w:r w:rsidRPr="00485284">
        <w:t xml:space="preserve"> 2018 ANH</w:t>
      </w:r>
      <w:bookmarkEnd w:id="147"/>
    </w:p>
    <w:tbl>
      <w:tblPr>
        <w:tblW w:w="9382" w:type="dxa"/>
        <w:jc w:val="center"/>
        <w:tblCellMar>
          <w:left w:w="70" w:type="dxa"/>
          <w:right w:w="70" w:type="dxa"/>
        </w:tblCellMar>
        <w:tblLook w:val="04A0" w:firstRow="1" w:lastRow="0" w:firstColumn="1" w:lastColumn="0" w:noHBand="0" w:noVBand="1"/>
      </w:tblPr>
      <w:tblGrid>
        <w:gridCol w:w="2023"/>
        <w:gridCol w:w="1489"/>
        <w:gridCol w:w="1656"/>
        <w:gridCol w:w="1620"/>
        <w:gridCol w:w="1522"/>
        <w:gridCol w:w="1072"/>
      </w:tblGrid>
      <w:tr w:rsidR="00485284" w14:paraId="48917D5E" w14:textId="77777777" w:rsidTr="00485284">
        <w:trPr>
          <w:trHeight w:val="545"/>
          <w:jc w:val="center"/>
        </w:trPr>
        <w:tc>
          <w:tcPr>
            <w:tcW w:w="2023"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A41DF3B" w14:textId="77777777" w:rsidR="00485284" w:rsidRDefault="00485284">
            <w:pPr>
              <w:jc w:val="center"/>
              <w:rPr>
                <w:rFonts w:ascii="Arial" w:hAnsi="Arial" w:cs="Arial"/>
                <w:b/>
                <w:bCs/>
                <w:color w:val="000000"/>
                <w:sz w:val="16"/>
                <w:szCs w:val="16"/>
              </w:rPr>
            </w:pPr>
            <w:r>
              <w:rPr>
                <w:rFonts w:ascii="Arial" w:hAnsi="Arial" w:cs="Arial"/>
                <w:b/>
                <w:bCs/>
                <w:sz w:val="16"/>
                <w:szCs w:val="16"/>
              </w:rPr>
              <w:t>Descripción</w:t>
            </w:r>
          </w:p>
        </w:tc>
        <w:tc>
          <w:tcPr>
            <w:tcW w:w="148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C1DD7DD" w14:textId="77777777" w:rsidR="00485284" w:rsidRDefault="00485284">
            <w:pPr>
              <w:jc w:val="center"/>
              <w:rPr>
                <w:rFonts w:ascii="Arial" w:hAnsi="Arial" w:cs="Arial"/>
                <w:b/>
                <w:bCs/>
                <w:color w:val="000000"/>
                <w:sz w:val="16"/>
                <w:szCs w:val="16"/>
              </w:rPr>
            </w:pPr>
            <w:r>
              <w:rPr>
                <w:rFonts w:ascii="Arial" w:hAnsi="Arial" w:cs="Arial"/>
                <w:b/>
                <w:bCs/>
                <w:sz w:val="16"/>
                <w:szCs w:val="16"/>
              </w:rPr>
              <w:t>Apropiación</w:t>
            </w:r>
          </w:p>
        </w:tc>
        <w:tc>
          <w:tcPr>
            <w:tcW w:w="1656"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FEF15AC" w14:textId="77777777" w:rsidR="00485284" w:rsidRDefault="00485284">
            <w:pPr>
              <w:jc w:val="center"/>
              <w:rPr>
                <w:rFonts w:ascii="Arial" w:hAnsi="Arial" w:cs="Arial"/>
                <w:b/>
                <w:bCs/>
                <w:color w:val="000000"/>
                <w:sz w:val="16"/>
                <w:szCs w:val="16"/>
              </w:rPr>
            </w:pPr>
            <w:r>
              <w:rPr>
                <w:rFonts w:ascii="Arial" w:hAnsi="Arial" w:cs="Arial"/>
                <w:b/>
                <w:bCs/>
                <w:sz w:val="16"/>
                <w:szCs w:val="16"/>
              </w:rPr>
              <w:t>Disponibilidad</w:t>
            </w:r>
          </w:p>
        </w:tc>
        <w:tc>
          <w:tcPr>
            <w:tcW w:w="16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21F3FE7" w14:textId="77777777" w:rsidR="00485284" w:rsidRDefault="00485284">
            <w:pPr>
              <w:jc w:val="center"/>
              <w:rPr>
                <w:rFonts w:ascii="Arial" w:hAnsi="Arial" w:cs="Arial"/>
                <w:b/>
                <w:bCs/>
                <w:color w:val="000000"/>
                <w:sz w:val="16"/>
                <w:szCs w:val="16"/>
              </w:rPr>
            </w:pPr>
            <w:r>
              <w:rPr>
                <w:rFonts w:ascii="Arial" w:hAnsi="Arial" w:cs="Arial"/>
                <w:b/>
                <w:bCs/>
                <w:sz w:val="16"/>
                <w:szCs w:val="16"/>
              </w:rPr>
              <w:t>Compromisos</w:t>
            </w:r>
          </w:p>
        </w:tc>
        <w:tc>
          <w:tcPr>
            <w:tcW w:w="152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3E34149" w14:textId="77777777" w:rsidR="00485284" w:rsidRDefault="00485284">
            <w:pPr>
              <w:jc w:val="center"/>
              <w:rPr>
                <w:rFonts w:ascii="Arial" w:hAnsi="Arial" w:cs="Arial"/>
                <w:b/>
                <w:bCs/>
                <w:color w:val="000000"/>
                <w:sz w:val="16"/>
                <w:szCs w:val="16"/>
              </w:rPr>
            </w:pPr>
            <w:r>
              <w:rPr>
                <w:rFonts w:ascii="Arial" w:hAnsi="Arial" w:cs="Arial"/>
                <w:b/>
                <w:bCs/>
                <w:sz w:val="16"/>
                <w:szCs w:val="16"/>
              </w:rPr>
              <w:t>Obligaciones</w:t>
            </w:r>
          </w:p>
        </w:tc>
        <w:tc>
          <w:tcPr>
            <w:tcW w:w="107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04C421F" w14:textId="77777777" w:rsidR="00485284" w:rsidRDefault="00485284">
            <w:pPr>
              <w:jc w:val="center"/>
              <w:rPr>
                <w:rFonts w:ascii="Arial" w:hAnsi="Arial" w:cs="Arial"/>
                <w:b/>
                <w:bCs/>
                <w:color w:val="000000"/>
                <w:sz w:val="16"/>
                <w:szCs w:val="16"/>
              </w:rPr>
            </w:pPr>
            <w:r>
              <w:rPr>
                <w:rFonts w:ascii="Arial" w:hAnsi="Arial" w:cs="Arial"/>
                <w:b/>
                <w:bCs/>
                <w:sz w:val="16"/>
                <w:szCs w:val="16"/>
              </w:rPr>
              <w:t>Pagos</w:t>
            </w:r>
          </w:p>
        </w:tc>
      </w:tr>
      <w:tr w:rsidR="00485284" w14:paraId="6BF6C451" w14:textId="77777777" w:rsidTr="00485284">
        <w:trPr>
          <w:trHeight w:val="272"/>
          <w:jc w:val="center"/>
        </w:trPr>
        <w:tc>
          <w:tcPr>
            <w:tcW w:w="2023" w:type="dxa"/>
            <w:tcBorders>
              <w:top w:val="nil"/>
              <w:left w:val="single" w:sz="4" w:space="0" w:color="auto"/>
              <w:bottom w:val="nil"/>
              <w:right w:val="single" w:sz="4" w:space="0" w:color="auto"/>
            </w:tcBorders>
            <w:noWrap/>
            <w:vAlign w:val="bottom"/>
            <w:hideMark/>
          </w:tcPr>
          <w:p w14:paraId="108356BE"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489" w:type="dxa"/>
            <w:tcBorders>
              <w:top w:val="nil"/>
              <w:left w:val="nil"/>
              <w:bottom w:val="nil"/>
              <w:right w:val="single" w:sz="4" w:space="0" w:color="auto"/>
            </w:tcBorders>
            <w:noWrap/>
            <w:vAlign w:val="center"/>
            <w:hideMark/>
          </w:tcPr>
          <w:p w14:paraId="19A37777" w14:textId="77777777" w:rsidR="00485284" w:rsidRDefault="00485284">
            <w:pPr>
              <w:jc w:val="right"/>
              <w:rPr>
                <w:rFonts w:ascii="Arial" w:hAnsi="Arial" w:cs="Arial"/>
                <w:color w:val="000000"/>
                <w:sz w:val="16"/>
                <w:szCs w:val="16"/>
              </w:rPr>
            </w:pPr>
            <w:r>
              <w:rPr>
                <w:rFonts w:ascii="Arial" w:hAnsi="Arial" w:cs="Arial"/>
                <w:sz w:val="16"/>
                <w:szCs w:val="16"/>
              </w:rPr>
              <w:t>$ 600</w:t>
            </w:r>
          </w:p>
        </w:tc>
        <w:tc>
          <w:tcPr>
            <w:tcW w:w="1656" w:type="dxa"/>
            <w:tcBorders>
              <w:top w:val="nil"/>
              <w:left w:val="nil"/>
              <w:bottom w:val="nil"/>
              <w:right w:val="single" w:sz="4" w:space="0" w:color="auto"/>
            </w:tcBorders>
            <w:noWrap/>
            <w:vAlign w:val="center"/>
            <w:hideMark/>
          </w:tcPr>
          <w:p w14:paraId="2F2ACBCD" w14:textId="77777777" w:rsidR="00485284" w:rsidRDefault="00485284">
            <w:pPr>
              <w:jc w:val="right"/>
              <w:rPr>
                <w:rFonts w:ascii="Arial" w:hAnsi="Arial" w:cs="Arial"/>
                <w:color w:val="000000"/>
                <w:sz w:val="16"/>
                <w:szCs w:val="16"/>
              </w:rPr>
            </w:pPr>
            <w:r>
              <w:rPr>
                <w:rFonts w:ascii="Arial" w:hAnsi="Arial" w:cs="Arial"/>
                <w:sz w:val="16"/>
                <w:szCs w:val="16"/>
              </w:rPr>
              <w:t>$ 551</w:t>
            </w:r>
          </w:p>
        </w:tc>
        <w:tc>
          <w:tcPr>
            <w:tcW w:w="1620" w:type="dxa"/>
            <w:tcBorders>
              <w:top w:val="nil"/>
              <w:left w:val="nil"/>
              <w:bottom w:val="nil"/>
              <w:right w:val="single" w:sz="4" w:space="0" w:color="auto"/>
            </w:tcBorders>
            <w:noWrap/>
            <w:vAlign w:val="center"/>
            <w:hideMark/>
          </w:tcPr>
          <w:p w14:paraId="17D93A76" w14:textId="77777777" w:rsidR="00485284" w:rsidRDefault="00485284">
            <w:pPr>
              <w:jc w:val="right"/>
              <w:rPr>
                <w:rFonts w:ascii="Arial" w:hAnsi="Arial" w:cs="Arial"/>
                <w:color w:val="000000"/>
                <w:sz w:val="16"/>
                <w:szCs w:val="16"/>
              </w:rPr>
            </w:pPr>
            <w:r>
              <w:rPr>
                <w:rFonts w:ascii="Arial" w:hAnsi="Arial" w:cs="Arial"/>
                <w:sz w:val="16"/>
                <w:szCs w:val="16"/>
              </w:rPr>
              <w:t>$ 551</w:t>
            </w:r>
          </w:p>
        </w:tc>
        <w:tc>
          <w:tcPr>
            <w:tcW w:w="1522" w:type="dxa"/>
            <w:tcBorders>
              <w:top w:val="nil"/>
              <w:left w:val="nil"/>
              <w:bottom w:val="nil"/>
              <w:right w:val="single" w:sz="4" w:space="0" w:color="auto"/>
            </w:tcBorders>
            <w:noWrap/>
            <w:vAlign w:val="center"/>
            <w:hideMark/>
          </w:tcPr>
          <w:p w14:paraId="03A4832F" w14:textId="77777777" w:rsidR="00485284" w:rsidRDefault="00485284">
            <w:pPr>
              <w:jc w:val="right"/>
              <w:rPr>
                <w:rFonts w:ascii="Arial" w:hAnsi="Arial" w:cs="Arial"/>
                <w:color w:val="000000"/>
                <w:sz w:val="16"/>
                <w:szCs w:val="16"/>
              </w:rPr>
            </w:pPr>
            <w:r>
              <w:rPr>
                <w:rFonts w:ascii="Arial" w:hAnsi="Arial" w:cs="Arial"/>
                <w:sz w:val="16"/>
                <w:szCs w:val="16"/>
              </w:rPr>
              <w:t>$ 206</w:t>
            </w:r>
          </w:p>
        </w:tc>
        <w:tc>
          <w:tcPr>
            <w:tcW w:w="1072" w:type="dxa"/>
            <w:tcBorders>
              <w:top w:val="nil"/>
              <w:left w:val="nil"/>
              <w:bottom w:val="nil"/>
              <w:right w:val="single" w:sz="4" w:space="0" w:color="auto"/>
            </w:tcBorders>
            <w:noWrap/>
            <w:vAlign w:val="center"/>
            <w:hideMark/>
          </w:tcPr>
          <w:p w14:paraId="59494C08" w14:textId="77777777" w:rsidR="00485284" w:rsidRDefault="00485284">
            <w:pPr>
              <w:jc w:val="right"/>
              <w:rPr>
                <w:rFonts w:ascii="Arial" w:hAnsi="Arial" w:cs="Arial"/>
                <w:color w:val="000000"/>
                <w:sz w:val="16"/>
                <w:szCs w:val="16"/>
              </w:rPr>
            </w:pPr>
            <w:r>
              <w:rPr>
                <w:rFonts w:ascii="Arial" w:hAnsi="Arial" w:cs="Arial"/>
                <w:sz w:val="16"/>
                <w:szCs w:val="16"/>
              </w:rPr>
              <w:t>$ 206</w:t>
            </w:r>
          </w:p>
        </w:tc>
      </w:tr>
      <w:tr w:rsidR="00485284" w14:paraId="36E86125" w14:textId="77777777" w:rsidTr="00485284">
        <w:trPr>
          <w:trHeight w:val="272"/>
          <w:jc w:val="center"/>
        </w:trPr>
        <w:tc>
          <w:tcPr>
            <w:tcW w:w="2023" w:type="dxa"/>
            <w:tcBorders>
              <w:top w:val="single" w:sz="4" w:space="0" w:color="auto"/>
              <w:left w:val="nil"/>
              <w:bottom w:val="nil"/>
              <w:right w:val="nil"/>
            </w:tcBorders>
            <w:noWrap/>
            <w:vAlign w:val="bottom"/>
            <w:hideMark/>
          </w:tcPr>
          <w:p w14:paraId="74D64977" w14:textId="77777777" w:rsidR="00485284" w:rsidRDefault="00485284">
            <w:pPr>
              <w:rPr>
                <w:rFonts w:ascii="Calibri" w:hAnsi="Calibri" w:cs="Times New Roman"/>
                <w:color w:val="000000"/>
                <w:sz w:val="19"/>
                <w:szCs w:val="19"/>
              </w:rPr>
            </w:pPr>
          </w:p>
        </w:tc>
        <w:tc>
          <w:tcPr>
            <w:tcW w:w="1489" w:type="dxa"/>
            <w:tcBorders>
              <w:top w:val="single" w:sz="4" w:space="0" w:color="auto"/>
              <w:left w:val="nil"/>
              <w:bottom w:val="nil"/>
              <w:right w:val="nil"/>
            </w:tcBorders>
            <w:noWrap/>
            <w:vAlign w:val="bottom"/>
            <w:hideMark/>
          </w:tcPr>
          <w:p w14:paraId="5BCD459A" w14:textId="77777777" w:rsidR="00485284" w:rsidRDefault="00485284">
            <w:pPr>
              <w:rPr>
                <w:rFonts w:ascii="Calibri" w:hAnsi="Calibri" w:cs="Times New Roman"/>
                <w:color w:val="000000"/>
                <w:sz w:val="19"/>
                <w:szCs w:val="19"/>
              </w:rPr>
            </w:pPr>
          </w:p>
        </w:tc>
        <w:tc>
          <w:tcPr>
            <w:tcW w:w="1656" w:type="dxa"/>
            <w:tcBorders>
              <w:top w:val="single" w:sz="4" w:space="0" w:color="auto"/>
              <w:left w:val="nil"/>
              <w:bottom w:val="nil"/>
              <w:right w:val="nil"/>
            </w:tcBorders>
            <w:noWrap/>
            <w:vAlign w:val="bottom"/>
            <w:hideMark/>
          </w:tcPr>
          <w:p w14:paraId="6CF40A05" w14:textId="77777777" w:rsidR="00485284" w:rsidRDefault="00485284">
            <w:pPr>
              <w:rPr>
                <w:rFonts w:ascii="Calibri" w:hAnsi="Calibri" w:cs="Times New Roman"/>
                <w:color w:val="000000"/>
                <w:sz w:val="19"/>
                <w:szCs w:val="19"/>
              </w:rPr>
            </w:pPr>
          </w:p>
        </w:tc>
        <w:tc>
          <w:tcPr>
            <w:tcW w:w="1620" w:type="dxa"/>
            <w:tcBorders>
              <w:top w:val="single" w:sz="4" w:space="0" w:color="auto"/>
              <w:left w:val="nil"/>
              <w:bottom w:val="nil"/>
              <w:right w:val="nil"/>
            </w:tcBorders>
            <w:noWrap/>
            <w:vAlign w:val="bottom"/>
            <w:hideMark/>
          </w:tcPr>
          <w:p w14:paraId="6931634A" w14:textId="77777777" w:rsidR="00485284" w:rsidRDefault="00485284">
            <w:pPr>
              <w:rPr>
                <w:rFonts w:ascii="Calibri" w:hAnsi="Calibri" w:cs="Times New Roman"/>
                <w:color w:val="000000"/>
                <w:sz w:val="19"/>
                <w:szCs w:val="19"/>
              </w:rPr>
            </w:pPr>
          </w:p>
        </w:tc>
        <w:tc>
          <w:tcPr>
            <w:tcW w:w="1522" w:type="dxa"/>
            <w:tcBorders>
              <w:top w:val="single" w:sz="4" w:space="0" w:color="auto"/>
              <w:left w:val="nil"/>
              <w:bottom w:val="nil"/>
              <w:right w:val="nil"/>
            </w:tcBorders>
            <w:noWrap/>
            <w:vAlign w:val="bottom"/>
            <w:hideMark/>
          </w:tcPr>
          <w:p w14:paraId="26BB094B" w14:textId="77777777" w:rsidR="00485284" w:rsidRDefault="00485284">
            <w:pPr>
              <w:rPr>
                <w:rFonts w:ascii="Calibri" w:hAnsi="Calibri" w:cs="Times New Roman"/>
                <w:color w:val="000000"/>
                <w:sz w:val="19"/>
                <w:szCs w:val="19"/>
              </w:rPr>
            </w:pPr>
          </w:p>
        </w:tc>
        <w:tc>
          <w:tcPr>
            <w:tcW w:w="1072" w:type="dxa"/>
            <w:tcBorders>
              <w:top w:val="single" w:sz="4" w:space="0" w:color="auto"/>
              <w:left w:val="nil"/>
              <w:bottom w:val="nil"/>
              <w:right w:val="nil"/>
            </w:tcBorders>
            <w:noWrap/>
            <w:vAlign w:val="bottom"/>
            <w:hideMark/>
          </w:tcPr>
          <w:p w14:paraId="70603BF0" w14:textId="77777777" w:rsidR="00485284" w:rsidRDefault="00485284">
            <w:pPr>
              <w:rPr>
                <w:rFonts w:ascii="Calibri" w:hAnsi="Calibri" w:cs="Times New Roman"/>
                <w:color w:val="000000"/>
                <w:sz w:val="19"/>
                <w:szCs w:val="19"/>
              </w:rPr>
            </w:pPr>
          </w:p>
        </w:tc>
      </w:tr>
      <w:tr w:rsidR="00485284" w14:paraId="5E64001B" w14:textId="77777777" w:rsidTr="00485284">
        <w:trPr>
          <w:trHeight w:val="272"/>
          <w:jc w:val="center"/>
        </w:trPr>
        <w:tc>
          <w:tcPr>
            <w:tcW w:w="351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BE3A522" w14:textId="77777777" w:rsidR="00485284" w:rsidRDefault="00485284">
            <w:pPr>
              <w:jc w:val="center"/>
              <w:rPr>
                <w:rFonts w:ascii="Arial" w:hAnsi="Arial" w:cs="Arial"/>
                <w:b/>
                <w:bCs/>
                <w:color w:val="000000"/>
                <w:sz w:val="16"/>
                <w:szCs w:val="16"/>
              </w:rPr>
            </w:pPr>
            <w:r>
              <w:rPr>
                <w:rFonts w:ascii="Arial" w:hAnsi="Arial" w:cs="Arial"/>
                <w:b/>
                <w:bCs/>
                <w:sz w:val="16"/>
                <w:szCs w:val="16"/>
              </w:rPr>
              <w:t>Porcentaje de ejecución</w:t>
            </w:r>
          </w:p>
        </w:tc>
        <w:tc>
          <w:tcPr>
            <w:tcW w:w="1656"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742B0EA" w14:textId="77777777" w:rsidR="00485284" w:rsidRDefault="00485284">
            <w:pPr>
              <w:jc w:val="right"/>
              <w:rPr>
                <w:rFonts w:ascii="Arial" w:hAnsi="Arial" w:cs="Arial"/>
                <w:b/>
                <w:bCs/>
                <w:color w:val="000000"/>
                <w:sz w:val="16"/>
                <w:szCs w:val="16"/>
              </w:rPr>
            </w:pPr>
            <w:r>
              <w:rPr>
                <w:rFonts w:ascii="Arial" w:hAnsi="Arial" w:cs="Arial"/>
                <w:b/>
                <w:bCs/>
                <w:sz w:val="16"/>
                <w:szCs w:val="16"/>
              </w:rPr>
              <w:t>92%</w:t>
            </w:r>
          </w:p>
        </w:tc>
        <w:tc>
          <w:tcPr>
            <w:tcW w:w="16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489D741" w14:textId="77777777" w:rsidR="00485284" w:rsidRDefault="00485284">
            <w:pPr>
              <w:jc w:val="right"/>
              <w:rPr>
                <w:rFonts w:ascii="Arial" w:hAnsi="Arial" w:cs="Arial"/>
                <w:b/>
                <w:bCs/>
                <w:color w:val="000000"/>
                <w:sz w:val="16"/>
                <w:szCs w:val="16"/>
              </w:rPr>
            </w:pPr>
            <w:r>
              <w:rPr>
                <w:rFonts w:ascii="Arial" w:hAnsi="Arial" w:cs="Arial"/>
                <w:b/>
                <w:bCs/>
                <w:sz w:val="16"/>
                <w:szCs w:val="16"/>
              </w:rPr>
              <w:t>92%</w:t>
            </w:r>
          </w:p>
        </w:tc>
        <w:tc>
          <w:tcPr>
            <w:tcW w:w="152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7138EB7" w14:textId="77777777" w:rsidR="00485284" w:rsidRDefault="00485284">
            <w:pPr>
              <w:jc w:val="right"/>
              <w:rPr>
                <w:rFonts w:ascii="Arial" w:hAnsi="Arial" w:cs="Arial"/>
                <w:b/>
                <w:bCs/>
                <w:color w:val="000000"/>
                <w:sz w:val="16"/>
                <w:szCs w:val="16"/>
              </w:rPr>
            </w:pPr>
            <w:r>
              <w:rPr>
                <w:rFonts w:ascii="Arial" w:hAnsi="Arial" w:cs="Arial"/>
                <w:b/>
                <w:bCs/>
                <w:sz w:val="16"/>
                <w:szCs w:val="16"/>
              </w:rPr>
              <w:t>34%</w:t>
            </w:r>
          </w:p>
        </w:tc>
        <w:tc>
          <w:tcPr>
            <w:tcW w:w="107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456BB81" w14:textId="77777777" w:rsidR="00485284" w:rsidRDefault="00485284">
            <w:pPr>
              <w:jc w:val="right"/>
              <w:rPr>
                <w:rFonts w:ascii="Arial" w:hAnsi="Arial" w:cs="Arial"/>
                <w:b/>
                <w:bCs/>
                <w:color w:val="000000"/>
                <w:sz w:val="16"/>
                <w:szCs w:val="16"/>
              </w:rPr>
            </w:pPr>
            <w:r>
              <w:rPr>
                <w:rFonts w:ascii="Arial" w:hAnsi="Arial" w:cs="Arial"/>
                <w:b/>
                <w:bCs/>
                <w:sz w:val="16"/>
                <w:szCs w:val="16"/>
              </w:rPr>
              <w:t>34%</w:t>
            </w:r>
          </w:p>
        </w:tc>
      </w:tr>
    </w:tbl>
    <w:p w14:paraId="29B41418" w14:textId="3D64E726"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7C73A180"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6EDD3AF2" w14:textId="77777777" w:rsidR="00C02282" w:rsidRPr="00485284" w:rsidRDefault="00C02282" w:rsidP="00C02282">
      <w:pPr>
        <w:contextualSpacing/>
        <w:jc w:val="both"/>
        <w:rPr>
          <w:rFonts w:ascii="Arial" w:hAnsi="Arial" w:cs="Arial"/>
          <w:b/>
          <w:bCs/>
          <w:lang w:val="es-MX" w:eastAsia="es-ES"/>
        </w:rPr>
      </w:pPr>
      <w:r w:rsidRPr="00485284">
        <w:rPr>
          <w:rFonts w:ascii="Arial" w:hAnsi="Arial" w:cs="Arial"/>
          <w:b/>
          <w:bCs/>
          <w:lang w:val="es-MX" w:eastAsia="es-ES"/>
        </w:rPr>
        <w:t>Administrativa - Vicepresidencia Administrativa y Financiera:</w:t>
      </w:r>
    </w:p>
    <w:p w14:paraId="043B35C9" w14:textId="77777777" w:rsidR="00485284" w:rsidRPr="00485284" w:rsidRDefault="00485284" w:rsidP="00485284">
      <w:pPr>
        <w:jc w:val="both"/>
        <w:rPr>
          <w:rFonts w:ascii="Arial" w:hAnsi="Arial" w:cs="Arial"/>
          <w:lang w:val="es-MX" w:eastAsia="es-ES"/>
        </w:rPr>
      </w:pPr>
      <w:r w:rsidRPr="00485284">
        <w:rPr>
          <w:rFonts w:ascii="Arial" w:hAnsi="Arial" w:cs="Arial"/>
          <w:lang w:val="es-MX" w:eastAsia="es-ES"/>
        </w:rPr>
        <w:lastRenderedPageBreak/>
        <w:t>Al corte del II trimestre de 2018, se suscribieron ocho contratos por valor de $550 millones; para prestar servicios profesionales de acompañamiento a la Vicepresidencia Administrativa y Financiera de la ANH en la estructuración de los procesos contractuales, apoyo legal a la vicepresidencia administrativa y financiera de las actividades propias del proceso de control interno disciplinario en lo misional, en el proceso de gestión presupuestal y de activos fijos.</w:t>
      </w:r>
    </w:p>
    <w:p w14:paraId="6E8B003C" w14:textId="77777777" w:rsidR="00485284" w:rsidRPr="00485284" w:rsidRDefault="00485284" w:rsidP="00485284">
      <w:pPr>
        <w:jc w:val="both"/>
        <w:rPr>
          <w:rFonts w:ascii="Arial" w:hAnsi="Arial" w:cs="Arial"/>
          <w:lang w:val="es-MX" w:eastAsia="es-ES"/>
        </w:rPr>
      </w:pPr>
      <w:r w:rsidRPr="00485284">
        <w:rPr>
          <w:rFonts w:ascii="Arial" w:hAnsi="Arial" w:cs="Arial"/>
          <w:lang w:val="es-MX" w:eastAsia="es-ES"/>
        </w:rPr>
        <w:t xml:space="preserve">Se tramitaron viáticos del orden de $176 millones para viajes de funcionarios con el fin de cumplir con audiencias de cumplimiento legal, seguimientos de contratos administrativos, mesas de trabajo con la UIS, de control a la infraestructura del centro de datos alterno a la ANH, Asistencia al </w:t>
      </w:r>
      <w:proofErr w:type="spellStart"/>
      <w:r w:rsidRPr="00485284">
        <w:rPr>
          <w:rFonts w:ascii="Arial" w:hAnsi="Arial" w:cs="Arial"/>
          <w:lang w:val="es-MX" w:eastAsia="es-ES"/>
        </w:rPr>
        <w:t>Cio</w:t>
      </w:r>
      <w:proofErr w:type="spellEnd"/>
      <w:r w:rsidRPr="00485284">
        <w:rPr>
          <w:rFonts w:ascii="Arial" w:hAnsi="Arial" w:cs="Arial"/>
          <w:lang w:val="es-MX" w:eastAsia="es-ES"/>
        </w:rPr>
        <w:t xml:space="preserve"> Summit 2018 organizado por </w:t>
      </w:r>
      <w:proofErr w:type="spellStart"/>
      <w:r w:rsidRPr="00485284">
        <w:rPr>
          <w:rFonts w:ascii="Arial" w:hAnsi="Arial" w:cs="Arial"/>
          <w:lang w:val="es-MX" w:eastAsia="es-ES"/>
        </w:rPr>
        <w:t>Mintic</w:t>
      </w:r>
      <w:proofErr w:type="spellEnd"/>
      <w:r w:rsidRPr="00485284">
        <w:rPr>
          <w:rFonts w:ascii="Arial" w:hAnsi="Arial" w:cs="Arial"/>
          <w:lang w:val="es-MX" w:eastAsia="es-ES"/>
        </w:rPr>
        <w:t xml:space="preserve">, entre otros. </w:t>
      </w:r>
    </w:p>
    <w:p w14:paraId="022BB246" w14:textId="6CD72976" w:rsidR="00C02282" w:rsidRPr="00485284" w:rsidRDefault="00C02282" w:rsidP="00C02282">
      <w:pPr>
        <w:pStyle w:val="Descripcin"/>
        <w:keepNext/>
        <w:jc w:val="center"/>
      </w:pPr>
      <w:bookmarkStart w:id="148" w:name="_Toc525652518"/>
      <w:r w:rsidRPr="00485284">
        <w:t xml:space="preserve">Tabla </w:t>
      </w:r>
      <w:r w:rsidRPr="00485284">
        <w:fldChar w:fldCharType="begin"/>
      </w:r>
      <w:r w:rsidRPr="00485284">
        <w:instrText xml:space="preserve"> SEQ Tabla \* ARABIC </w:instrText>
      </w:r>
      <w:r w:rsidRPr="00485284">
        <w:fldChar w:fldCharType="separate"/>
      </w:r>
      <w:r w:rsidR="008B4625">
        <w:rPr>
          <w:noProof/>
        </w:rPr>
        <w:t>73</w:t>
      </w:r>
      <w:r w:rsidRPr="00485284">
        <w:fldChar w:fldCharType="end"/>
      </w:r>
      <w:r w:rsidRPr="00485284">
        <w:t>Ejecución Gastos de Comercialización y Producción – Administrativa 3</w:t>
      </w:r>
      <w:r w:rsidR="00485284" w:rsidRPr="00485284">
        <w:t xml:space="preserve">0 de junio de </w:t>
      </w:r>
      <w:r w:rsidRPr="00485284">
        <w:t xml:space="preserve"> 2018 ANH</w:t>
      </w:r>
      <w:bookmarkEnd w:id="148"/>
    </w:p>
    <w:tbl>
      <w:tblPr>
        <w:tblW w:w="9777" w:type="dxa"/>
        <w:jc w:val="center"/>
        <w:tblCellMar>
          <w:left w:w="70" w:type="dxa"/>
          <w:right w:w="70" w:type="dxa"/>
        </w:tblCellMar>
        <w:tblLook w:val="04A0" w:firstRow="1" w:lastRow="0" w:firstColumn="1" w:lastColumn="0" w:noHBand="0" w:noVBand="1"/>
      </w:tblPr>
      <w:tblGrid>
        <w:gridCol w:w="1975"/>
        <w:gridCol w:w="1424"/>
        <w:gridCol w:w="977"/>
        <w:gridCol w:w="581"/>
        <w:gridCol w:w="1842"/>
        <w:gridCol w:w="1560"/>
        <w:gridCol w:w="1418"/>
      </w:tblGrid>
      <w:tr w:rsidR="00485284" w14:paraId="03FEE302" w14:textId="77777777" w:rsidTr="00485284">
        <w:trPr>
          <w:trHeight w:val="409"/>
          <w:jc w:val="center"/>
        </w:trPr>
        <w:tc>
          <w:tcPr>
            <w:tcW w:w="1975"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620B2DF5" w14:textId="77777777" w:rsidR="00485284" w:rsidRDefault="00485284">
            <w:pPr>
              <w:jc w:val="center"/>
              <w:rPr>
                <w:rFonts w:ascii="Arial" w:hAnsi="Arial" w:cs="Arial"/>
                <w:b/>
                <w:bCs/>
                <w:color w:val="000000"/>
                <w:sz w:val="16"/>
                <w:szCs w:val="16"/>
              </w:rPr>
            </w:pPr>
            <w:r>
              <w:rPr>
                <w:rFonts w:ascii="Arial" w:hAnsi="Arial" w:cs="Arial"/>
                <w:b/>
                <w:bCs/>
                <w:sz w:val="16"/>
                <w:szCs w:val="16"/>
              </w:rPr>
              <w:t>Descripción</w:t>
            </w:r>
          </w:p>
        </w:tc>
        <w:tc>
          <w:tcPr>
            <w:tcW w:w="1424"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1EEF5D4" w14:textId="77777777" w:rsidR="00485284" w:rsidRDefault="00485284">
            <w:pPr>
              <w:jc w:val="center"/>
              <w:rPr>
                <w:rFonts w:ascii="Arial" w:hAnsi="Arial" w:cs="Arial"/>
                <w:b/>
                <w:bCs/>
                <w:color w:val="000000"/>
                <w:sz w:val="16"/>
                <w:szCs w:val="16"/>
              </w:rPr>
            </w:pPr>
            <w:r>
              <w:rPr>
                <w:rFonts w:ascii="Arial" w:hAnsi="Arial" w:cs="Arial"/>
                <w:b/>
                <w:bCs/>
                <w:sz w:val="16"/>
                <w:szCs w:val="16"/>
              </w:rPr>
              <w:t>Apropiación</w:t>
            </w:r>
          </w:p>
        </w:tc>
        <w:tc>
          <w:tcPr>
            <w:tcW w:w="1558" w:type="dxa"/>
            <w:gridSpan w:val="2"/>
            <w:tcBorders>
              <w:top w:val="single" w:sz="4" w:space="0" w:color="auto"/>
              <w:left w:val="nil"/>
              <w:bottom w:val="single" w:sz="4" w:space="0" w:color="auto"/>
              <w:right w:val="single" w:sz="4" w:space="0" w:color="auto"/>
            </w:tcBorders>
            <w:shd w:val="clear" w:color="auto" w:fill="4F81BD" w:themeFill="accent1"/>
            <w:vAlign w:val="center"/>
            <w:hideMark/>
          </w:tcPr>
          <w:p w14:paraId="2759C073"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84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938CDF9"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342AD43"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w:t>
            </w:r>
          </w:p>
        </w:tc>
        <w:tc>
          <w:tcPr>
            <w:tcW w:w="1418"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FFDBB15"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w:t>
            </w:r>
          </w:p>
        </w:tc>
      </w:tr>
      <w:tr w:rsidR="00485284" w14:paraId="6AC6A6D3" w14:textId="77777777" w:rsidTr="00485284">
        <w:trPr>
          <w:trHeight w:val="204"/>
          <w:jc w:val="center"/>
        </w:trPr>
        <w:tc>
          <w:tcPr>
            <w:tcW w:w="1975" w:type="dxa"/>
            <w:tcBorders>
              <w:top w:val="nil"/>
              <w:left w:val="single" w:sz="4" w:space="0" w:color="auto"/>
              <w:bottom w:val="single" w:sz="4" w:space="0" w:color="auto"/>
              <w:right w:val="single" w:sz="4" w:space="0" w:color="auto"/>
            </w:tcBorders>
            <w:noWrap/>
            <w:vAlign w:val="bottom"/>
            <w:hideMark/>
          </w:tcPr>
          <w:p w14:paraId="6457770D"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424" w:type="dxa"/>
            <w:tcBorders>
              <w:top w:val="nil"/>
              <w:left w:val="nil"/>
              <w:bottom w:val="single" w:sz="4" w:space="0" w:color="auto"/>
              <w:right w:val="single" w:sz="4" w:space="0" w:color="auto"/>
            </w:tcBorders>
            <w:noWrap/>
            <w:vAlign w:val="center"/>
            <w:hideMark/>
          </w:tcPr>
          <w:p w14:paraId="0A7F17D3" w14:textId="77777777" w:rsidR="00485284" w:rsidRDefault="00485284">
            <w:pPr>
              <w:jc w:val="right"/>
              <w:rPr>
                <w:rFonts w:ascii="Arial" w:hAnsi="Arial" w:cs="Arial"/>
                <w:color w:val="000000"/>
                <w:sz w:val="16"/>
                <w:szCs w:val="16"/>
              </w:rPr>
            </w:pPr>
            <w:r>
              <w:rPr>
                <w:rFonts w:ascii="Arial" w:hAnsi="Arial" w:cs="Arial"/>
                <w:sz w:val="16"/>
                <w:szCs w:val="16"/>
              </w:rPr>
              <w:t>$ 962</w:t>
            </w:r>
          </w:p>
        </w:tc>
        <w:tc>
          <w:tcPr>
            <w:tcW w:w="977" w:type="dxa"/>
            <w:tcBorders>
              <w:top w:val="nil"/>
              <w:left w:val="nil"/>
              <w:bottom w:val="single" w:sz="4" w:space="0" w:color="auto"/>
              <w:right w:val="nil"/>
            </w:tcBorders>
            <w:vAlign w:val="center"/>
            <w:hideMark/>
          </w:tcPr>
          <w:p w14:paraId="48C1B4EC" w14:textId="77777777" w:rsidR="00485284" w:rsidRDefault="00485284">
            <w:pPr>
              <w:jc w:val="right"/>
              <w:rPr>
                <w:rFonts w:ascii="Arial" w:hAnsi="Arial" w:cs="Arial"/>
                <w:color w:val="000000"/>
                <w:sz w:val="16"/>
                <w:szCs w:val="16"/>
              </w:rPr>
            </w:pPr>
            <w:r>
              <w:rPr>
                <w:rFonts w:ascii="Arial" w:hAnsi="Arial" w:cs="Arial"/>
                <w:sz w:val="16"/>
                <w:szCs w:val="16"/>
              </w:rPr>
              <w:t>$ 912</w:t>
            </w:r>
          </w:p>
        </w:tc>
        <w:tc>
          <w:tcPr>
            <w:tcW w:w="581" w:type="dxa"/>
            <w:tcBorders>
              <w:top w:val="nil"/>
              <w:left w:val="nil"/>
              <w:bottom w:val="single" w:sz="4" w:space="0" w:color="auto"/>
              <w:right w:val="single" w:sz="4" w:space="0" w:color="auto"/>
            </w:tcBorders>
            <w:noWrap/>
            <w:vAlign w:val="center"/>
            <w:hideMark/>
          </w:tcPr>
          <w:p w14:paraId="4A468F36" w14:textId="77777777" w:rsidR="00485284" w:rsidRDefault="00485284">
            <w:pPr>
              <w:rPr>
                <w:rFonts w:ascii="Calibri" w:hAnsi="Calibri" w:cs="Times New Roman"/>
                <w:color w:val="000000"/>
                <w:sz w:val="19"/>
                <w:szCs w:val="19"/>
              </w:rPr>
            </w:pPr>
          </w:p>
        </w:tc>
        <w:tc>
          <w:tcPr>
            <w:tcW w:w="1842" w:type="dxa"/>
            <w:tcBorders>
              <w:top w:val="nil"/>
              <w:left w:val="nil"/>
              <w:bottom w:val="single" w:sz="4" w:space="0" w:color="auto"/>
              <w:right w:val="single" w:sz="4" w:space="0" w:color="auto"/>
            </w:tcBorders>
            <w:noWrap/>
            <w:vAlign w:val="center"/>
            <w:hideMark/>
          </w:tcPr>
          <w:p w14:paraId="0FF0DD6B" w14:textId="77777777" w:rsidR="00485284" w:rsidRDefault="00485284">
            <w:pPr>
              <w:jc w:val="right"/>
              <w:rPr>
                <w:rFonts w:ascii="Arial" w:hAnsi="Arial" w:cs="Arial"/>
                <w:color w:val="000000"/>
                <w:sz w:val="16"/>
                <w:szCs w:val="16"/>
              </w:rPr>
            </w:pPr>
            <w:r>
              <w:rPr>
                <w:rFonts w:ascii="Arial" w:hAnsi="Arial" w:cs="Arial"/>
                <w:sz w:val="16"/>
                <w:szCs w:val="16"/>
              </w:rPr>
              <w:t>$ 801</w:t>
            </w:r>
          </w:p>
        </w:tc>
        <w:tc>
          <w:tcPr>
            <w:tcW w:w="1560" w:type="dxa"/>
            <w:tcBorders>
              <w:top w:val="nil"/>
              <w:left w:val="nil"/>
              <w:bottom w:val="single" w:sz="4" w:space="0" w:color="auto"/>
              <w:right w:val="single" w:sz="4" w:space="0" w:color="auto"/>
            </w:tcBorders>
            <w:noWrap/>
            <w:vAlign w:val="center"/>
            <w:hideMark/>
          </w:tcPr>
          <w:p w14:paraId="266AFA56" w14:textId="77777777" w:rsidR="00485284" w:rsidRDefault="00485284">
            <w:pPr>
              <w:jc w:val="right"/>
              <w:rPr>
                <w:rFonts w:ascii="Arial" w:hAnsi="Arial" w:cs="Arial"/>
                <w:color w:val="000000"/>
                <w:sz w:val="16"/>
                <w:szCs w:val="16"/>
              </w:rPr>
            </w:pPr>
            <w:r>
              <w:rPr>
                <w:rFonts w:ascii="Arial" w:hAnsi="Arial" w:cs="Arial"/>
                <w:sz w:val="16"/>
                <w:szCs w:val="16"/>
              </w:rPr>
              <w:t>$ 341</w:t>
            </w:r>
          </w:p>
        </w:tc>
        <w:tc>
          <w:tcPr>
            <w:tcW w:w="1418" w:type="dxa"/>
            <w:tcBorders>
              <w:top w:val="nil"/>
              <w:left w:val="nil"/>
              <w:bottom w:val="single" w:sz="4" w:space="0" w:color="auto"/>
              <w:right w:val="single" w:sz="4" w:space="0" w:color="auto"/>
            </w:tcBorders>
            <w:noWrap/>
            <w:vAlign w:val="center"/>
            <w:hideMark/>
          </w:tcPr>
          <w:p w14:paraId="71126C03" w14:textId="77777777" w:rsidR="00485284" w:rsidRDefault="00485284">
            <w:pPr>
              <w:jc w:val="right"/>
              <w:rPr>
                <w:rFonts w:ascii="Arial" w:hAnsi="Arial" w:cs="Arial"/>
                <w:color w:val="000000"/>
                <w:sz w:val="16"/>
                <w:szCs w:val="16"/>
              </w:rPr>
            </w:pPr>
            <w:r>
              <w:rPr>
                <w:rFonts w:ascii="Arial" w:hAnsi="Arial" w:cs="Arial"/>
                <w:sz w:val="16"/>
                <w:szCs w:val="16"/>
              </w:rPr>
              <w:t>$ 341</w:t>
            </w:r>
          </w:p>
        </w:tc>
      </w:tr>
      <w:tr w:rsidR="00485284" w14:paraId="7D899EF1" w14:textId="77777777" w:rsidTr="00485284">
        <w:trPr>
          <w:trHeight w:val="204"/>
          <w:jc w:val="center"/>
        </w:trPr>
        <w:tc>
          <w:tcPr>
            <w:tcW w:w="3399"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73B9DF7F" w14:textId="77777777" w:rsidR="00485284" w:rsidRDefault="00485284">
            <w:pPr>
              <w:jc w:val="center"/>
              <w:rPr>
                <w:rFonts w:ascii="Arial" w:hAnsi="Arial" w:cs="Arial"/>
                <w:b/>
                <w:bCs/>
                <w:color w:val="000000"/>
                <w:sz w:val="16"/>
                <w:szCs w:val="16"/>
              </w:rPr>
            </w:pPr>
            <w:r>
              <w:rPr>
                <w:rFonts w:ascii="Arial" w:hAnsi="Arial" w:cs="Arial"/>
                <w:b/>
                <w:bCs/>
                <w:sz w:val="16"/>
                <w:szCs w:val="16"/>
              </w:rPr>
              <w:t>Porcentaje de ejecución</w:t>
            </w:r>
          </w:p>
        </w:tc>
        <w:tc>
          <w:tcPr>
            <w:tcW w:w="977" w:type="dxa"/>
            <w:tcBorders>
              <w:top w:val="single" w:sz="4" w:space="0" w:color="auto"/>
              <w:left w:val="nil"/>
              <w:bottom w:val="single" w:sz="4" w:space="0" w:color="auto"/>
              <w:right w:val="nil"/>
            </w:tcBorders>
            <w:shd w:val="clear" w:color="auto" w:fill="4F81BD" w:themeFill="accent1"/>
          </w:tcPr>
          <w:p w14:paraId="3CBFFDB4" w14:textId="77777777" w:rsidR="00485284" w:rsidRDefault="00485284">
            <w:pPr>
              <w:jc w:val="right"/>
              <w:rPr>
                <w:rFonts w:ascii="Arial" w:hAnsi="Arial" w:cs="Arial"/>
                <w:b/>
                <w:bCs/>
                <w:color w:val="000000"/>
                <w:sz w:val="16"/>
                <w:szCs w:val="16"/>
              </w:rPr>
            </w:pPr>
          </w:p>
        </w:tc>
        <w:tc>
          <w:tcPr>
            <w:tcW w:w="581"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C74B1E4" w14:textId="77777777" w:rsidR="00485284" w:rsidRDefault="00485284">
            <w:pPr>
              <w:jc w:val="right"/>
              <w:rPr>
                <w:rFonts w:ascii="Arial" w:hAnsi="Arial" w:cs="Arial"/>
                <w:b/>
                <w:bCs/>
                <w:color w:val="000000"/>
                <w:sz w:val="16"/>
                <w:szCs w:val="16"/>
              </w:rPr>
            </w:pPr>
            <w:r>
              <w:rPr>
                <w:rFonts w:ascii="Arial" w:hAnsi="Arial" w:cs="Arial"/>
                <w:b/>
                <w:bCs/>
                <w:sz w:val="16"/>
                <w:szCs w:val="16"/>
              </w:rPr>
              <w:t>95%</w:t>
            </w:r>
          </w:p>
        </w:tc>
        <w:tc>
          <w:tcPr>
            <w:tcW w:w="184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3D946F5" w14:textId="77777777" w:rsidR="00485284" w:rsidRDefault="00485284">
            <w:pPr>
              <w:jc w:val="right"/>
              <w:rPr>
                <w:rFonts w:ascii="Arial" w:hAnsi="Arial" w:cs="Arial"/>
                <w:b/>
                <w:bCs/>
                <w:color w:val="000000"/>
                <w:sz w:val="16"/>
                <w:szCs w:val="16"/>
              </w:rPr>
            </w:pPr>
            <w:r>
              <w:rPr>
                <w:rFonts w:ascii="Arial" w:hAnsi="Arial" w:cs="Arial"/>
                <w:b/>
                <w:bCs/>
                <w:sz w:val="16"/>
                <w:szCs w:val="16"/>
              </w:rPr>
              <w:t>83%</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183D14A" w14:textId="77777777" w:rsidR="00485284" w:rsidRDefault="00485284">
            <w:pPr>
              <w:jc w:val="right"/>
              <w:rPr>
                <w:rFonts w:ascii="Arial" w:hAnsi="Arial" w:cs="Arial"/>
                <w:b/>
                <w:bCs/>
                <w:color w:val="000000"/>
                <w:sz w:val="16"/>
                <w:szCs w:val="16"/>
              </w:rPr>
            </w:pPr>
            <w:r>
              <w:rPr>
                <w:rFonts w:ascii="Arial" w:hAnsi="Arial" w:cs="Arial"/>
                <w:b/>
                <w:bCs/>
                <w:sz w:val="16"/>
                <w:szCs w:val="16"/>
              </w:rPr>
              <w:t>35%</w:t>
            </w:r>
          </w:p>
        </w:tc>
        <w:tc>
          <w:tcPr>
            <w:tcW w:w="1418"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900C4C6" w14:textId="77777777" w:rsidR="00485284" w:rsidRDefault="00485284">
            <w:pPr>
              <w:jc w:val="right"/>
              <w:rPr>
                <w:rFonts w:ascii="Arial" w:hAnsi="Arial" w:cs="Arial"/>
                <w:b/>
                <w:bCs/>
                <w:color w:val="000000"/>
                <w:sz w:val="16"/>
                <w:szCs w:val="16"/>
              </w:rPr>
            </w:pPr>
            <w:r>
              <w:rPr>
                <w:rFonts w:ascii="Arial" w:hAnsi="Arial" w:cs="Arial"/>
                <w:b/>
                <w:bCs/>
                <w:sz w:val="16"/>
                <w:szCs w:val="16"/>
              </w:rPr>
              <w:t>35%</w:t>
            </w:r>
          </w:p>
        </w:tc>
      </w:tr>
    </w:tbl>
    <w:p w14:paraId="79054AC4" w14:textId="23A37A8A"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5B124BF8"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62D4021D" w14:textId="77777777" w:rsidR="00C02282" w:rsidRPr="00485284" w:rsidRDefault="00C02282" w:rsidP="00C02282">
      <w:pPr>
        <w:jc w:val="both"/>
        <w:rPr>
          <w:rFonts w:ascii="Arial" w:hAnsi="Arial" w:cs="Arial"/>
          <w:b/>
          <w:bCs/>
          <w:lang w:val="es-MX" w:eastAsia="es-ES"/>
        </w:rPr>
      </w:pPr>
      <w:r w:rsidRPr="00485284">
        <w:rPr>
          <w:rFonts w:ascii="Arial" w:hAnsi="Arial" w:cs="Arial"/>
          <w:b/>
          <w:lang w:val="es-ES" w:eastAsia="es-ES"/>
        </w:rPr>
        <w:t xml:space="preserve">Talento Humano - </w:t>
      </w:r>
      <w:r w:rsidRPr="00485284">
        <w:rPr>
          <w:rFonts w:ascii="Arial" w:hAnsi="Arial" w:cs="Arial"/>
          <w:b/>
          <w:bCs/>
          <w:lang w:val="es-MX" w:eastAsia="es-ES"/>
        </w:rPr>
        <w:t>Vicepresidencia Administrativa y Financiera:</w:t>
      </w:r>
    </w:p>
    <w:p w14:paraId="524DBC18" w14:textId="1BD117A6" w:rsidR="00C02282" w:rsidRPr="00485284" w:rsidRDefault="00485284" w:rsidP="00485284">
      <w:pPr>
        <w:jc w:val="both"/>
        <w:rPr>
          <w:rFonts w:ascii="Arial" w:hAnsi="Arial" w:cs="Arial"/>
          <w:sz w:val="16"/>
          <w:szCs w:val="16"/>
          <w:lang w:val="es-MX" w:eastAsia="es-ES"/>
        </w:rPr>
      </w:pPr>
      <w:r w:rsidRPr="00485284">
        <w:rPr>
          <w:rFonts w:ascii="Arial" w:hAnsi="Arial" w:cs="Arial"/>
          <w:lang w:val="es-MX" w:eastAsia="es-ES"/>
        </w:rPr>
        <w:t>Se suscribieron tres contratos de prestación de servicios cuyo valor ascendió a $356 millones de peses para apoyar la reestructuración del personal de planta, el desarrollo de las actividades para la elaboración, desarrollo y articulación del sistema de gestión ambiental y apoyo al proceso de talento humano.</w:t>
      </w:r>
    </w:p>
    <w:p w14:paraId="0B35C12F" w14:textId="2773AD6E" w:rsidR="00C02282" w:rsidRPr="00485284" w:rsidRDefault="00C02282" w:rsidP="00C02282">
      <w:pPr>
        <w:pStyle w:val="Descripcin"/>
        <w:keepNext/>
        <w:jc w:val="center"/>
      </w:pPr>
      <w:bookmarkStart w:id="149" w:name="_Toc525652519"/>
      <w:r w:rsidRPr="00485284">
        <w:t xml:space="preserve">Tabla </w:t>
      </w:r>
      <w:r w:rsidRPr="00485284">
        <w:fldChar w:fldCharType="begin"/>
      </w:r>
      <w:r w:rsidRPr="00485284">
        <w:instrText xml:space="preserve"> SEQ Tabla \* ARABIC </w:instrText>
      </w:r>
      <w:r w:rsidRPr="00485284">
        <w:fldChar w:fldCharType="separate"/>
      </w:r>
      <w:r w:rsidR="008B4625">
        <w:rPr>
          <w:noProof/>
        </w:rPr>
        <w:t>74</w:t>
      </w:r>
      <w:r w:rsidRPr="00485284">
        <w:fldChar w:fldCharType="end"/>
      </w:r>
      <w:r w:rsidRPr="00485284">
        <w:t xml:space="preserve"> Ejecución Gastos de Comercialización y Producción – Talento Humano 3</w:t>
      </w:r>
      <w:r w:rsidR="00485284" w:rsidRPr="00485284">
        <w:t xml:space="preserve">0 de junio de </w:t>
      </w:r>
      <w:r w:rsidRPr="00485284">
        <w:t>2018 ANH</w:t>
      </w:r>
      <w:bookmarkEnd w:id="149"/>
    </w:p>
    <w:tbl>
      <w:tblPr>
        <w:tblW w:w="9777" w:type="dxa"/>
        <w:jc w:val="center"/>
        <w:tblCellMar>
          <w:left w:w="70" w:type="dxa"/>
          <w:right w:w="70" w:type="dxa"/>
        </w:tblCellMar>
        <w:tblLook w:val="04A0" w:firstRow="1" w:lastRow="0" w:firstColumn="1" w:lastColumn="0" w:noHBand="0" w:noVBand="1"/>
      </w:tblPr>
      <w:tblGrid>
        <w:gridCol w:w="1975"/>
        <w:gridCol w:w="1424"/>
        <w:gridCol w:w="977"/>
        <w:gridCol w:w="581"/>
        <w:gridCol w:w="1842"/>
        <w:gridCol w:w="1560"/>
        <w:gridCol w:w="1418"/>
      </w:tblGrid>
      <w:tr w:rsidR="00485284" w:rsidRPr="00485284" w14:paraId="6B80BAFD" w14:textId="77777777" w:rsidTr="00485284">
        <w:trPr>
          <w:trHeight w:val="409"/>
          <w:jc w:val="center"/>
        </w:trPr>
        <w:tc>
          <w:tcPr>
            <w:tcW w:w="1975"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B1C60FA"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Descripción</w:t>
            </w:r>
          </w:p>
        </w:tc>
        <w:tc>
          <w:tcPr>
            <w:tcW w:w="1424"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AC12438"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Apropiación</w:t>
            </w:r>
          </w:p>
        </w:tc>
        <w:tc>
          <w:tcPr>
            <w:tcW w:w="1558" w:type="dxa"/>
            <w:gridSpan w:val="2"/>
            <w:tcBorders>
              <w:top w:val="single" w:sz="4" w:space="0" w:color="auto"/>
              <w:left w:val="nil"/>
              <w:bottom w:val="single" w:sz="4" w:space="0" w:color="auto"/>
              <w:right w:val="single" w:sz="4" w:space="0" w:color="auto"/>
            </w:tcBorders>
            <w:shd w:val="clear" w:color="auto" w:fill="4F81BD" w:themeFill="accent1"/>
            <w:vAlign w:val="center"/>
            <w:hideMark/>
          </w:tcPr>
          <w:p w14:paraId="5E976A88"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CDP</w:t>
            </w:r>
          </w:p>
        </w:tc>
        <w:tc>
          <w:tcPr>
            <w:tcW w:w="184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1DEDCB6"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Compromisos</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DC6353F"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Obligaciones</w:t>
            </w:r>
          </w:p>
        </w:tc>
        <w:tc>
          <w:tcPr>
            <w:tcW w:w="1418"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7F5606C"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Pagos</w:t>
            </w:r>
          </w:p>
        </w:tc>
      </w:tr>
      <w:tr w:rsidR="00485284" w:rsidRPr="00485284" w14:paraId="174913DE" w14:textId="77777777" w:rsidTr="00485284">
        <w:trPr>
          <w:trHeight w:val="204"/>
          <w:jc w:val="center"/>
        </w:trPr>
        <w:tc>
          <w:tcPr>
            <w:tcW w:w="1975" w:type="dxa"/>
            <w:tcBorders>
              <w:top w:val="nil"/>
              <w:left w:val="single" w:sz="4" w:space="0" w:color="auto"/>
              <w:bottom w:val="single" w:sz="4" w:space="0" w:color="auto"/>
              <w:right w:val="single" w:sz="4" w:space="0" w:color="auto"/>
            </w:tcBorders>
            <w:noWrap/>
            <w:vAlign w:val="bottom"/>
            <w:hideMark/>
          </w:tcPr>
          <w:p w14:paraId="44927F1C" w14:textId="77777777" w:rsidR="00485284" w:rsidRPr="00485284" w:rsidRDefault="00485284">
            <w:pPr>
              <w:rPr>
                <w:rFonts w:ascii="Arial" w:hAnsi="Arial" w:cs="Arial"/>
                <w:b/>
                <w:bCs/>
                <w:color w:val="000000"/>
                <w:sz w:val="16"/>
                <w:szCs w:val="16"/>
              </w:rPr>
            </w:pPr>
            <w:r w:rsidRPr="00485284">
              <w:rPr>
                <w:rFonts w:ascii="Arial" w:hAnsi="Arial" w:cs="Arial"/>
                <w:b/>
                <w:bCs/>
                <w:sz w:val="16"/>
                <w:szCs w:val="16"/>
              </w:rPr>
              <w:t>Gastos de Comercialización</w:t>
            </w:r>
          </w:p>
        </w:tc>
        <w:tc>
          <w:tcPr>
            <w:tcW w:w="1424" w:type="dxa"/>
            <w:tcBorders>
              <w:top w:val="nil"/>
              <w:left w:val="nil"/>
              <w:bottom w:val="single" w:sz="4" w:space="0" w:color="auto"/>
              <w:right w:val="single" w:sz="4" w:space="0" w:color="auto"/>
            </w:tcBorders>
            <w:noWrap/>
            <w:vAlign w:val="center"/>
            <w:hideMark/>
          </w:tcPr>
          <w:p w14:paraId="4323311C"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$ 360</w:t>
            </w:r>
          </w:p>
        </w:tc>
        <w:tc>
          <w:tcPr>
            <w:tcW w:w="977" w:type="dxa"/>
            <w:tcBorders>
              <w:top w:val="nil"/>
              <w:left w:val="nil"/>
              <w:bottom w:val="single" w:sz="4" w:space="0" w:color="auto"/>
              <w:right w:val="nil"/>
            </w:tcBorders>
            <w:vAlign w:val="center"/>
            <w:hideMark/>
          </w:tcPr>
          <w:p w14:paraId="381FD424"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$ 355</w:t>
            </w:r>
          </w:p>
        </w:tc>
        <w:tc>
          <w:tcPr>
            <w:tcW w:w="581" w:type="dxa"/>
            <w:tcBorders>
              <w:top w:val="nil"/>
              <w:left w:val="nil"/>
              <w:bottom w:val="single" w:sz="4" w:space="0" w:color="auto"/>
              <w:right w:val="single" w:sz="4" w:space="0" w:color="auto"/>
            </w:tcBorders>
            <w:noWrap/>
            <w:vAlign w:val="center"/>
            <w:hideMark/>
          </w:tcPr>
          <w:p w14:paraId="381A422B" w14:textId="77777777" w:rsidR="00485284" w:rsidRPr="00485284" w:rsidRDefault="00485284">
            <w:pPr>
              <w:rPr>
                <w:rFonts w:ascii="Calibri" w:hAnsi="Calibri" w:cs="Times New Roman"/>
                <w:color w:val="000000"/>
                <w:sz w:val="19"/>
                <w:szCs w:val="19"/>
              </w:rPr>
            </w:pPr>
          </w:p>
        </w:tc>
        <w:tc>
          <w:tcPr>
            <w:tcW w:w="1842" w:type="dxa"/>
            <w:tcBorders>
              <w:top w:val="nil"/>
              <w:left w:val="nil"/>
              <w:bottom w:val="single" w:sz="4" w:space="0" w:color="auto"/>
              <w:right w:val="single" w:sz="4" w:space="0" w:color="auto"/>
            </w:tcBorders>
            <w:noWrap/>
            <w:vAlign w:val="center"/>
            <w:hideMark/>
          </w:tcPr>
          <w:p w14:paraId="62694456"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$ 355</w:t>
            </w:r>
          </w:p>
        </w:tc>
        <w:tc>
          <w:tcPr>
            <w:tcW w:w="1560" w:type="dxa"/>
            <w:tcBorders>
              <w:top w:val="nil"/>
              <w:left w:val="nil"/>
              <w:bottom w:val="single" w:sz="4" w:space="0" w:color="auto"/>
              <w:right w:val="single" w:sz="4" w:space="0" w:color="auto"/>
            </w:tcBorders>
            <w:noWrap/>
            <w:vAlign w:val="center"/>
            <w:hideMark/>
          </w:tcPr>
          <w:p w14:paraId="7B6F737A"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$ 113</w:t>
            </w:r>
          </w:p>
        </w:tc>
        <w:tc>
          <w:tcPr>
            <w:tcW w:w="1418" w:type="dxa"/>
            <w:tcBorders>
              <w:top w:val="nil"/>
              <w:left w:val="nil"/>
              <w:bottom w:val="single" w:sz="4" w:space="0" w:color="auto"/>
              <w:right w:val="single" w:sz="4" w:space="0" w:color="auto"/>
            </w:tcBorders>
            <w:noWrap/>
            <w:vAlign w:val="center"/>
            <w:hideMark/>
          </w:tcPr>
          <w:p w14:paraId="7DAE0029"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$ 113</w:t>
            </w:r>
          </w:p>
        </w:tc>
      </w:tr>
      <w:tr w:rsidR="00485284" w:rsidRPr="00485284" w14:paraId="1EA26892" w14:textId="77777777" w:rsidTr="00485284">
        <w:trPr>
          <w:trHeight w:val="204"/>
          <w:jc w:val="center"/>
        </w:trPr>
        <w:tc>
          <w:tcPr>
            <w:tcW w:w="1975" w:type="dxa"/>
            <w:tcBorders>
              <w:top w:val="single" w:sz="4" w:space="0" w:color="auto"/>
              <w:left w:val="nil"/>
              <w:bottom w:val="nil"/>
              <w:right w:val="nil"/>
            </w:tcBorders>
            <w:noWrap/>
            <w:vAlign w:val="bottom"/>
            <w:hideMark/>
          </w:tcPr>
          <w:p w14:paraId="698BDF92" w14:textId="77777777" w:rsidR="00485284" w:rsidRPr="00485284" w:rsidRDefault="00485284">
            <w:pPr>
              <w:rPr>
                <w:rFonts w:ascii="Calibri" w:hAnsi="Calibri" w:cs="Times New Roman"/>
                <w:color w:val="000000"/>
                <w:sz w:val="19"/>
                <w:szCs w:val="19"/>
              </w:rPr>
            </w:pPr>
          </w:p>
        </w:tc>
        <w:tc>
          <w:tcPr>
            <w:tcW w:w="1424" w:type="dxa"/>
            <w:tcBorders>
              <w:top w:val="single" w:sz="4" w:space="0" w:color="auto"/>
              <w:left w:val="nil"/>
              <w:bottom w:val="nil"/>
              <w:right w:val="nil"/>
            </w:tcBorders>
            <w:noWrap/>
            <w:vAlign w:val="bottom"/>
            <w:hideMark/>
          </w:tcPr>
          <w:p w14:paraId="360CDF86" w14:textId="77777777" w:rsidR="00485284" w:rsidRPr="00485284" w:rsidRDefault="00485284">
            <w:pPr>
              <w:rPr>
                <w:rFonts w:ascii="Calibri" w:hAnsi="Calibri" w:cs="Times New Roman"/>
                <w:color w:val="000000"/>
                <w:sz w:val="19"/>
                <w:szCs w:val="19"/>
              </w:rPr>
            </w:pPr>
          </w:p>
        </w:tc>
        <w:tc>
          <w:tcPr>
            <w:tcW w:w="977" w:type="dxa"/>
            <w:tcBorders>
              <w:top w:val="single" w:sz="4" w:space="0" w:color="auto"/>
              <w:left w:val="nil"/>
              <w:bottom w:val="nil"/>
              <w:right w:val="nil"/>
            </w:tcBorders>
          </w:tcPr>
          <w:p w14:paraId="26E7D858" w14:textId="77777777" w:rsidR="00485284" w:rsidRPr="00485284" w:rsidRDefault="00485284">
            <w:pPr>
              <w:rPr>
                <w:rFonts w:ascii="Arial" w:hAnsi="Arial" w:cs="Arial"/>
                <w:sz w:val="16"/>
                <w:szCs w:val="16"/>
              </w:rPr>
            </w:pPr>
          </w:p>
        </w:tc>
        <w:tc>
          <w:tcPr>
            <w:tcW w:w="581" w:type="dxa"/>
            <w:tcBorders>
              <w:top w:val="single" w:sz="4" w:space="0" w:color="auto"/>
              <w:left w:val="nil"/>
              <w:bottom w:val="nil"/>
              <w:right w:val="nil"/>
            </w:tcBorders>
            <w:noWrap/>
            <w:vAlign w:val="bottom"/>
            <w:hideMark/>
          </w:tcPr>
          <w:p w14:paraId="27637872" w14:textId="77777777" w:rsidR="00485284" w:rsidRPr="00485284" w:rsidRDefault="00485284">
            <w:pPr>
              <w:rPr>
                <w:rFonts w:ascii="Calibri" w:hAnsi="Calibri" w:cs="Times New Roman"/>
                <w:color w:val="000000"/>
                <w:sz w:val="19"/>
                <w:szCs w:val="19"/>
              </w:rPr>
            </w:pPr>
          </w:p>
        </w:tc>
        <w:tc>
          <w:tcPr>
            <w:tcW w:w="1842" w:type="dxa"/>
            <w:tcBorders>
              <w:top w:val="single" w:sz="4" w:space="0" w:color="auto"/>
              <w:left w:val="nil"/>
              <w:bottom w:val="nil"/>
              <w:right w:val="nil"/>
            </w:tcBorders>
            <w:noWrap/>
            <w:vAlign w:val="bottom"/>
            <w:hideMark/>
          </w:tcPr>
          <w:p w14:paraId="2E10640A" w14:textId="77777777" w:rsidR="00485284" w:rsidRPr="00485284" w:rsidRDefault="00485284">
            <w:pPr>
              <w:rPr>
                <w:rFonts w:ascii="Calibri" w:hAnsi="Calibri" w:cs="Times New Roman"/>
                <w:color w:val="000000"/>
                <w:sz w:val="19"/>
                <w:szCs w:val="19"/>
              </w:rPr>
            </w:pPr>
          </w:p>
        </w:tc>
        <w:tc>
          <w:tcPr>
            <w:tcW w:w="1560" w:type="dxa"/>
            <w:tcBorders>
              <w:top w:val="single" w:sz="4" w:space="0" w:color="auto"/>
              <w:left w:val="nil"/>
              <w:bottom w:val="nil"/>
              <w:right w:val="nil"/>
            </w:tcBorders>
            <w:noWrap/>
            <w:vAlign w:val="bottom"/>
            <w:hideMark/>
          </w:tcPr>
          <w:p w14:paraId="45DA9711" w14:textId="77777777" w:rsidR="00485284" w:rsidRPr="00485284" w:rsidRDefault="00485284">
            <w:pPr>
              <w:rPr>
                <w:rFonts w:ascii="Calibri" w:hAnsi="Calibri" w:cs="Times New Roman"/>
                <w:color w:val="000000"/>
                <w:sz w:val="19"/>
                <w:szCs w:val="19"/>
              </w:rPr>
            </w:pPr>
          </w:p>
        </w:tc>
        <w:tc>
          <w:tcPr>
            <w:tcW w:w="1418" w:type="dxa"/>
            <w:tcBorders>
              <w:top w:val="single" w:sz="4" w:space="0" w:color="auto"/>
              <w:left w:val="nil"/>
              <w:bottom w:val="nil"/>
              <w:right w:val="nil"/>
            </w:tcBorders>
            <w:noWrap/>
            <w:vAlign w:val="bottom"/>
            <w:hideMark/>
          </w:tcPr>
          <w:p w14:paraId="6DE2534B" w14:textId="77777777" w:rsidR="00485284" w:rsidRPr="00485284" w:rsidRDefault="00485284">
            <w:pPr>
              <w:rPr>
                <w:rFonts w:ascii="Calibri" w:hAnsi="Calibri" w:cs="Times New Roman"/>
                <w:color w:val="000000"/>
                <w:sz w:val="19"/>
                <w:szCs w:val="19"/>
              </w:rPr>
            </w:pPr>
          </w:p>
        </w:tc>
      </w:tr>
      <w:tr w:rsidR="00485284" w:rsidRPr="00485284" w14:paraId="3F22EE7C" w14:textId="77777777" w:rsidTr="00485284">
        <w:trPr>
          <w:trHeight w:val="204"/>
          <w:jc w:val="center"/>
        </w:trPr>
        <w:tc>
          <w:tcPr>
            <w:tcW w:w="3399"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7927A56"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Porcentaje de ejecución</w:t>
            </w:r>
          </w:p>
        </w:tc>
        <w:tc>
          <w:tcPr>
            <w:tcW w:w="977" w:type="dxa"/>
            <w:tcBorders>
              <w:top w:val="single" w:sz="4" w:space="0" w:color="auto"/>
              <w:left w:val="nil"/>
              <w:bottom w:val="single" w:sz="4" w:space="0" w:color="auto"/>
              <w:right w:val="nil"/>
            </w:tcBorders>
            <w:shd w:val="clear" w:color="auto" w:fill="4F81BD" w:themeFill="accent1"/>
          </w:tcPr>
          <w:p w14:paraId="296C1228" w14:textId="77777777" w:rsidR="00485284" w:rsidRPr="00485284" w:rsidRDefault="00485284">
            <w:pPr>
              <w:jc w:val="right"/>
              <w:rPr>
                <w:rFonts w:ascii="Arial" w:hAnsi="Arial" w:cs="Arial"/>
                <w:b/>
                <w:bCs/>
                <w:color w:val="000000"/>
                <w:sz w:val="16"/>
                <w:szCs w:val="16"/>
              </w:rPr>
            </w:pPr>
          </w:p>
        </w:tc>
        <w:tc>
          <w:tcPr>
            <w:tcW w:w="581"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2014500"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99%</w:t>
            </w:r>
          </w:p>
        </w:tc>
        <w:tc>
          <w:tcPr>
            <w:tcW w:w="184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5C0DAE0"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99%</w:t>
            </w:r>
          </w:p>
        </w:tc>
        <w:tc>
          <w:tcPr>
            <w:tcW w:w="156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299C754"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31%</w:t>
            </w:r>
          </w:p>
        </w:tc>
        <w:tc>
          <w:tcPr>
            <w:tcW w:w="1418"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080900B"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31%</w:t>
            </w:r>
          </w:p>
        </w:tc>
      </w:tr>
    </w:tbl>
    <w:p w14:paraId="380A9BD6" w14:textId="3A23D886"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0A0943E0"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0F99D74F" w14:textId="77777777" w:rsidR="00C02282" w:rsidRPr="00485284" w:rsidRDefault="00C02282" w:rsidP="00C02282">
      <w:pPr>
        <w:contextualSpacing/>
        <w:jc w:val="both"/>
        <w:rPr>
          <w:rFonts w:ascii="Arial" w:hAnsi="Arial" w:cs="Arial"/>
          <w:b/>
          <w:bCs/>
          <w:lang w:val="es-MX" w:eastAsia="es-ES"/>
        </w:rPr>
      </w:pPr>
      <w:r w:rsidRPr="00485284">
        <w:rPr>
          <w:rFonts w:ascii="Arial" w:hAnsi="Arial" w:cs="Arial"/>
          <w:bCs/>
          <w:lang w:val="es-MX" w:eastAsia="es-ES"/>
        </w:rPr>
        <w:t xml:space="preserve">Para el segundo trimestre del año no se ha programado la celebración de nuevos contratos. </w:t>
      </w:r>
    </w:p>
    <w:p w14:paraId="1BE5A1A8" w14:textId="3C088673" w:rsidR="00C02282" w:rsidRDefault="00C02282" w:rsidP="00C02282">
      <w:pPr>
        <w:contextualSpacing/>
        <w:jc w:val="both"/>
        <w:rPr>
          <w:rFonts w:ascii="Arial" w:hAnsi="Arial" w:cs="Arial"/>
          <w:b/>
          <w:bCs/>
          <w:lang w:val="es-MX" w:eastAsia="es-ES"/>
        </w:rPr>
      </w:pPr>
    </w:p>
    <w:p w14:paraId="2E1AC26B" w14:textId="610A8682" w:rsidR="00CC62DC" w:rsidRDefault="00CC62DC" w:rsidP="00C02282">
      <w:pPr>
        <w:contextualSpacing/>
        <w:jc w:val="both"/>
        <w:rPr>
          <w:rFonts w:ascii="Arial" w:hAnsi="Arial" w:cs="Arial"/>
          <w:b/>
          <w:bCs/>
          <w:lang w:val="es-MX" w:eastAsia="es-ES"/>
        </w:rPr>
      </w:pPr>
    </w:p>
    <w:p w14:paraId="53776719" w14:textId="77777777" w:rsidR="00C02282" w:rsidRPr="00485284" w:rsidRDefault="00C02282" w:rsidP="00C02282">
      <w:pPr>
        <w:contextualSpacing/>
        <w:jc w:val="both"/>
        <w:rPr>
          <w:rFonts w:ascii="Arial" w:hAnsi="Arial" w:cs="Arial"/>
          <w:b/>
          <w:bCs/>
          <w:lang w:val="es-MX" w:eastAsia="es-ES"/>
        </w:rPr>
      </w:pPr>
      <w:r w:rsidRPr="00485284">
        <w:rPr>
          <w:rFonts w:ascii="Arial" w:hAnsi="Arial" w:cs="Arial"/>
          <w:b/>
          <w:bCs/>
          <w:lang w:val="es-MX" w:eastAsia="es-ES"/>
        </w:rPr>
        <w:lastRenderedPageBreak/>
        <w:t>Participación Ciudadana – Vicepresidencia Administrativa y Financiera:</w:t>
      </w:r>
    </w:p>
    <w:p w14:paraId="6FC8E3F2" w14:textId="77777777" w:rsidR="00C02282" w:rsidRPr="006A67B4" w:rsidRDefault="00C02282" w:rsidP="00C02282">
      <w:pPr>
        <w:jc w:val="center"/>
        <w:rPr>
          <w:rFonts w:ascii="Calibri" w:hAnsi="Calibri" w:cs="Calibri"/>
          <w:b/>
          <w:highlight w:val="yellow"/>
        </w:rPr>
      </w:pPr>
    </w:p>
    <w:p w14:paraId="08DDB919" w14:textId="34D33D40" w:rsidR="00C02282" w:rsidRPr="00485284" w:rsidRDefault="00C02282" w:rsidP="00485284">
      <w:pPr>
        <w:pStyle w:val="Descripcin"/>
        <w:keepNext/>
        <w:jc w:val="center"/>
      </w:pPr>
      <w:bookmarkStart w:id="150" w:name="_Toc525652520"/>
      <w:r w:rsidRPr="00485284">
        <w:t xml:space="preserve">Tabla </w:t>
      </w:r>
      <w:r w:rsidRPr="00485284">
        <w:fldChar w:fldCharType="begin"/>
      </w:r>
      <w:r w:rsidRPr="00485284">
        <w:instrText xml:space="preserve"> SEQ Tabla \* ARABIC </w:instrText>
      </w:r>
      <w:r w:rsidRPr="00485284">
        <w:fldChar w:fldCharType="separate"/>
      </w:r>
      <w:r w:rsidR="008B4625">
        <w:rPr>
          <w:noProof/>
        </w:rPr>
        <w:t>75</w:t>
      </w:r>
      <w:r w:rsidRPr="00485284">
        <w:fldChar w:fldCharType="end"/>
      </w:r>
      <w:r w:rsidRPr="00485284">
        <w:t xml:space="preserve"> Gastos de Comercialización y Producción – </w:t>
      </w:r>
      <w:r w:rsidR="00CC62DC" w:rsidRPr="00485284">
        <w:t>Participación</w:t>
      </w:r>
      <w:r w:rsidRPr="00485284">
        <w:t xml:space="preserve"> Ciudadana Contratación 3</w:t>
      </w:r>
      <w:r w:rsidR="00485284" w:rsidRPr="00485284">
        <w:t xml:space="preserve">0 de junio de </w:t>
      </w:r>
      <w:r w:rsidRPr="00485284">
        <w:t xml:space="preserve"> 2018 ANH</w:t>
      </w:r>
      <w:bookmarkEnd w:id="150"/>
    </w:p>
    <w:tbl>
      <w:tblPr>
        <w:tblW w:w="9448" w:type="dxa"/>
        <w:tblInd w:w="-10" w:type="dxa"/>
        <w:tblCellMar>
          <w:left w:w="70" w:type="dxa"/>
          <w:right w:w="70" w:type="dxa"/>
        </w:tblCellMar>
        <w:tblLook w:val="04A0" w:firstRow="1" w:lastRow="0" w:firstColumn="1" w:lastColumn="0" w:noHBand="0" w:noVBand="1"/>
      </w:tblPr>
      <w:tblGrid>
        <w:gridCol w:w="6150"/>
        <w:gridCol w:w="1118"/>
        <w:gridCol w:w="2180"/>
      </w:tblGrid>
      <w:tr w:rsidR="00485284" w14:paraId="6BB7E694" w14:textId="77777777" w:rsidTr="00CD0599">
        <w:trPr>
          <w:trHeight w:val="523"/>
          <w:tblHeader/>
        </w:trPr>
        <w:tc>
          <w:tcPr>
            <w:tcW w:w="615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229A4FFF" w14:textId="77777777" w:rsidR="00485284" w:rsidRDefault="00485284">
            <w:pPr>
              <w:jc w:val="center"/>
              <w:rPr>
                <w:rFonts w:ascii="Arial" w:hAnsi="Arial" w:cs="Arial"/>
                <w:b/>
                <w:bCs/>
                <w:sz w:val="16"/>
                <w:szCs w:val="16"/>
              </w:rPr>
            </w:pPr>
            <w:r>
              <w:rPr>
                <w:rFonts w:ascii="Arial" w:hAnsi="Arial" w:cs="Arial"/>
                <w:b/>
                <w:bCs/>
                <w:sz w:val="16"/>
                <w:szCs w:val="16"/>
              </w:rPr>
              <w:t>OBJETO</w:t>
            </w:r>
          </w:p>
        </w:tc>
        <w:tc>
          <w:tcPr>
            <w:tcW w:w="1118" w:type="dxa"/>
            <w:tcBorders>
              <w:top w:val="single" w:sz="8" w:space="0" w:color="auto"/>
              <w:left w:val="nil"/>
              <w:bottom w:val="single" w:sz="8" w:space="0" w:color="auto"/>
              <w:right w:val="single" w:sz="8" w:space="0" w:color="auto"/>
            </w:tcBorders>
            <w:shd w:val="clear" w:color="auto" w:fill="4F81BD" w:themeFill="accent1"/>
            <w:vAlign w:val="center"/>
            <w:hideMark/>
          </w:tcPr>
          <w:p w14:paraId="14FB9F37" w14:textId="77777777" w:rsidR="00485284" w:rsidRDefault="00485284">
            <w:pPr>
              <w:jc w:val="center"/>
              <w:rPr>
                <w:rFonts w:ascii="Arial" w:hAnsi="Arial" w:cs="Arial"/>
                <w:b/>
                <w:bCs/>
                <w:sz w:val="16"/>
                <w:szCs w:val="16"/>
              </w:rPr>
            </w:pPr>
            <w:r>
              <w:rPr>
                <w:rFonts w:ascii="Arial" w:hAnsi="Arial" w:cs="Arial"/>
                <w:b/>
                <w:bCs/>
                <w:sz w:val="16"/>
                <w:szCs w:val="16"/>
              </w:rPr>
              <w:t>Valor total estimado</w:t>
            </w:r>
          </w:p>
        </w:tc>
        <w:tc>
          <w:tcPr>
            <w:tcW w:w="2180" w:type="dxa"/>
            <w:tcBorders>
              <w:top w:val="single" w:sz="8" w:space="0" w:color="auto"/>
              <w:left w:val="nil"/>
              <w:bottom w:val="single" w:sz="8" w:space="0" w:color="auto"/>
              <w:right w:val="single" w:sz="8" w:space="0" w:color="auto"/>
            </w:tcBorders>
            <w:shd w:val="clear" w:color="auto" w:fill="4F81BD" w:themeFill="accent1"/>
            <w:vAlign w:val="center"/>
            <w:hideMark/>
          </w:tcPr>
          <w:p w14:paraId="1417AF97" w14:textId="77777777" w:rsidR="00485284" w:rsidRDefault="00485284">
            <w:pPr>
              <w:jc w:val="center"/>
              <w:rPr>
                <w:rFonts w:ascii="Arial" w:hAnsi="Arial" w:cs="Arial"/>
                <w:b/>
                <w:bCs/>
                <w:sz w:val="16"/>
                <w:szCs w:val="16"/>
              </w:rPr>
            </w:pPr>
            <w:r>
              <w:rPr>
                <w:rFonts w:ascii="Arial" w:hAnsi="Arial" w:cs="Arial"/>
                <w:b/>
                <w:bCs/>
                <w:sz w:val="16"/>
                <w:szCs w:val="16"/>
              </w:rPr>
              <w:t>Contratista</w:t>
            </w:r>
          </w:p>
        </w:tc>
      </w:tr>
      <w:tr w:rsidR="00485284" w14:paraId="5A62F467" w14:textId="77777777" w:rsidTr="00485284">
        <w:trPr>
          <w:trHeight w:val="957"/>
        </w:trPr>
        <w:tc>
          <w:tcPr>
            <w:tcW w:w="6150" w:type="dxa"/>
            <w:tcBorders>
              <w:top w:val="nil"/>
              <w:left w:val="single" w:sz="8" w:space="0" w:color="auto"/>
              <w:bottom w:val="single" w:sz="8" w:space="0" w:color="auto"/>
              <w:right w:val="single" w:sz="8" w:space="0" w:color="auto"/>
            </w:tcBorders>
            <w:vAlign w:val="center"/>
            <w:hideMark/>
          </w:tcPr>
          <w:p w14:paraId="0915BAD9" w14:textId="77777777" w:rsidR="00485284" w:rsidRDefault="00485284">
            <w:pPr>
              <w:rPr>
                <w:rFonts w:ascii="Arial" w:hAnsi="Arial" w:cs="Arial"/>
                <w:color w:val="000000"/>
                <w:sz w:val="16"/>
                <w:szCs w:val="16"/>
              </w:rPr>
            </w:pPr>
            <w:r>
              <w:rPr>
                <w:rFonts w:ascii="Arial" w:hAnsi="Arial" w:cs="Arial"/>
                <w:sz w:val="16"/>
                <w:szCs w:val="16"/>
              </w:rPr>
              <w:t>11. Prestación de servicios profesionales para realizar actividades relacionadas con el sistema de gestión integral, calidad, comunicaciones, cambio de la imagen institucional, propias de la alta dirección.</w:t>
            </w:r>
          </w:p>
        </w:tc>
        <w:tc>
          <w:tcPr>
            <w:tcW w:w="1118" w:type="dxa"/>
            <w:tcBorders>
              <w:top w:val="nil"/>
              <w:left w:val="nil"/>
              <w:bottom w:val="single" w:sz="8" w:space="0" w:color="auto"/>
              <w:right w:val="single" w:sz="8" w:space="0" w:color="auto"/>
            </w:tcBorders>
            <w:vAlign w:val="center"/>
            <w:hideMark/>
          </w:tcPr>
          <w:p w14:paraId="21ADCCB5" w14:textId="77777777" w:rsidR="00485284" w:rsidRDefault="00485284">
            <w:pPr>
              <w:jc w:val="center"/>
              <w:rPr>
                <w:rFonts w:ascii="Arial" w:hAnsi="Arial" w:cs="Arial"/>
                <w:color w:val="000000"/>
                <w:sz w:val="16"/>
                <w:szCs w:val="16"/>
              </w:rPr>
            </w:pPr>
            <w:r>
              <w:rPr>
                <w:rFonts w:ascii="Arial" w:hAnsi="Arial" w:cs="Arial"/>
                <w:sz w:val="16"/>
                <w:szCs w:val="16"/>
              </w:rPr>
              <w:t>$ 77</w:t>
            </w:r>
          </w:p>
        </w:tc>
        <w:tc>
          <w:tcPr>
            <w:tcW w:w="2180" w:type="dxa"/>
            <w:tcBorders>
              <w:top w:val="nil"/>
              <w:left w:val="nil"/>
              <w:bottom w:val="single" w:sz="8" w:space="0" w:color="auto"/>
              <w:right w:val="single" w:sz="8" w:space="0" w:color="auto"/>
            </w:tcBorders>
            <w:vAlign w:val="center"/>
            <w:hideMark/>
          </w:tcPr>
          <w:p w14:paraId="2393063C" w14:textId="77777777" w:rsidR="00485284" w:rsidRDefault="00485284">
            <w:pPr>
              <w:rPr>
                <w:rFonts w:ascii="Arial" w:hAnsi="Arial" w:cs="Arial"/>
                <w:color w:val="000000"/>
                <w:sz w:val="16"/>
                <w:szCs w:val="16"/>
              </w:rPr>
            </w:pPr>
            <w:r>
              <w:rPr>
                <w:rFonts w:ascii="Arial" w:hAnsi="Arial" w:cs="Arial"/>
                <w:sz w:val="16"/>
                <w:szCs w:val="16"/>
              </w:rPr>
              <w:t>Diego Humberto de La Cruz</w:t>
            </w:r>
          </w:p>
        </w:tc>
      </w:tr>
      <w:tr w:rsidR="00485284" w14:paraId="1BCEFEE8" w14:textId="77777777" w:rsidTr="00485284">
        <w:trPr>
          <w:trHeight w:val="957"/>
        </w:trPr>
        <w:tc>
          <w:tcPr>
            <w:tcW w:w="6150" w:type="dxa"/>
            <w:tcBorders>
              <w:top w:val="nil"/>
              <w:left w:val="single" w:sz="8" w:space="0" w:color="auto"/>
              <w:bottom w:val="single" w:sz="8" w:space="0" w:color="auto"/>
              <w:right w:val="single" w:sz="8" w:space="0" w:color="auto"/>
            </w:tcBorders>
            <w:vAlign w:val="center"/>
            <w:hideMark/>
          </w:tcPr>
          <w:p w14:paraId="2146EDA2" w14:textId="77777777" w:rsidR="00485284" w:rsidRDefault="00485284">
            <w:pPr>
              <w:rPr>
                <w:rFonts w:ascii="Arial" w:hAnsi="Arial" w:cs="Arial"/>
                <w:color w:val="000000"/>
                <w:sz w:val="16"/>
                <w:szCs w:val="16"/>
              </w:rPr>
            </w:pPr>
            <w:r>
              <w:rPr>
                <w:rFonts w:ascii="Arial" w:hAnsi="Arial" w:cs="Arial"/>
                <w:sz w:val="16"/>
                <w:szCs w:val="16"/>
              </w:rPr>
              <w:t>12. Prestar los servicios profesionales de las actividades a desarrollar en atención al ciudadano y comunicaciones internas de la ANH, sirviendo de enlace entre las diferentes áreas para el seguimiento y cumplimiento de las PQRDS y haciendo más efectiva la divulgación de los mecanismos que faciliten la interacción y participación ciudadana con nuestra entidad.</w:t>
            </w:r>
          </w:p>
        </w:tc>
        <w:tc>
          <w:tcPr>
            <w:tcW w:w="1118" w:type="dxa"/>
            <w:tcBorders>
              <w:top w:val="nil"/>
              <w:left w:val="nil"/>
              <w:bottom w:val="single" w:sz="8" w:space="0" w:color="auto"/>
              <w:right w:val="single" w:sz="8" w:space="0" w:color="auto"/>
            </w:tcBorders>
            <w:vAlign w:val="center"/>
            <w:hideMark/>
          </w:tcPr>
          <w:p w14:paraId="39172E01" w14:textId="77777777" w:rsidR="00485284" w:rsidRDefault="00485284">
            <w:pPr>
              <w:jc w:val="center"/>
              <w:rPr>
                <w:rFonts w:ascii="Arial" w:hAnsi="Arial" w:cs="Arial"/>
                <w:color w:val="000000"/>
                <w:sz w:val="16"/>
                <w:szCs w:val="16"/>
              </w:rPr>
            </w:pPr>
            <w:r>
              <w:rPr>
                <w:rFonts w:ascii="Arial" w:hAnsi="Arial" w:cs="Arial"/>
                <w:sz w:val="16"/>
                <w:szCs w:val="16"/>
              </w:rPr>
              <w:t>$ 55</w:t>
            </w:r>
          </w:p>
        </w:tc>
        <w:tc>
          <w:tcPr>
            <w:tcW w:w="2180" w:type="dxa"/>
            <w:tcBorders>
              <w:top w:val="nil"/>
              <w:left w:val="nil"/>
              <w:bottom w:val="single" w:sz="8" w:space="0" w:color="auto"/>
              <w:right w:val="single" w:sz="8" w:space="0" w:color="auto"/>
            </w:tcBorders>
            <w:vAlign w:val="center"/>
            <w:hideMark/>
          </w:tcPr>
          <w:p w14:paraId="494CA126" w14:textId="77777777" w:rsidR="00485284" w:rsidRDefault="00485284">
            <w:pPr>
              <w:rPr>
                <w:rFonts w:ascii="Arial" w:hAnsi="Arial" w:cs="Arial"/>
                <w:color w:val="000000"/>
                <w:sz w:val="16"/>
                <w:szCs w:val="16"/>
              </w:rPr>
            </w:pPr>
            <w:r>
              <w:rPr>
                <w:rFonts w:ascii="Arial" w:hAnsi="Arial" w:cs="Arial"/>
                <w:sz w:val="16"/>
                <w:szCs w:val="16"/>
              </w:rPr>
              <w:t>Iván José Bernal Anaya</w:t>
            </w:r>
          </w:p>
        </w:tc>
      </w:tr>
      <w:tr w:rsidR="00485284" w14:paraId="224A424F" w14:textId="77777777" w:rsidTr="00485284">
        <w:trPr>
          <w:trHeight w:val="957"/>
        </w:trPr>
        <w:tc>
          <w:tcPr>
            <w:tcW w:w="6150" w:type="dxa"/>
            <w:tcBorders>
              <w:top w:val="nil"/>
              <w:left w:val="single" w:sz="8" w:space="0" w:color="auto"/>
              <w:bottom w:val="single" w:sz="4" w:space="0" w:color="auto"/>
              <w:right w:val="single" w:sz="8" w:space="0" w:color="auto"/>
            </w:tcBorders>
            <w:vAlign w:val="center"/>
            <w:hideMark/>
          </w:tcPr>
          <w:p w14:paraId="6F15C46C" w14:textId="77777777" w:rsidR="00485284" w:rsidRDefault="00485284">
            <w:pPr>
              <w:rPr>
                <w:rFonts w:ascii="Arial" w:hAnsi="Arial" w:cs="Arial"/>
                <w:color w:val="000000"/>
                <w:sz w:val="16"/>
                <w:szCs w:val="16"/>
              </w:rPr>
            </w:pPr>
            <w:r>
              <w:rPr>
                <w:rFonts w:ascii="Arial" w:hAnsi="Arial" w:cs="Arial"/>
                <w:sz w:val="16"/>
                <w:szCs w:val="16"/>
              </w:rPr>
              <w:t xml:space="preserve">13. Prestación de servicios profesionales para realizar actividades relacionadas con el desarrollo, monitoreo y divulgación de la estrategia de comunicaciones internas ANH </w:t>
            </w:r>
          </w:p>
        </w:tc>
        <w:tc>
          <w:tcPr>
            <w:tcW w:w="1118" w:type="dxa"/>
            <w:tcBorders>
              <w:top w:val="nil"/>
              <w:left w:val="nil"/>
              <w:bottom w:val="single" w:sz="4" w:space="0" w:color="auto"/>
              <w:right w:val="single" w:sz="8" w:space="0" w:color="auto"/>
            </w:tcBorders>
            <w:vAlign w:val="center"/>
            <w:hideMark/>
          </w:tcPr>
          <w:p w14:paraId="311D61A4" w14:textId="77777777" w:rsidR="00485284" w:rsidRDefault="00485284">
            <w:pPr>
              <w:jc w:val="center"/>
              <w:rPr>
                <w:rFonts w:ascii="Arial" w:hAnsi="Arial" w:cs="Arial"/>
                <w:color w:val="000000"/>
                <w:sz w:val="16"/>
                <w:szCs w:val="16"/>
              </w:rPr>
            </w:pPr>
            <w:r>
              <w:rPr>
                <w:rFonts w:ascii="Arial" w:hAnsi="Arial" w:cs="Arial"/>
                <w:sz w:val="16"/>
                <w:szCs w:val="16"/>
              </w:rPr>
              <w:t>$ 77</w:t>
            </w:r>
          </w:p>
        </w:tc>
        <w:tc>
          <w:tcPr>
            <w:tcW w:w="2180" w:type="dxa"/>
            <w:tcBorders>
              <w:top w:val="nil"/>
              <w:left w:val="nil"/>
              <w:bottom w:val="single" w:sz="4" w:space="0" w:color="auto"/>
              <w:right w:val="single" w:sz="8" w:space="0" w:color="auto"/>
            </w:tcBorders>
            <w:vAlign w:val="center"/>
            <w:hideMark/>
          </w:tcPr>
          <w:p w14:paraId="4F37948A" w14:textId="77777777" w:rsidR="00485284" w:rsidRDefault="00485284">
            <w:pPr>
              <w:rPr>
                <w:rFonts w:ascii="Arial" w:hAnsi="Arial" w:cs="Arial"/>
                <w:color w:val="000000"/>
                <w:sz w:val="16"/>
                <w:szCs w:val="16"/>
              </w:rPr>
            </w:pPr>
            <w:r>
              <w:rPr>
                <w:rFonts w:ascii="Arial" w:hAnsi="Arial" w:cs="Arial"/>
                <w:sz w:val="16"/>
                <w:szCs w:val="16"/>
              </w:rPr>
              <w:t>Paola Carolina Gómez</w:t>
            </w:r>
          </w:p>
        </w:tc>
      </w:tr>
      <w:tr w:rsidR="00485284" w14:paraId="0020FD63" w14:textId="77777777" w:rsidTr="00485284">
        <w:trPr>
          <w:trHeight w:val="847"/>
        </w:trPr>
        <w:tc>
          <w:tcPr>
            <w:tcW w:w="6150" w:type="dxa"/>
            <w:tcBorders>
              <w:top w:val="single" w:sz="4" w:space="0" w:color="auto"/>
              <w:left w:val="single" w:sz="8" w:space="0" w:color="auto"/>
              <w:bottom w:val="single" w:sz="8" w:space="0" w:color="auto"/>
              <w:right w:val="single" w:sz="8" w:space="0" w:color="auto"/>
            </w:tcBorders>
            <w:vAlign w:val="center"/>
            <w:hideMark/>
          </w:tcPr>
          <w:p w14:paraId="15DE91D1" w14:textId="77777777" w:rsidR="00485284" w:rsidRDefault="00485284">
            <w:pPr>
              <w:rPr>
                <w:rFonts w:ascii="Arial" w:hAnsi="Arial" w:cs="Arial"/>
                <w:color w:val="000000"/>
                <w:sz w:val="16"/>
                <w:szCs w:val="16"/>
              </w:rPr>
            </w:pPr>
            <w:r>
              <w:rPr>
                <w:rFonts w:ascii="Arial" w:hAnsi="Arial" w:cs="Arial"/>
                <w:sz w:val="16"/>
                <w:szCs w:val="16"/>
              </w:rPr>
              <w:t>411. Prestar los servicios profesionales de apoyo a la gestión de la presidencia de la ANH en manejo de medios de comunicación, relacionamiento público y procesos especiales de divulgación y prensa</w:t>
            </w:r>
          </w:p>
        </w:tc>
        <w:tc>
          <w:tcPr>
            <w:tcW w:w="1118" w:type="dxa"/>
            <w:tcBorders>
              <w:top w:val="single" w:sz="4" w:space="0" w:color="auto"/>
              <w:left w:val="nil"/>
              <w:bottom w:val="single" w:sz="8" w:space="0" w:color="auto"/>
              <w:right w:val="single" w:sz="8" w:space="0" w:color="auto"/>
            </w:tcBorders>
            <w:vAlign w:val="center"/>
            <w:hideMark/>
          </w:tcPr>
          <w:p w14:paraId="168CAC7C" w14:textId="77777777" w:rsidR="00485284" w:rsidRDefault="00485284">
            <w:pPr>
              <w:jc w:val="center"/>
              <w:rPr>
                <w:rFonts w:ascii="Arial" w:hAnsi="Arial" w:cs="Arial"/>
                <w:color w:val="000000"/>
                <w:sz w:val="16"/>
                <w:szCs w:val="16"/>
              </w:rPr>
            </w:pPr>
            <w:r>
              <w:rPr>
                <w:rFonts w:ascii="Arial" w:hAnsi="Arial" w:cs="Arial"/>
                <w:sz w:val="16"/>
                <w:szCs w:val="16"/>
              </w:rPr>
              <w:t>$ 157</w:t>
            </w:r>
          </w:p>
        </w:tc>
        <w:tc>
          <w:tcPr>
            <w:tcW w:w="2180" w:type="dxa"/>
            <w:tcBorders>
              <w:top w:val="single" w:sz="4" w:space="0" w:color="auto"/>
              <w:left w:val="nil"/>
              <w:bottom w:val="single" w:sz="8" w:space="0" w:color="auto"/>
              <w:right w:val="single" w:sz="8" w:space="0" w:color="auto"/>
            </w:tcBorders>
            <w:vAlign w:val="center"/>
            <w:hideMark/>
          </w:tcPr>
          <w:p w14:paraId="2DC1D54F" w14:textId="77777777" w:rsidR="00485284" w:rsidRDefault="00485284">
            <w:pPr>
              <w:rPr>
                <w:rFonts w:ascii="Arial" w:hAnsi="Arial" w:cs="Arial"/>
                <w:color w:val="000000"/>
                <w:sz w:val="16"/>
                <w:szCs w:val="16"/>
              </w:rPr>
            </w:pPr>
            <w:r>
              <w:rPr>
                <w:rFonts w:ascii="Arial" w:hAnsi="Arial" w:cs="Arial"/>
                <w:sz w:val="16"/>
                <w:szCs w:val="16"/>
              </w:rPr>
              <w:t>Rafael Poveda TV</w:t>
            </w:r>
          </w:p>
        </w:tc>
      </w:tr>
      <w:tr w:rsidR="00485284" w14:paraId="7AC76342" w14:textId="77777777" w:rsidTr="00485284">
        <w:trPr>
          <w:trHeight w:val="835"/>
        </w:trPr>
        <w:tc>
          <w:tcPr>
            <w:tcW w:w="6150" w:type="dxa"/>
            <w:tcBorders>
              <w:top w:val="nil"/>
              <w:left w:val="single" w:sz="8" w:space="0" w:color="auto"/>
              <w:bottom w:val="single" w:sz="8" w:space="0" w:color="auto"/>
              <w:right w:val="single" w:sz="8" w:space="0" w:color="auto"/>
            </w:tcBorders>
            <w:vAlign w:val="center"/>
            <w:hideMark/>
          </w:tcPr>
          <w:p w14:paraId="0CA56F99" w14:textId="77777777" w:rsidR="00485284" w:rsidRDefault="00485284">
            <w:pPr>
              <w:rPr>
                <w:rFonts w:ascii="Arial" w:hAnsi="Arial" w:cs="Arial"/>
                <w:color w:val="000000"/>
                <w:sz w:val="16"/>
                <w:szCs w:val="16"/>
              </w:rPr>
            </w:pPr>
            <w:r>
              <w:rPr>
                <w:rFonts w:ascii="Arial" w:hAnsi="Arial" w:cs="Arial"/>
                <w:sz w:val="16"/>
                <w:szCs w:val="16"/>
              </w:rPr>
              <w:t>473. Prestación de servicios profesionales con manejo de estrategias y presupuestos enfocados a comunicación organizacional e imagen corporativa a nivel interno y externo, así como relaciones públicas e implementación de planes de medios y convenios de cooperación y de propiedad intelectual en entidades públicas o privadas</w:t>
            </w:r>
          </w:p>
        </w:tc>
        <w:tc>
          <w:tcPr>
            <w:tcW w:w="1118" w:type="dxa"/>
            <w:tcBorders>
              <w:top w:val="nil"/>
              <w:left w:val="nil"/>
              <w:bottom w:val="single" w:sz="8" w:space="0" w:color="auto"/>
              <w:right w:val="single" w:sz="8" w:space="0" w:color="auto"/>
            </w:tcBorders>
            <w:vAlign w:val="center"/>
            <w:hideMark/>
          </w:tcPr>
          <w:p w14:paraId="41B6EFA4" w14:textId="77777777" w:rsidR="00485284" w:rsidRDefault="00485284">
            <w:pPr>
              <w:jc w:val="center"/>
              <w:rPr>
                <w:rFonts w:ascii="Arial" w:hAnsi="Arial" w:cs="Arial"/>
                <w:color w:val="000000"/>
                <w:sz w:val="16"/>
                <w:szCs w:val="16"/>
              </w:rPr>
            </w:pPr>
            <w:r>
              <w:rPr>
                <w:rFonts w:ascii="Arial" w:hAnsi="Arial" w:cs="Arial"/>
                <w:sz w:val="16"/>
                <w:szCs w:val="16"/>
              </w:rPr>
              <w:t>$ 69</w:t>
            </w:r>
          </w:p>
        </w:tc>
        <w:tc>
          <w:tcPr>
            <w:tcW w:w="2180" w:type="dxa"/>
            <w:tcBorders>
              <w:top w:val="nil"/>
              <w:left w:val="nil"/>
              <w:bottom w:val="single" w:sz="8" w:space="0" w:color="auto"/>
              <w:right w:val="single" w:sz="8" w:space="0" w:color="auto"/>
            </w:tcBorders>
            <w:vAlign w:val="center"/>
            <w:hideMark/>
          </w:tcPr>
          <w:p w14:paraId="22142B21" w14:textId="77777777" w:rsidR="00485284" w:rsidRDefault="00485284">
            <w:pPr>
              <w:rPr>
                <w:rFonts w:ascii="Arial" w:hAnsi="Arial" w:cs="Arial"/>
                <w:color w:val="000000"/>
                <w:sz w:val="16"/>
                <w:szCs w:val="16"/>
              </w:rPr>
            </w:pPr>
            <w:r>
              <w:rPr>
                <w:rFonts w:ascii="Arial" w:hAnsi="Arial" w:cs="Arial"/>
                <w:sz w:val="16"/>
                <w:szCs w:val="16"/>
              </w:rPr>
              <w:t xml:space="preserve">Isidro Alexandre </w:t>
            </w:r>
            <w:proofErr w:type="spellStart"/>
            <w:r>
              <w:rPr>
                <w:rFonts w:ascii="Arial" w:hAnsi="Arial" w:cs="Arial"/>
                <w:sz w:val="16"/>
                <w:szCs w:val="16"/>
              </w:rPr>
              <w:t>Lache</w:t>
            </w:r>
            <w:proofErr w:type="spellEnd"/>
            <w:r>
              <w:rPr>
                <w:rFonts w:ascii="Arial" w:hAnsi="Arial" w:cs="Arial"/>
                <w:sz w:val="16"/>
                <w:szCs w:val="16"/>
              </w:rPr>
              <w:t xml:space="preserve"> Sandoval</w:t>
            </w:r>
          </w:p>
        </w:tc>
      </w:tr>
      <w:tr w:rsidR="00485284" w14:paraId="0E6F4367" w14:textId="77777777" w:rsidTr="00485284">
        <w:trPr>
          <w:trHeight w:val="819"/>
        </w:trPr>
        <w:tc>
          <w:tcPr>
            <w:tcW w:w="6150" w:type="dxa"/>
            <w:tcBorders>
              <w:top w:val="nil"/>
              <w:left w:val="single" w:sz="8" w:space="0" w:color="auto"/>
              <w:bottom w:val="single" w:sz="4" w:space="0" w:color="auto"/>
              <w:right w:val="single" w:sz="8" w:space="0" w:color="auto"/>
            </w:tcBorders>
            <w:vAlign w:val="center"/>
            <w:hideMark/>
          </w:tcPr>
          <w:p w14:paraId="4E37C5C0" w14:textId="77777777" w:rsidR="00485284" w:rsidRDefault="00485284">
            <w:pPr>
              <w:rPr>
                <w:rFonts w:ascii="Arial" w:hAnsi="Arial" w:cs="Arial"/>
                <w:color w:val="000000"/>
                <w:sz w:val="16"/>
                <w:szCs w:val="16"/>
              </w:rPr>
            </w:pPr>
            <w:r>
              <w:rPr>
                <w:rFonts w:ascii="Arial" w:hAnsi="Arial" w:cs="Arial"/>
                <w:sz w:val="16"/>
                <w:szCs w:val="16"/>
              </w:rPr>
              <w:t>474. Prestación de servicios profesionales como Comunicador Social-Periodista, con experiencia en manejo, producción y divulgación de contenidos dentro de la organización para divulgación medios internos, externos, físicos y digitales.</w:t>
            </w:r>
          </w:p>
        </w:tc>
        <w:tc>
          <w:tcPr>
            <w:tcW w:w="1118" w:type="dxa"/>
            <w:tcBorders>
              <w:top w:val="nil"/>
              <w:left w:val="nil"/>
              <w:bottom w:val="single" w:sz="4" w:space="0" w:color="auto"/>
              <w:right w:val="single" w:sz="8" w:space="0" w:color="auto"/>
            </w:tcBorders>
            <w:vAlign w:val="center"/>
            <w:hideMark/>
          </w:tcPr>
          <w:p w14:paraId="4CAA2A72" w14:textId="77777777" w:rsidR="00485284" w:rsidRDefault="00485284">
            <w:pPr>
              <w:jc w:val="center"/>
              <w:rPr>
                <w:rFonts w:ascii="Arial" w:hAnsi="Arial" w:cs="Arial"/>
                <w:color w:val="000000"/>
                <w:sz w:val="16"/>
                <w:szCs w:val="16"/>
              </w:rPr>
            </w:pPr>
            <w:r>
              <w:rPr>
                <w:rFonts w:ascii="Arial" w:hAnsi="Arial" w:cs="Arial"/>
                <w:sz w:val="16"/>
                <w:szCs w:val="16"/>
              </w:rPr>
              <w:t>$ 48</w:t>
            </w:r>
          </w:p>
        </w:tc>
        <w:tc>
          <w:tcPr>
            <w:tcW w:w="2180" w:type="dxa"/>
            <w:tcBorders>
              <w:top w:val="nil"/>
              <w:left w:val="nil"/>
              <w:bottom w:val="single" w:sz="4" w:space="0" w:color="auto"/>
              <w:right w:val="single" w:sz="8" w:space="0" w:color="auto"/>
            </w:tcBorders>
            <w:vAlign w:val="center"/>
            <w:hideMark/>
          </w:tcPr>
          <w:p w14:paraId="372B2D22" w14:textId="77777777" w:rsidR="00485284" w:rsidRDefault="00485284">
            <w:pPr>
              <w:rPr>
                <w:rFonts w:ascii="Arial" w:hAnsi="Arial" w:cs="Arial"/>
                <w:color w:val="000000"/>
                <w:sz w:val="16"/>
                <w:szCs w:val="16"/>
              </w:rPr>
            </w:pPr>
            <w:r>
              <w:rPr>
                <w:rFonts w:ascii="Arial" w:hAnsi="Arial" w:cs="Arial"/>
                <w:sz w:val="16"/>
                <w:szCs w:val="16"/>
              </w:rPr>
              <w:t>Carlos Mario Casas</w:t>
            </w:r>
          </w:p>
        </w:tc>
      </w:tr>
      <w:tr w:rsidR="00485284" w14:paraId="15B9EA54" w14:textId="77777777" w:rsidTr="00485284">
        <w:trPr>
          <w:trHeight w:val="699"/>
        </w:trPr>
        <w:tc>
          <w:tcPr>
            <w:tcW w:w="6150" w:type="dxa"/>
            <w:tcBorders>
              <w:top w:val="single" w:sz="4" w:space="0" w:color="auto"/>
              <w:left w:val="single" w:sz="8" w:space="0" w:color="auto"/>
              <w:bottom w:val="single" w:sz="8" w:space="0" w:color="auto"/>
              <w:right w:val="single" w:sz="8" w:space="0" w:color="auto"/>
            </w:tcBorders>
            <w:vAlign w:val="center"/>
            <w:hideMark/>
          </w:tcPr>
          <w:p w14:paraId="5D7975EC" w14:textId="77777777" w:rsidR="00485284" w:rsidRDefault="00485284">
            <w:pPr>
              <w:rPr>
                <w:rFonts w:ascii="Arial" w:hAnsi="Arial" w:cs="Arial"/>
                <w:color w:val="000000"/>
                <w:sz w:val="16"/>
                <w:szCs w:val="16"/>
              </w:rPr>
            </w:pPr>
            <w:r>
              <w:rPr>
                <w:rFonts w:ascii="Arial" w:hAnsi="Arial" w:cs="Arial"/>
                <w:sz w:val="16"/>
                <w:szCs w:val="16"/>
              </w:rPr>
              <w:t xml:space="preserve">475. Prestación de servicios profesionales en fotografía, comunicación social – periodismo, artes audio-visuales o relacionados; con amplia experiencia en fotografía y grabación de eventos, personajes, material informativo y publicitario. </w:t>
            </w:r>
          </w:p>
        </w:tc>
        <w:tc>
          <w:tcPr>
            <w:tcW w:w="1118" w:type="dxa"/>
            <w:tcBorders>
              <w:top w:val="single" w:sz="4" w:space="0" w:color="auto"/>
              <w:left w:val="nil"/>
              <w:bottom w:val="single" w:sz="8" w:space="0" w:color="auto"/>
              <w:right w:val="single" w:sz="8" w:space="0" w:color="auto"/>
            </w:tcBorders>
            <w:vAlign w:val="center"/>
            <w:hideMark/>
          </w:tcPr>
          <w:p w14:paraId="17ADBEB8" w14:textId="77777777" w:rsidR="00485284" w:rsidRDefault="00485284">
            <w:pPr>
              <w:jc w:val="center"/>
              <w:rPr>
                <w:rFonts w:ascii="Arial" w:hAnsi="Arial" w:cs="Arial"/>
                <w:color w:val="000000"/>
                <w:sz w:val="16"/>
                <w:szCs w:val="16"/>
              </w:rPr>
            </w:pPr>
            <w:r>
              <w:rPr>
                <w:rFonts w:ascii="Arial" w:hAnsi="Arial" w:cs="Arial"/>
                <w:sz w:val="16"/>
                <w:szCs w:val="16"/>
              </w:rPr>
              <w:t>$ 66</w:t>
            </w:r>
          </w:p>
        </w:tc>
        <w:tc>
          <w:tcPr>
            <w:tcW w:w="2180" w:type="dxa"/>
            <w:tcBorders>
              <w:top w:val="single" w:sz="4" w:space="0" w:color="auto"/>
              <w:left w:val="nil"/>
              <w:bottom w:val="single" w:sz="8" w:space="0" w:color="auto"/>
              <w:right w:val="single" w:sz="8" w:space="0" w:color="auto"/>
            </w:tcBorders>
            <w:vAlign w:val="center"/>
            <w:hideMark/>
          </w:tcPr>
          <w:p w14:paraId="7F7A6677" w14:textId="77777777" w:rsidR="00485284" w:rsidRDefault="00485284">
            <w:pPr>
              <w:rPr>
                <w:rFonts w:ascii="Arial" w:hAnsi="Arial" w:cs="Arial"/>
                <w:sz w:val="16"/>
                <w:szCs w:val="16"/>
              </w:rPr>
            </w:pPr>
            <w:r>
              <w:rPr>
                <w:rFonts w:ascii="Arial" w:hAnsi="Arial" w:cs="Arial"/>
                <w:sz w:val="16"/>
                <w:szCs w:val="16"/>
              </w:rPr>
              <w:t>Carlos Julio Martínez Támara</w:t>
            </w:r>
          </w:p>
        </w:tc>
      </w:tr>
      <w:tr w:rsidR="00485284" w14:paraId="1A125B79" w14:textId="77777777" w:rsidTr="00485284">
        <w:trPr>
          <w:trHeight w:val="557"/>
        </w:trPr>
        <w:tc>
          <w:tcPr>
            <w:tcW w:w="6150" w:type="dxa"/>
            <w:tcBorders>
              <w:top w:val="nil"/>
              <w:left w:val="single" w:sz="8" w:space="0" w:color="auto"/>
              <w:bottom w:val="single" w:sz="8" w:space="0" w:color="auto"/>
              <w:right w:val="single" w:sz="8" w:space="0" w:color="auto"/>
            </w:tcBorders>
            <w:vAlign w:val="center"/>
            <w:hideMark/>
          </w:tcPr>
          <w:p w14:paraId="185F5F2D" w14:textId="77777777" w:rsidR="00485284" w:rsidRDefault="00485284">
            <w:pPr>
              <w:rPr>
                <w:rFonts w:ascii="Arial" w:hAnsi="Arial" w:cs="Arial"/>
                <w:color w:val="000000"/>
                <w:sz w:val="16"/>
                <w:szCs w:val="16"/>
              </w:rPr>
            </w:pPr>
            <w:r>
              <w:rPr>
                <w:rFonts w:ascii="Arial" w:hAnsi="Arial" w:cs="Arial"/>
                <w:sz w:val="16"/>
                <w:szCs w:val="16"/>
              </w:rPr>
              <w:t xml:space="preserve">476. Prestación de servicios profesionales en publicidad con experiencia en el campo publicitario y mercadeo y conocimiento en Suite de diseño y oficina. </w:t>
            </w:r>
          </w:p>
        </w:tc>
        <w:tc>
          <w:tcPr>
            <w:tcW w:w="1118" w:type="dxa"/>
            <w:tcBorders>
              <w:top w:val="nil"/>
              <w:left w:val="nil"/>
              <w:bottom w:val="single" w:sz="8" w:space="0" w:color="auto"/>
              <w:right w:val="single" w:sz="8" w:space="0" w:color="auto"/>
            </w:tcBorders>
            <w:vAlign w:val="center"/>
            <w:hideMark/>
          </w:tcPr>
          <w:p w14:paraId="1DD2FFD7" w14:textId="77777777" w:rsidR="00485284" w:rsidRDefault="00485284">
            <w:pPr>
              <w:jc w:val="center"/>
              <w:rPr>
                <w:rFonts w:ascii="Arial" w:hAnsi="Arial" w:cs="Arial"/>
                <w:color w:val="000000"/>
                <w:sz w:val="16"/>
                <w:szCs w:val="16"/>
              </w:rPr>
            </w:pPr>
            <w:r>
              <w:rPr>
                <w:rFonts w:ascii="Arial" w:hAnsi="Arial" w:cs="Arial"/>
                <w:sz w:val="16"/>
                <w:szCs w:val="16"/>
              </w:rPr>
              <w:t>$ 51</w:t>
            </w:r>
          </w:p>
        </w:tc>
        <w:tc>
          <w:tcPr>
            <w:tcW w:w="2180" w:type="dxa"/>
            <w:tcBorders>
              <w:top w:val="nil"/>
              <w:left w:val="nil"/>
              <w:bottom w:val="single" w:sz="8" w:space="0" w:color="auto"/>
              <w:right w:val="single" w:sz="8" w:space="0" w:color="auto"/>
            </w:tcBorders>
            <w:vAlign w:val="center"/>
            <w:hideMark/>
          </w:tcPr>
          <w:p w14:paraId="42ADA150" w14:textId="77777777" w:rsidR="00485284" w:rsidRDefault="00485284">
            <w:pPr>
              <w:rPr>
                <w:rFonts w:ascii="Arial" w:hAnsi="Arial" w:cs="Arial"/>
                <w:color w:val="000000"/>
                <w:sz w:val="16"/>
                <w:szCs w:val="16"/>
              </w:rPr>
            </w:pPr>
            <w:r>
              <w:rPr>
                <w:rFonts w:ascii="Arial" w:hAnsi="Arial" w:cs="Arial"/>
                <w:sz w:val="16"/>
                <w:szCs w:val="16"/>
              </w:rPr>
              <w:t xml:space="preserve">Stephanie </w:t>
            </w:r>
            <w:proofErr w:type="spellStart"/>
            <w:r>
              <w:rPr>
                <w:rFonts w:ascii="Arial" w:hAnsi="Arial" w:cs="Arial"/>
                <w:sz w:val="16"/>
                <w:szCs w:val="16"/>
              </w:rPr>
              <w:t>Hosman</w:t>
            </w:r>
            <w:proofErr w:type="spellEnd"/>
            <w:r>
              <w:rPr>
                <w:rFonts w:ascii="Arial" w:hAnsi="Arial" w:cs="Arial"/>
                <w:sz w:val="16"/>
                <w:szCs w:val="16"/>
              </w:rPr>
              <w:t xml:space="preserve"> Basto</w:t>
            </w:r>
          </w:p>
        </w:tc>
      </w:tr>
      <w:tr w:rsidR="00485284" w14:paraId="7EE1B7A1" w14:textId="77777777" w:rsidTr="00485284">
        <w:trPr>
          <w:trHeight w:val="537"/>
        </w:trPr>
        <w:tc>
          <w:tcPr>
            <w:tcW w:w="6150" w:type="dxa"/>
            <w:tcBorders>
              <w:top w:val="nil"/>
              <w:left w:val="single" w:sz="8" w:space="0" w:color="auto"/>
              <w:bottom w:val="single" w:sz="4" w:space="0" w:color="auto"/>
              <w:right w:val="single" w:sz="8" w:space="0" w:color="auto"/>
            </w:tcBorders>
            <w:vAlign w:val="center"/>
            <w:hideMark/>
          </w:tcPr>
          <w:p w14:paraId="4D4BE987" w14:textId="77777777" w:rsidR="00485284" w:rsidRDefault="00485284">
            <w:pPr>
              <w:rPr>
                <w:rFonts w:ascii="Arial" w:hAnsi="Arial" w:cs="Arial"/>
                <w:color w:val="000000"/>
                <w:sz w:val="16"/>
                <w:szCs w:val="16"/>
              </w:rPr>
            </w:pPr>
            <w:r>
              <w:rPr>
                <w:rFonts w:ascii="Arial" w:hAnsi="Arial" w:cs="Arial"/>
                <w:sz w:val="16"/>
                <w:szCs w:val="16"/>
              </w:rPr>
              <w:t>477. Prestación de servicios profesionales de apoyo legal al seguimiento y gestión de las actividades del plan de comunicaciones de la Agencia Nacional de Hidrocarburos</w:t>
            </w:r>
          </w:p>
        </w:tc>
        <w:tc>
          <w:tcPr>
            <w:tcW w:w="1118" w:type="dxa"/>
            <w:tcBorders>
              <w:top w:val="nil"/>
              <w:left w:val="nil"/>
              <w:bottom w:val="single" w:sz="4" w:space="0" w:color="auto"/>
              <w:right w:val="single" w:sz="8" w:space="0" w:color="auto"/>
            </w:tcBorders>
            <w:vAlign w:val="center"/>
            <w:hideMark/>
          </w:tcPr>
          <w:p w14:paraId="744ABF33" w14:textId="77777777" w:rsidR="00485284" w:rsidRDefault="00485284">
            <w:pPr>
              <w:jc w:val="center"/>
              <w:rPr>
                <w:rFonts w:ascii="Arial" w:hAnsi="Arial" w:cs="Arial"/>
                <w:color w:val="000000"/>
                <w:sz w:val="16"/>
                <w:szCs w:val="16"/>
              </w:rPr>
            </w:pPr>
            <w:r>
              <w:rPr>
                <w:rFonts w:ascii="Arial" w:hAnsi="Arial" w:cs="Arial"/>
                <w:sz w:val="16"/>
                <w:szCs w:val="16"/>
              </w:rPr>
              <w:t>$ 151</w:t>
            </w:r>
          </w:p>
        </w:tc>
        <w:tc>
          <w:tcPr>
            <w:tcW w:w="2180" w:type="dxa"/>
            <w:tcBorders>
              <w:top w:val="nil"/>
              <w:left w:val="nil"/>
              <w:bottom w:val="single" w:sz="4" w:space="0" w:color="auto"/>
              <w:right w:val="single" w:sz="8" w:space="0" w:color="auto"/>
            </w:tcBorders>
            <w:vAlign w:val="center"/>
            <w:hideMark/>
          </w:tcPr>
          <w:p w14:paraId="7295FB97" w14:textId="77777777" w:rsidR="00485284" w:rsidRDefault="00485284">
            <w:pPr>
              <w:rPr>
                <w:rFonts w:ascii="Arial" w:hAnsi="Arial" w:cs="Arial"/>
                <w:color w:val="000000"/>
                <w:sz w:val="16"/>
                <w:szCs w:val="16"/>
              </w:rPr>
            </w:pPr>
            <w:r>
              <w:rPr>
                <w:rFonts w:ascii="Arial" w:hAnsi="Arial" w:cs="Arial"/>
                <w:sz w:val="16"/>
                <w:szCs w:val="16"/>
              </w:rPr>
              <w:t xml:space="preserve">Javier Eduardo Restrepo </w:t>
            </w:r>
            <w:proofErr w:type="spellStart"/>
            <w:r>
              <w:rPr>
                <w:rFonts w:ascii="Arial" w:hAnsi="Arial" w:cs="Arial"/>
                <w:sz w:val="16"/>
                <w:szCs w:val="16"/>
              </w:rPr>
              <w:t>Viecco</w:t>
            </w:r>
            <w:proofErr w:type="spellEnd"/>
          </w:p>
        </w:tc>
      </w:tr>
      <w:tr w:rsidR="00485284" w14:paraId="0385ABC0" w14:textId="77777777" w:rsidTr="00485284">
        <w:trPr>
          <w:trHeight w:val="555"/>
        </w:trPr>
        <w:tc>
          <w:tcPr>
            <w:tcW w:w="6150" w:type="dxa"/>
            <w:tcBorders>
              <w:top w:val="single" w:sz="4" w:space="0" w:color="auto"/>
              <w:left w:val="single" w:sz="8" w:space="0" w:color="auto"/>
              <w:bottom w:val="single" w:sz="8" w:space="0" w:color="auto"/>
              <w:right w:val="single" w:sz="8" w:space="0" w:color="auto"/>
            </w:tcBorders>
            <w:vAlign w:val="center"/>
            <w:hideMark/>
          </w:tcPr>
          <w:p w14:paraId="344E8B5B" w14:textId="77777777" w:rsidR="00485284" w:rsidRDefault="00485284">
            <w:pPr>
              <w:rPr>
                <w:rFonts w:ascii="Arial" w:hAnsi="Arial" w:cs="Arial"/>
                <w:color w:val="000000"/>
                <w:sz w:val="16"/>
                <w:szCs w:val="16"/>
              </w:rPr>
            </w:pPr>
            <w:r>
              <w:rPr>
                <w:rFonts w:ascii="Arial" w:hAnsi="Arial" w:cs="Arial"/>
                <w:sz w:val="16"/>
                <w:szCs w:val="16"/>
              </w:rPr>
              <w:t>479. Prestación de servicios profesionales de apoyo al seguimiento y gestión estratégica de las actividades a cargo de la Presidencia de la Agencia Nacional de Hidrocarburos</w:t>
            </w:r>
          </w:p>
        </w:tc>
        <w:tc>
          <w:tcPr>
            <w:tcW w:w="1118" w:type="dxa"/>
            <w:tcBorders>
              <w:top w:val="single" w:sz="4" w:space="0" w:color="auto"/>
              <w:left w:val="nil"/>
              <w:bottom w:val="single" w:sz="8" w:space="0" w:color="auto"/>
              <w:right w:val="single" w:sz="8" w:space="0" w:color="auto"/>
            </w:tcBorders>
            <w:vAlign w:val="center"/>
            <w:hideMark/>
          </w:tcPr>
          <w:p w14:paraId="4445033E" w14:textId="77777777" w:rsidR="00485284" w:rsidRDefault="00485284">
            <w:pPr>
              <w:jc w:val="center"/>
              <w:rPr>
                <w:rFonts w:ascii="Arial" w:hAnsi="Arial" w:cs="Arial"/>
                <w:color w:val="000000"/>
                <w:sz w:val="16"/>
                <w:szCs w:val="16"/>
              </w:rPr>
            </w:pPr>
            <w:r>
              <w:rPr>
                <w:rFonts w:ascii="Arial" w:hAnsi="Arial" w:cs="Arial"/>
                <w:sz w:val="16"/>
                <w:szCs w:val="16"/>
              </w:rPr>
              <w:t>$ 115</w:t>
            </w:r>
          </w:p>
        </w:tc>
        <w:tc>
          <w:tcPr>
            <w:tcW w:w="2180" w:type="dxa"/>
            <w:tcBorders>
              <w:top w:val="single" w:sz="4" w:space="0" w:color="auto"/>
              <w:left w:val="nil"/>
              <w:bottom w:val="single" w:sz="8" w:space="0" w:color="auto"/>
              <w:right w:val="single" w:sz="8" w:space="0" w:color="auto"/>
            </w:tcBorders>
            <w:vAlign w:val="center"/>
            <w:hideMark/>
          </w:tcPr>
          <w:p w14:paraId="269A2B8E" w14:textId="77777777" w:rsidR="00485284" w:rsidRDefault="00485284">
            <w:pPr>
              <w:rPr>
                <w:rFonts w:ascii="Arial" w:hAnsi="Arial" w:cs="Arial"/>
                <w:color w:val="000000"/>
                <w:sz w:val="16"/>
                <w:szCs w:val="16"/>
              </w:rPr>
            </w:pPr>
            <w:r>
              <w:rPr>
                <w:rFonts w:ascii="Arial" w:hAnsi="Arial" w:cs="Arial"/>
                <w:sz w:val="16"/>
                <w:szCs w:val="16"/>
              </w:rPr>
              <w:t xml:space="preserve">Fredy Alexander Adame </w:t>
            </w:r>
            <w:proofErr w:type="spellStart"/>
            <w:r>
              <w:rPr>
                <w:rFonts w:ascii="Arial" w:hAnsi="Arial" w:cs="Arial"/>
                <w:sz w:val="16"/>
                <w:szCs w:val="16"/>
              </w:rPr>
              <w:t>Eraso</w:t>
            </w:r>
            <w:proofErr w:type="spellEnd"/>
          </w:p>
        </w:tc>
      </w:tr>
      <w:tr w:rsidR="00485284" w14:paraId="27AA10D8" w14:textId="77777777" w:rsidTr="00485284">
        <w:trPr>
          <w:trHeight w:val="681"/>
        </w:trPr>
        <w:tc>
          <w:tcPr>
            <w:tcW w:w="6150" w:type="dxa"/>
            <w:tcBorders>
              <w:top w:val="single" w:sz="8" w:space="0" w:color="auto"/>
              <w:left w:val="single" w:sz="8" w:space="0" w:color="auto"/>
              <w:bottom w:val="single" w:sz="8" w:space="0" w:color="auto"/>
              <w:right w:val="single" w:sz="8" w:space="0" w:color="auto"/>
            </w:tcBorders>
            <w:vAlign w:val="center"/>
            <w:hideMark/>
          </w:tcPr>
          <w:p w14:paraId="3A1A8AF7" w14:textId="77777777" w:rsidR="00485284" w:rsidRDefault="00485284">
            <w:pPr>
              <w:rPr>
                <w:rFonts w:ascii="Arial" w:hAnsi="Arial" w:cs="Arial"/>
                <w:color w:val="000000"/>
                <w:sz w:val="16"/>
                <w:szCs w:val="16"/>
              </w:rPr>
            </w:pPr>
            <w:r>
              <w:rPr>
                <w:rFonts w:ascii="Arial" w:hAnsi="Arial" w:cs="Arial"/>
                <w:sz w:val="16"/>
                <w:szCs w:val="16"/>
              </w:rPr>
              <w:lastRenderedPageBreak/>
              <w:t xml:space="preserve">529. Prestación de servicios profesionales de apoyo a la gestión de la Presidencia de la ANH, enfocados a la comunicación efectiva de las acciones y logros de la entidad a través de la difusión de contenidos escritos y audiovisuales informativos en medios internos y externos. </w:t>
            </w:r>
          </w:p>
        </w:tc>
        <w:tc>
          <w:tcPr>
            <w:tcW w:w="1118" w:type="dxa"/>
            <w:tcBorders>
              <w:top w:val="single" w:sz="8" w:space="0" w:color="auto"/>
              <w:left w:val="nil"/>
              <w:bottom w:val="single" w:sz="8" w:space="0" w:color="auto"/>
              <w:right w:val="single" w:sz="8" w:space="0" w:color="auto"/>
            </w:tcBorders>
            <w:vAlign w:val="center"/>
            <w:hideMark/>
          </w:tcPr>
          <w:p w14:paraId="2751F1A2" w14:textId="77777777" w:rsidR="00485284" w:rsidRDefault="00485284">
            <w:pPr>
              <w:jc w:val="center"/>
              <w:rPr>
                <w:rFonts w:ascii="Arial" w:hAnsi="Arial" w:cs="Arial"/>
                <w:color w:val="000000"/>
                <w:sz w:val="16"/>
                <w:szCs w:val="16"/>
              </w:rPr>
            </w:pPr>
            <w:r>
              <w:rPr>
                <w:rFonts w:ascii="Arial" w:hAnsi="Arial" w:cs="Arial"/>
                <w:sz w:val="16"/>
                <w:szCs w:val="16"/>
              </w:rPr>
              <w:t>$ 48</w:t>
            </w:r>
          </w:p>
        </w:tc>
        <w:tc>
          <w:tcPr>
            <w:tcW w:w="2180" w:type="dxa"/>
            <w:tcBorders>
              <w:top w:val="single" w:sz="8" w:space="0" w:color="auto"/>
              <w:left w:val="nil"/>
              <w:bottom w:val="single" w:sz="8" w:space="0" w:color="auto"/>
              <w:right w:val="single" w:sz="8" w:space="0" w:color="auto"/>
            </w:tcBorders>
            <w:vAlign w:val="center"/>
            <w:hideMark/>
          </w:tcPr>
          <w:p w14:paraId="0DAFADC5" w14:textId="77777777" w:rsidR="00485284" w:rsidRDefault="00485284">
            <w:pPr>
              <w:rPr>
                <w:rFonts w:ascii="Arial" w:hAnsi="Arial" w:cs="Arial"/>
                <w:color w:val="000000"/>
                <w:sz w:val="16"/>
                <w:szCs w:val="16"/>
              </w:rPr>
            </w:pPr>
            <w:r>
              <w:rPr>
                <w:rFonts w:ascii="Arial" w:hAnsi="Arial" w:cs="Arial"/>
                <w:sz w:val="16"/>
                <w:szCs w:val="16"/>
              </w:rPr>
              <w:t xml:space="preserve"> Carlos Alberto González Dorado </w:t>
            </w:r>
          </w:p>
        </w:tc>
      </w:tr>
    </w:tbl>
    <w:p w14:paraId="4E3E7957" w14:textId="425503BD" w:rsidR="00C02282" w:rsidRPr="00485284" w:rsidRDefault="00485284" w:rsidP="00C02282">
      <w:pPr>
        <w:ind w:right="-162"/>
        <w:jc w:val="center"/>
        <w:rPr>
          <w:rFonts w:ascii="Arial" w:hAnsi="Arial" w:cs="Arial"/>
          <w:sz w:val="16"/>
          <w:szCs w:val="16"/>
          <w:lang w:val="es-MX" w:eastAsia="es-ES"/>
        </w:rPr>
      </w:pPr>
      <w:r w:rsidRPr="00485284">
        <w:rPr>
          <w:rFonts w:ascii="Calibri" w:hAnsi="Calibri" w:cs="Calibri"/>
          <w:sz w:val="16"/>
          <w:szCs w:val="16"/>
        </w:rPr>
        <w:t xml:space="preserve"> </w:t>
      </w:r>
      <w:r w:rsidR="00C02282" w:rsidRPr="00485284">
        <w:rPr>
          <w:rFonts w:ascii="Calibri" w:hAnsi="Calibri" w:cs="Calibri"/>
          <w:sz w:val="16"/>
          <w:szCs w:val="16"/>
        </w:rPr>
        <w:t>Fuente PARTICIPACION CIUDADANA</w:t>
      </w:r>
    </w:p>
    <w:p w14:paraId="1EBC348E" w14:textId="50B1FB35" w:rsidR="00C02282" w:rsidRPr="00485284" w:rsidRDefault="00C02282" w:rsidP="00C02282">
      <w:pPr>
        <w:pStyle w:val="Descripcin"/>
        <w:keepNext/>
        <w:jc w:val="center"/>
      </w:pPr>
      <w:bookmarkStart w:id="151" w:name="_Toc525652521"/>
      <w:r w:rsidRPr="00485284">
        <w:t xml:space="preserve">Tabla </w:t>
      </w:r>
      <w:r w:rsidRPr="00485284">
        <w:fldChar w:fldCharType="begin"/>
      </w:r>
      <w:r w:rsidRPr="00485284">
        <w:instrText xml:space="preserve"> SEQ Tabla \* ARABIC </w:instrText>
      </w:r>
      <w:r w:rsidRPr="00485284">
        <w:fldChar w:fldCharType="separate"/>
      </w:r>
      <w:r w:rsidR="008B4625">
        <w:rPr>
          <w:noProof/>
        </w:rPr>
        <w:t>76</w:t>
      </w:r>
      <w:r w:rsidRPr="00485284">
        <w:fldChar w:fldCharType="end"/>
      </w:r>
      <w:r w:rsidR="00485284" w:rsidRPr="00485284">
        <w:t xml:space="preserve"> </w:t>
      </w:r>
      <w:r w:rsidRPr="00485284">
        <w:t>Ejecución Gastos de Comercialización y Producción – Participación Ciudadana Contratación 3</w:t>
      </w:r>
      <w:r w:rsidR="00485284" w:rsidRPr="00485284">
        <w:t xml:space="preserve">0 de junio de  </w:t>
      </w:r>
      <w:r w:rsidRPr="00485284">
        <w:t>2018 ANH</w:t>
      </w:r>
      <w:bookmarkEnd w:id="151"/>
    </w:p>
    <w:tbl>
      <w:tblPr>
        <w:tblW w:w="9562" w:type="dxa"/>
        <w:jc w:val="center"/>
        <w:tblCellMar>
          <w:left w:w="70" w:type="dxa"/>
          <w:right w:w="70" w:type="dxa"/>
        </w:tblCellMar>
        <w:tblLook w:val="04A0" w:firstRow="1" w:lastRow="0" w:firstColumn="1" w:lastColumn="0" w:noHBand="0" w:noVBand="1"/>
      </w:tblPr>
      <w:tblGrid>
        <w:gridCol w:w="2210"/>
        <w:gridCol w:w="1422"/>
        <w:gridCol w:w="1545"/>
        <w:gridCol w:w="1599"/>
        <w:gridCol w:w="1503"/>
        <w:gridCol w:w="1283"/>
      </w:tblGrid>
      <w:tr w:rsidR="00485284" w:rsidRPr="00485284" w14:paraId="1EA29E4D" w14:textId="77777777" w:rsidTr="00485284">
        <w:trPr>
          <w:trHeight w:val="533"/>
          <w:jc w:val="center"/>
        </w:trPr>
        <w:tc>
          <w:tcPr>
            <w:tcW w:w="2210"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032BE1D5"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Descripción</w:t>
            </w:r>
          </w:p>
        </w:tc>
        <w:tc>
          <w:tcPr>
            <w:tcW w:w="1422" w:type="dxa"/>
            <w:tcBorders>
              <w:top w:val="single" w:sz="4" w:space="0" w:color="auto"/>
              <w:left w:val="nil"/>
              <w:bottom w:val="single" w:sz="4" w:space="0" w:color="auto"/>
              <w:right w:val="single" w:sz="4" w:space="0" w:color="auto"/>
            </w:tcBorders>
            <w:shd w:val="clear" w:color="auto" w:fill="4F81BD" w:themeFill="accent1"/>
            <w:noWrap/>
            <w:hideMark/>
          </w:tcPr>
          <w:p w14:paraId="45835603"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 xml:space="preserve"> Apropiación </w:t>
            </w:r>
          </w:p>
        </w:tc>
        <w:tc>
          <w:tcPr>
            <w:tcW w:w="1545" w:type="dxa"/>
            <w:tcBorders>
              <w:top w:val="single" w:sz="4" w:space="0" w:color="auto"/>
              <w:left w:val="nil"/>
              <w:bottom w:val="single" w:sz="4" w:space="0" w:color="auto"/>
              <w:right w:val="single" w:sz="4" w:space="0" w:color="auto"/>
            </w:tcBorders>
            <w:shd w:val="clear" w:color="auto" w:fill="4F81BD" w:themeFill="accent1"/>
            <w:noWrap/>
            <w:hideMark/>
          </w:tcPr>
          <w:p w14:paraId="5A877C52"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 xml:space="preserve"> </w:t>
            </w: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CDP</w:t>
            </w:r>
          </w:p>
        </w:tc>
        <w:tc>
          <w:tcPr>
            <w:tcW w:w="1599" w:type="dxa"/>
            <w:tcBorders>
              <w:top w:val="single" w:sz="4" w:space="0" w:color="auto"/>
              <w:left w:val="nil"/>
              <w:bottom w:val="single" w:sz="4" w:space="0" w:color="auto"/>
              <w:right w:val="single" w:sz="4" w:space="0" w:color="auto"/>
            </w:tcBorders>
            <w:shd w:val="clear" w:color="auto" w:fill="4F81BD" w:themeFill="accent1"/>
            <w:noWrap/>
            <w:hideMark/>
          </w:tcPr>
          <w:p w14:paraId="1AB92E5B"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Compromisos </w:t>
            </w:r>
          </w:p>
        </w:tc>
        <w:tc>
          <w:tcPr>
            <w:tcW w:w="1503" w:type="dxa"/>
            <w:tcBorders>
              <w:top w:val="single" w:sz="4" w:space="0" w:color="auto"/>
              <w:left w:val="nil"/>
              <w:bottom w:val="single" w:sz="4" w:space="0" w:color="auto"/>
              <w:right w:val="single" w:sz="4" w:space="0" w:color="auto"/>
            </w:tcBorders>
            <w:shd w:val="clear" w:color="auto" w:fill="4F81BD" w:themeFill="accent1"/>
            <w:noWrap/>
            <w:hideMark/>
          </w:tcPr>
          <w:p w14:paraId="4D34275C"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Obligaciones </w:t>
            </w:r>
          </w:p>
        </w:tc>
        <w:tc>
          <w:tcPr>
            <w:tcW w:w="1283" w:type="dxa"/>
            <w:tcBorders>
              <w:top w:val="single" w:sz="4" w:space="0" w:color="auto"/>
              <w:left w:val="nil"/>
              <w:bottom w:val="single" w:sz="4" w:space="0" w:color="auto"/>
              <w:right w:val="single" w:sz="4" w:space="0" w:color="auto"/>
            </w:tcBorders>
            <w:shd w:val="clear" w:color="auto" w:fill="4F81BD" w:themeFill="accent1"/>
            <w:noWrap/>
            <w:hideMark/>
          </w:tcPr>
          <w:p w14:paraId="64D6C724" w14:textId="77777777" w:rsidR="00485284" w:rsidRPr="00485284" w:rsidRDefault="00485284">
            <w:pPr>
              <w:jc w:val="center"/>
              <w:rPr>
                <w:rFonts w:ascii="Arial" w:hAnsi="Arial" w:cs="Arial"/>
                <w:b/>
                <w:bCs/>
                <w:color w:val="000000"/>
                <w:sz w:val="16"/>
                <w:szCs w:val="16"/>
              </w:rPr>
            </w:pPr>
            <w:proofErr w:type="spellStart"/>
            <w:r w:rsidRPr="00485284">
              <w:rPr>
                <w:rFonts w:ascii="Arial" w:hAnsi="Arial" w:cs="Arial"/>
                <w:b/>
                <w:bCs/>
                <w:sz w:val="16"/>
                <w:szCs w:val="16"/>
              </w:rPr>
              <w:t>Acum</w:t>
            </w:r>
            <w:proofErr w:type="spellEnd"/>
            <w:r w:rsidRPr="00485284">
              <w:rPr>
                <w:rFonts w:ascii="Arial" w:hAnsi="Arial" w:cs="Arial"/>
                <w:b/>
                <w:bCs/>
                <w:sz w:val="16"/>
                <w:szCs w:val="16"/>
              </w:rPr>
              <w:t xml:space="preserve"> Pagos </w:t>
            </w:r>
          </w:p>
        </w:tc>
      </w:tr>
      <w:tr w:rsidR="00485284" w:rsidRPr="00485284" w14:paraId="5EFCBDD7" w14:textId="77777777" w:rsidTr="00485284">
        <w:trPr>
          <w:trHeight w:val="300"/>
          <w:jc w:val="center"/>
        </w:trPr>
        <w:tc>
          <w:tcPr>
            <w:tcW w:w="2210" w:type="dxa"/>
            <w:tcBorders>
              <w:top w:val="nil"/>
              <w:left w:val="single" w:sz="4" w:space="0" w:color="auto"/>
              <w:bottom w:val="single" w:sz="4" w:space="0" w:color="auto"/>
              <w:right w:val="single" w:sz="4" w:space="0" w:color="auto"/>
            </w:tcBorders>
            <w:noWrap/>
            <w:vAlign w:val="bottom"/>
            <w:hideMark/>
          </w:tcPr>
          <w:p w14:paraId="5F9FAADD" w14:textId="77777777" w:rsidR="00485284" w:rsidRPr="00485284" w:rsidRDefault="00485284">
            <w:pPr>
              <w:rPr>
                <w:rFonts w:ascii="Arial" w:hAnsi="Arial" w:cs="Arial"/>
                <w:b/>
                <w:bCs/>
                <w:color w:val="000000"/>
                <w:sz w:val="16"/>
                <w:szCs w:val="16"/>
              </w:rPr>
            </w:pPr>
            <w:r w:rsidRPr="00485284">
              <w:rPr>
                <w:rFonts w:ascii="Arial" w:hAnsi="Arial" w:cs="Arial"/>
                <w:b/>
                <w:bCs/>
                <w:sz w:val="16"/>
                <w:szCs w:val="16"/>
              </w:rPr>
              <w:t>Gastos de Comercialización</w:t>
            </w:r>
          </w:p>
        </w:tc>
        <w:tc>
          <w:tcPr>
            <w:tcW w:w="1422" w:type="dxa"/>
            <w:tcBorders>
              <w:top w:val="nil"/>
              <w:left w:val="nil"/>
              <w:bottom w:val="single" w:sz="4" w:space="0" w:color="auto"/>
              <w:right w:val="single" w:sz="4" w:space="0" w:color="auto"/>
            </w:tcBorders>
            <w:noWrap/>
            <w:vAlign w:val="center"/>
            <w:hideMark/>
          </w:tcPr>
          <w:p w14:paraId="0B6AD7A6"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$ 1.040</w:t>
            </w:r>
          </w:p>
        </w:tc>
        <w:tc>
          <w:tcPr>
            <w:tcW w:w="1545" w:type="dxa"/>
            <w:tcBorders>
              <w:top w:val="nil"/>
              <w:left w:val="nil"/>
              <w:bottom w:val="single" w:sz="4" w:space="0" w:color="auto"/>
              <w:right w:val="single" w:sz="4" w:space="0" w:color="auto"/>
            </w:tcBorders>
            <w:noWrap/>
            <w:vAlign w:val="center"/>
            <w:hideMark/>
          </w:tcPr>
          <w:p w14:paraId="1CDFBC58"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$ 914</w:t>
            </w:r>
          </w:p>
        </w:tc>
        <w:tc>
          <w:tcPr>
            <w:tcW w:w="1599" w:type="dxa"/>
            <w:tcBorders>
              <w:top w:val="nil"/>
              <w:left w:val="nil"/>
              <w:bottom w:val="single" w:sz="4" w:space="0" w:color="auto"/>
              <w:right w:val="single" w:sz="4" w:space="0" w:color="auto"/>
            </w:tcBorders>
            <w:noWrap/>
            <w:vAlign w:val="center"/>
            <w:hideMark/>
          </w:tcPr>
          <w:p w14:paraId="4E4948EB"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$ 914</w:t>
            </w:r>
          </w:p>
        </w:tc>
        <w:tc>
          <w:tcPr>
            <w:tcW w:w="1503" w:type="dxa"/>
            <w:tcBorders>
              <w:top w:val="nil"/>
              <w:left w:val="nil"/>
              <w:bottom w:val="single" w:sz="4" w:space="0" w:color="auto"/>
              <w:right w:val="single" w:sz="4" w:space="0" w:color="auto"/>
            </w:tcBorders>
            <w:noWrap/>
            <w:vAlign w:val="center"/>
            <w:hideMark/>
          </w:tcPr>
          <w:p w14:paraId="6C7F4E1D"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$ 319</w:t>
            </w:r>
          </w:p>
        </w:tc>
        <w:tc>
          <w:tcPr>
            <w:tcW w:w="1283" w:type="dxa"/>
            <w:tcBorders>
              <w:top w:val="nil"/>
              <w:left w:val="nil"/>
              <w:bottom w:val="single" w:sz="4" w:space="0" w:color="auto"/>
              <w:right w:val="single" w:sz="4" w:space="0" w:color="auto"/>
            </w:tcBorders>
            <w:noWrap/>
            <w:vAlign w:val="center"/>
            <w:hideMark/>
          </w:tcPr>
          <w:p w14:paraId="6AE49A34" w14:textId="77777777" w:rsidR="00485284" w:rsidRPr="00485284" w:rsidRDefault="00485284">
            <w:pPr>
              <w:jc w:val="right"/>
              <w:rPr>
                <w:rFonts w:ascii="Arial" w:hAnsi="Arial" w:cs="Arial"/>
                <w:color w:val="000000"/>
                <w:sz w:val="16"/>
                <w:szCs w:val="16"/>
              </w:rPr>
            </w:pPr>
            <w:r w:rsidRPr="00485284">
              <w:rPr>
                <w:rFonts w:ascii="Arial" w:hAnsi="Arial" w:cs="Arial"/>
                <w:sz w:val="16"/>
                <w:szCs w:val="16"/>
              </w:rPr>
              <w:t>$ 313</w:t>
            </w:r>
          </w:p>
        </w:tc>
      </w:tr>
      <w:tr w:rsidR="00485284" w:rsidRPr="00485284" w14:paraId="70B799C2" w14:textId="77777777" w:rsidTr="00485284">
        <w:trPr>
          <w:trHeight w:val="300"/>
          <w:jc w:val="center"/>
        </w:trPr>
        <w:tc>
          <w:tcPr>
            <w:tcW w:w="2210" w:type="dxa"/>
            <w:tcBorders>
              <w:top w:val="single" w:sz="4" w:space="0" w:color="auto"/>
              <w:left w:val="nil"/>
              <w:bottom w:val="nil"/>
              <w:right w:val="nil"/>
            </w:tcBorders>
            <w:noWrap/>
            <w:vAlign w:val="bottom"/>
            <w:hideMark/>
          </w:tcPr>
          <w:p w14:paraId="210BD22D" w14:textId="77777777" w:rsidR="00485284" w:rsidRPr="00485284" w:rsidRDefault="00485284">
            <w:pPr>
              <w:rPr>
                <w:rFonts w:ascii="Calibri" w:hAnsi="Calibri" w:cs="Times New Roman"/>
                <w:color w:val="000000"/>
                <w:sz w:val="19"/>
                <w:szCs w:val="19"/>
              </w:rPr>
            </w:pPr>
          </w:p>
        </w:tc>
        <w:tc>
          <w:tcPr>
            <w:tcW w:w="1422" w:type="dxa"/>
            <w:tcBorders>
              <w:top w:val="single" w:sz="4" w:space="0" w:color="auto"/>
              <w:left w:val="nil"/>
              <w:bottom w:val="nil"/>
              <w:right w:val="nil"/>
            </w:tcBorders>
            <w:noWrap/>
            <w:vAlign w:val="bottom"/>
            <w:hideMark/>
          </w:tcPr>
          <w:p w14:paraId="5D8ABF7E" w14:textId="77777777" w:rsidR="00485284" w:rsidRPr="00485284" w:rsidRDefault="00485284">
            <w:pPr>
              <w:rPr>
                <w:rFonts w:ascii="Calibri" w:hAnsi="Calibri" w:cs="Times New Roman"/>
                <w:color w:val="000000"/>
                <w:sz w:val="19"/>
                <w:szCs w:val="19"/>
              </w:rPr>
            </w:pPr>
          </w:p>
        </w:tc>
        <w:tc>
          <w:tcPr>
            <w:tcW w:w="1545" w:type="dxa"/>
            <w:tcBorders>
              <w:top w:val="single" w:sz="4" w:space="0" w:color="auto"/>
              <w:left w:val="nil"/>
              <w:bottom w:val="nil"/>
              <w:right w:val="nil"/>
            </w:tcBorders>
            <w:noWrap/>
            <w:vAlign w:val="bottom"/>
            <w:hideMark/>
          </w:tcPr>
          <w:p w14:paraId="2EE138FD" w14:textId="77777777" w:rsidR="00485284" w:rsidRPr="00485284" w:rsidRDefault="00485284">
            <w:pPr>
              <w:rPr>
                <w:rFonts w:ascii="Calibri" w:hAnsi="Calibri" w:cs="Times New Roman"/>
                <w:color w:val="000000"/>
                <w:sz w:val="19"/>
                <w:szCs w:val="19"/>
              </w:rPr>
            </w:pPr>
          </w:p>
        </w:tc>
        <w:tc>
          <w:tcPr>
            <w:tcW w:w="1599" w:type="dxa"/>
            <w:tcBorders>
              <w:top w:val="single" w:sz="4" w:space="0" w:color="auto"/>
              <w:left w:val="nil"/>
              <w:bottom w:val="nil"/>
              <w:right w:val="nil"/>
            </w:tcBorders>
            <w:noWrap/>
            <w:vAlign w:val="bottom"/>
            <w:hideMark/>
          </w:tcPr>
          <w:p w14:paraId="11541130" w14:textId="77777777" w:rsidR="00485284" w:rsidRPr="00485284" w:rsidRDefault="00485284">
            <w:pPr>
              <w:rPr>
                <w:rFonts w:ascii="Calibri" w:hAnsi="Calibri" w:cs="Times New Roman"/>
                <w:color w:val="000000"/>
                <w:sz w:val="19"/>
                <w:szCs w:val="19"/>
              </w:rPr>
            </w:pPr>
          </w:p>
        </w:tc>
        <w:tc>
          <w:tcPr>
            <w:tcW w:w="1503" w:type="dxa"/>
            <w:tcBorders>
              <w:top w:val="single" w:sz="4" w:space="0" w:color="auto"/>
              <w:left w:val="nil"/>
              <w:bottom w:val="nil"/>
              <w:right w:val="nil"/>
            </w:tcBorders>
            <w:noWrap/>
            <w:vAlign w:val="bottom"/>
            <w:hideMark/>
          </w:tcPr>
          <w:p w14:paraId="612418A8" w14:textId="77777777" w:rsidR="00485284" w:rsidRPr="00485284" w:rsidRDefault="00485284">
            <w:pPr>
              <w:rPr>
                <w:rFonts w:ascii="Calibri" w:hAnsi="Calibri" w:cs="Times New Roman"/>
                <w:color w:val="000000"/>
                <w:sz w:val="19"/>
                <w:szCs w:val="19"/>
              </w:rPr>
            </w:pPr>
          </w:p>
        </w:tc>
        <w:tc>
          <w:tcPr>
            <w:tcW w:w="1283" w:type="dxa"/>
            <w:tcBorders>
              <w:top w:val="single" w:sz="4" w:space="0" w:color="auto"/>
              <w:left w:val="nil"/>
              <w:bottom w:val="nil"/>
              <w:right w:val="nil"/>
            </w:tcBorders>
            <w:noWrap/>
            <w:vAlign w:val="bottom"/>
            <w:hideMark/>
          </w:tcPr>
          <w:p w14:paraId="40D2C40A" w14:textId="77777777" w:rsidR="00485284" w:rsidRPr="00485284" w:rsidRDefault="00485284">
            <w:pPr>
              <w:rPr>
                <w:rFonts w:ascii="Calibri" w:hAnsi="Calibri" w:cs="Times New Roman"/>
                <w:color w:val="000000"/>
                <w:sz w:val="19"/>
                <w:szCs w:val="19"/>
              </w:rPr>
            </w:pPr>
          </w:p>
        </w:tc>
      </w:tr>
      <w:tr w:rsidR="00485284" w:rsidRPr="00485284" w14:paraId="15DA4266" w14:textId="77777777" w:rsidTr="00485284">
        <w:trPr>
          <w:trHeight w:val="300"/>
          <w:jc w:val="center"/>
        </w:trPr>
        <w:tc>
          <w:tcPr>
            <w:tcW w:w="363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4E92976B"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Porcentaje de ejecución</w:t>
            </w:r>
          </w:p>
        </w:tc>
        <w:tc>
          <w:tcPr>
            <w:tcW w:w="154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8C7CBF2"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100%</w:t>
            </w:r>
          </w:p>
        </w:tc>
        <w:tc>
          <w:tcPr>
            <w:tcW w:w="15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3E7E837"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88%</w:t>
            </w:r>
          </w:p>
        </w:tc>
        <w:tc>
          <w:tcPr>
            <w:tcW w:w="150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2C47601"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31%</w:t>
            </w:r>
          </w:p>
        </w:tc>
        <w:tc>
          <w:tcPr>
            <w:tcW w:w="128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5EFA6AE"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30%</w:t>
            </w:r>
          </w:p>
        </w:tc>
      </w:tr>
    </w:tbl>
    <w:p w14:paraId="34A11AAC" w14:textId="7131FDB9"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238902D1"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63775FB8" w14:textId="77777777" w:rsidR="00485284" w:rsidRPr="006A67B4" w:rsidRDefault="00485284" w:rsidP="00C02282">
      <w:pPr>
        <w:contextualSpacing/>
        <w:jc w:val="both"/>
        <w:rPr>
          <w:rFonts w:ascii="Arial" w:hAnsi="Arial" w:cs="Arial"/>
          <w:b/>
          <w:bCs/>
          <w:highlight w:val="yellow"/>
          <w:lang w:val="es-MX" w:eastAsia="es-ES"/>
        </w:rPr>
      </w:pPr>
    </w:p>
    <w:p w14:paraId="71DF953F" w14:textId="5F3D8B77" w:rsidR="00C02282" w:rsidRPr="006A67B4" w:rsidRDefault="00C02282" w:rsidP="00C02282">
      <w:pPr>
        <w:contextualSpacing/>
        <w:jc w:val="both"/>
        <w:rPr>
          <w:rFonts w:ascii="Arial" w:hAnsi="Arial" w:cs="Arial"/>
          <w:highlight w:val="yellow"/>
          <w:lang w:val="es-MX" w:eastAsia="es-ES"/>
        </w:rPr>
      </w:pPr>
      <w:r w:rsidRPr="00485284">
        <w:rPr>
          <w:rFonts w:ascii="Arial" w:hAnsi="Arial" w:cs="Arial"/>
          <w:b/>
          <w:bCs/>
          <w:lang w:val="es-MX" w:eastAsia="es-ES"/>
        </w:rPr>
        <w:t>Financiera – Vicepresidencia Administrativa y Financiera:</w:t>
      </w:r>
    </w:p>
    <w:p w14:paraId="4D7823BB" w14:textId="77777777" w:rsidR="00CC62DC" w:rsidRDefault="00CC62DC" w:rsidP="00485284">
      <w:pPr>
        <w:jc w:val="both"/>
        <w:rPr>
          <w:rFonts w:ascii="Arial" w:hAnsi="Arial" w:cs="Arial"/>
          <w:lang w:val="es-MX" w:eastAsia="es-ES"/>
        </w:rPr>
      </w:pPr>
    </w:p>
    <w:p w14:paraId="562922B8" w14:textId="2A9912EF" w:rsidR="00485284" w:rsidRDefault="00485284" w:rsidP="00485284">
      <w:pPr>
        <w:jc w:val="both"/>
        <w:rPr>
          <w:rFonts w:ascii="Arial" w:hAnsi="Arial" w:cs="Arial"/>
          <w:lang w:val="es-MX" w:eastAsia="es-ES"/>
        </w:rPr>
      </w:pPr>
      <w:r>
        <w:rPr>
          <w:rFonts w:ascii="Arial" w:hAnsi="Arial" w:cs="Arial"/>
          <w:lang w:val="es-MX" w:eastAsia="es-ES"/>
        </w:rPr>
        <w:t>La Coordinación financiera para el año 2018 contrató los servicios de dos profesionales para que prestarán sus servicios especializados de acompañamiento a la Vicepresidencia Administrativa y Financiera de la ANH en la estructuración de los procesos contractuales y apoyo financiero, y asesoría a la Presidencia de la Agencia; así como en la planeación, seguimiento y control presupuestal de las dependencias misionales de la ANH, acompañamiento en el proceso de tesorería y manejo de los recursos financieros de la ANH, suscribió cuatro contratos en cuantía de $442 millones de pesos.</w:t>
      </w:r>
    </w:p>
    <w:p w14:paraId="6970C636" w14:textId="4FDD9BA2" w:rsidR="00C02282" w:rsidRPr="006A67B4" w:rsidRDefault="00485284" w:rsidP="00485284">
      <w:pPr>
        <w:pStyle w:val="Descripcin"/>
        <w:keepNext/>
        <w:jc w:val="center"/>
        <w:rPr>
          <w:highlight w:val="yellow"/>
        </w:rPr>
      </w:pPr>
      <w:r w:rsidRPr="00485284">
        <w:t xml:space="preserve"> </w:t>
      </w:r>
      <w:bookmarkStart w:id="152" w:name="_Toc525652522"/>
      <w:r w:rsidR="00C02282" w:rsidRPr="00485284">
        <w:t xml:space="preserve">Tabla </w:t>
      </w:r>
      <w:r w:rsidR="00C02282" w:rsidRPr="00485284">
        <w:fldChar w:fldCharType="begin"/>
      </w:r>
      <w:r w:rsidR="00C02282" w:rsidRPr="00485284">
        <w:instrText xml:space="preserve"> SEQ Tabla \* ARABIC </w:instrText>
      </w:r>
      <w:r w:rsidR="00C02282" w:rsidRPr="00485284">
        <w:fldChar w:fldCharType="separate"/>
      </w:r>
      <w:r w:rsidR="008B4625">
        <w:rPr>
          <w:noProof/>
        </w:rPr>
        <w:t>77</w:t>
      </w:r>
      <w:r w:rsidR="00C02282" w:rsidRPr="00485284">
        <w:fldChar w:fldCharType="end"/>
      </w:r>
      <w:r>
        <w:t xml:space="preserve"> </w:t>
      </w:r>
      <w:r w:rsidR="00C02282" w:rsidRPr="00485284">
        <w:t>Ejecución Gastos de Comercialización y Producción – Financiera Contratación 3</w:t>
      </w:r>
      <w:r w:rsidRPr="00485284">
        <w:t xml:space="preserve">0 de junio de </w:t>
      </w:r>
      <w:r w:rsidR="00C02282" w:rsidRPr="00485284">
        <w:t xml:space="preserve"> 2018 ANH</w:t>
      </w:r>
      <w:bookmarkEnd w:id="152"/>
    </w:p>
    <w:tbl>
      <w:tblPr>
        <w:tblW w:w="9548" w:type="dxa"/>
        <w:jc w:val="center"/>
        <w:tblCellMar>
          <w:left w:w="70" w:type="dxa"/>
          <w:right w:w="70" w:type="dxa"/>
        </w:tblCellMar>
        <w:tblLook w:val="04A0" w:firstRow="1" w:lastRow="0" w:firstColumn="1" w:lastColumn="0" w:noHBand="0" w:noVBand="1"/>
      </w:tblPr>
      <w:tblGrid>
        <w:gridCol w:w="2102"/>
        <w:gridCol w:w="1440"/>
        <w:gridCol w:w="1565"/>
        <w:gridCol w:w="1620"/>
        <w:gridCol w:w="1522"/>
        <w:gridCol w:w="1299"/>
      </w:tblGrid>
      <w:tr w:rsidR="00485284" w14:paraId="57AA92F5" w14:textId="77777777" w:rsidTr="00485284">
        <w:trPr>
          <w:trHeight w:val="600"/>
          <w:jc w:val="center"/>
        </w:trPr>
        <w:tc>
          <w:tcPr>
            <w:tcW w:w="2102"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29247DD" w14:textId="77777777" w:rsidR="00485284" w:rsidRDefault="00485284">
            <w:pPr>
              <w:jc w:val="center"/>
              <w:rPr>
                <w:rFonts w:ascii="Arial" w:hAnsi="Arial" w:cs="Arial"/>
                <w:b/>
                <w:bCs/>
                <w:color w:val="000000"/>
                <w:sz w:val="16"/>
                <w:szCs w:val="16"/>
              </w:rPr>
            </w:pPr>
            <w:r>
              <w:rPr>
                <w:rFonts w:ascii="Arial" w:hAnsi="Arial" w:cs="Arial"/>
                <w:b/>
                <w:bCs/>
                <w:sz w:val="16"/>
                <w:szCs w:val="16"/>
              </w:rPr>
              <w:t>Descripción</w:t>
            </w:r>
          </w:p>
        </w:tc>
        <w:tc>
          <w:tcPr>
            <w:tcW w:w="1440" w:type="dxa"/>
            <w:tcBorders>
              <w:top w:val="single" w:sz="4" w:space="0" w:color="auto"/>
              <w:left w:val="nil"/>
              <w:bottom w:val="single" w:sz="4" w:space="0" w:color="auto"/>
              <w:right w:val="single" w:sz="4" w:space="0" w:color="auto"/>
            </w:tcBorders>
            <w:shd w:val="clear" w:color="auto" w:fill="4F81BD" w:themeFill="accent1"/>
            <w:noWrap/>
            <w:hideMark/>
          </w:tcPr>
          <w:p w14:paraId="50DBDD59" w14:textId="77777777" w:rsidR="00485284" w:rsidRDefault="00485284">
            <w:pPr>
              <w:jc w:val="center"/>
              <w:rPr>
                <w:rFonts w:ascii="Arial" w:hAnsi="Arial" w:cs="Arial"/>
                <w:b/>
                <w:bCs/>
                <w:color w:val="000000"/>
                <w:sz w:val="16"/>
                <w:szCs w:val="16"/>
              </w:rPr>
            </w:pPr>
            <w:r>
              <w:rPr>
                <w:rFonts w:ascii="Arial" w:hAnsi="Arial" w:cs="Arial"/>
                <w:b/>
                <w:bCs/>
                <w:sz w:val="16"/>
                <w:szCs w:val="16"/>
              </w:rPr>
              <w:t xml:space="preserve"> Apropiación </w:t>
            </w:r>
          </w:p>
        </w:tc>
        <w:tc>
          <w:tcPr>
            <w:tcW w:w="1565" w:type="dxa"/>
            <w:tcBorders>
              <w:top w:val="single" w:sz="4" w:space="0" w:color="auto"/>
              <w:left w:val="nil"/>
              <w:bottom w:val="single" w:sz="4" w:space="0" w:color="auto"/>
              <w:right w:val="single" w:sz="4" w:space="0" w:color="auto"/>
            </w:tcBorders>
            <w:shd w:val="clear" w:color="auto" w:fill="4F81BD" w:themeFill="accent1"/>
            <w:noWrap/>
            <w:hideMark/>
          </w:tcPr>
          <w:p w14:paraId="1DC78709" w14:textId="77777777" w:rsidR="00485284" w:rsidRDefault="00485284">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620" w:type="dxa"/>
            <w:tcBorders>
              <w:top w:val="single" w:sz="4" w:space="0" w:color="auto"/>
              <w:left w:val="nil"/>
              <w:bottom w:val="single" w:sz="4" w:space="0" w:color="auto"/>
              <w:right w:val="single" w:sz="4" w:space="0" w:color="auto"/>
            </w:tcBorders>
            <w:shd w:val="clear" w:color="auto" w:fill="4F81BD" w:themeFill="accent1"/>
            <w:noWrap/>
            <w:hideMark/>
          </w:tcPr>
          <w:p w14:paraId="0A9426BC"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522" w:type="dxa"/>
            <w:tcBorders>
              <w:top w:val="single" w:sz="4" w:space="0" w:color="auto"/>
              <w:left w:val="nil"/>
              <w:bottom w:val="single" w:sz="4" w:space="0" w:color="auto"/>
              <w:right w:val="single" w:sz="4" w:space="0" w:color="auto"/>
            </w:tcBorders>
            <w:shd w:val="clear" w:color="auto" w:fill="4F81BD" w:themeFill="accent1"/>
            <w:noWrap/>
            <w:hideMark/>
          </w:tcPr>
          <w:p w14:paraId="709EB231"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299" w:type="dxa"/>
            <w:tcBorders>
              <w:top w:val="single" w:sz="4" w:space="0" w:color="auto"/>
              <w:left w:val="nil"/>
              <w:bottom w:val="single" w:sz="4" w:space="0" w:color="auto"/>
              <w:right w:val="single" w:sz="4" w:space="0" w:color="auto"/>
            </w:tcBorders>
            <w:shd w:val="clear" w:color="auto" w:fill="4F81BD" w:themeFill="accent1"/>
            <w:noWrap/>
            <w:hideMark/>
          </w:tcPr>
          <w:p w14:paraId="1326EEF9"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485284" w14:paraId="53808B54" w14:textId="77777777" w:rsidTr="00485284">
        <w:trPr>
          <w:trHeight w:val="300"/>
          <w:jc w:val="center"/>
        </w:trPr>
        <w:tc>
          <w:tcPr>
            <w:tcW w:w="2102" w:type="dxa"/>
            <w:tcBorders>
              <w:top w:val="nil"/>
              <w:left w:val="single" w:sz="4" w:space="0" w:color="auto"/>
              <w:bottom w:val="single" w:sz="4" w:space="0" w:color="auto"/>
              <w:right w:val="single" w:sz="4" w:space="0" w:color="auto"/>
            </w:tcBorders>
            <w:noWrap/>
            <w:vAlign w:val="bottom"/>
            <w:hideMark/>
          </w:tcPr>
          <w:p w14:paraId="45D4AC4D"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440" w:type="dxa"/>
            <w:tcBorders>
              <w:top w:val="nil"/>
              <w:left w:val="nil"/>
              <w:bottom w:val="single" w:sz="4" w:space="0" w:color="auto"/>
              <w:right w:val="single" w:sz="4" w:space="0" w:color="auto"/>
            </w:tcBorders>
            <w:noWrap/>
            <w:vAlign w:val="center"/>
            <w:hideMark/>
          </w:tcPr>
          <w:p w14:paraId="0AE2E403" w14:textId="77777777" w:rsidR="00485284" w:rsidRDefault="00485284">
            <w:pPr>
              <w:jc w:val="right"/>
              <w:rPr>
                <w:rFonts w:ascii="Arial" w:hAnsi="Arial" w:cs="Arial"/>
                <w:color w:val="000000"/>
                <w:sz w:val="16"/>
                <w:szCs w:val="16"/>
              </w:rPr>
            </w:pPr>
            <w:r>
              <w:rPr>
                <w:rFonts w:ascii="Arial" w:hAnsi="Arial" w:cs="Arial"/>
                <w:sz w:val="16"/>
                <w:szCs w:val="16"/>
              </w:rPr>
              <w:t>$ 476</w:t>
            </w:r>
          </w:p>
        </w:tc>
        <w:tc>
          <w:tcPr>
            <w:tcW w:w="1565" w:type="dxa"/>
            <w:tcBorders>
              <w:top w:val="nil"/>
              <w:left w:val="nil"/>
              <w:bottom w:val="single" w:sz="4" w:space="0" w:color="auto"/>
              <w:right w:val="single" w:sz="4" w:space="0" w:color="auto"/>
            </w:tcBorders>
            <w:noWrap/>
            <w:vAlign w:val="center"/>
            <w:hideMark/>
          </w:tcPr>
          <w:p w14:paraId="3D51F8FE" w14:textId="77777777" w:rsidR="00485284" w:rsidRDefault="00485284">
            <w:pPr>
              <w:jc w:val="right"/>
              <w:rPr>
                <w:rFonts w:ascii="Arial" w:hAnsi="Arial" w:cs="Arial"/>
                <w:color w:val="000000"/>
                <w:sz w:val="16"/>
                <w:szCs w:val="16"/>
              </w:rPr>
            </w:pPr>
            <w:r>
              <w:rPr>
                <w:rFonts w:ascii="Arial" w:hAnsi="Arial" w:cs="Arial"/>
                <w:sz w:val="16"/>
                <w:szCs w:val="16"/>
              </w:rPr>
              <w:t>$ 442</w:t>
            </w:r>
          </w:p>
        </w:tc>
        <w:tc>
          <w:tcPr>
            <w:tcW w:w="1620" w:type="dxa"/>
            <w:tcBorders>
              <w:top w:val="nil"/>
              <w:left w:val="nil"/>
              <w:bottom w:val="single" w:sz="4" w:space="0" w:color="auto"/>
              <w:right w:val="single" w:sz="4" w:space="0" w:color="auto"/>
            </w:tcBorders>
            <w:noWrap/>
            <w:vAlign w:val="center"/>
            <w:hideMark/>
          </w:tcPr>
          <w:p w14:paraId="0CCA0111" w14:textId="77777777" w:rsidR="00485284" w:rsidRDefault="00485284">
            <w:pPr>
              <w:jc w:val="right"/>
              <w:rPr>
                <w:rFonts w:ascii="Arial" w:hAnsi="Arial" w:cs="Arial"/>
                <w:color w:val="000000"/>
                <w:sz w:val="16"/>
                <w:szCs w:val="16"/>
              </w:rPr>
            </w:pPr>
            <w:r>
              <w:rPr>
                <w:rFonts w:ascii="Arial" w:hAnsi="Arial" w:cs="Arial"/>
                <w:sz w:val="16"/>
                <w:szCs w:val="16"/>
              </w:rPr>
              <w:t>$ 442</w:t>
            </w:r>
          </w:p>
        </w:tc>
        <w:tc>
          <w:tcPr>
            <w:tcW w:w="1522" w:type="dxa"/>
            <w:tcBorders>
              <w:top w:val="nil"/>
              <w:left w:val="nil"/>
              <w:bottom w:val="single" w:sz="4" w:space="0" w:color="auto"/>
              <w:right w:val="single" w:sz="4" w:space="0" w:color="auto"/>
            </w:tcBorders>
            <w:noWrap/>
            <w:vAlign w:val="center"/>
            <w:hideMark/>
          </w:tcPr>
          <w:p w14:paraId="3C97A605" w14:textId="77777777" w:rsidR="00485284" w:rsidRDefault="00485284">
            <w:pPr>
              <w:jc w:val="right"/>
              <w:rPr>
                <w:rFonts w:ascii="Arial" w:hAnsi="Arial" w:cs="Arial"/>
                <w:color w:val="000000"/>
                <w:sz w:val="16"/>
                <w:szCs w:val="16"/>
              </w:rPr>
            </w:pPr>
            <w:r>
              <w:rPr>
                <w:rFonts w:ascii="Arial" w:hAnsi="Arial" w:cs="Arial"/>
                <w:sz w:val="16"/>
                <w:szCs w:val="16"/>
              </w:rPr>
              <w:t>$ 168</w:t>
            </w:r>
          </w:p>
        </w:tc>
        <w:tc>
          <w:tcPr>
            <w:tcW w:w="1299" w:type="dxa"/>
            <w:tcBorders>
              <w:top w:val="nil"/>
              <w:left w:val="nil"/>
              <w:bottom w:val="single" w:sz="4" w:space="0" w:color="auto"/>
              <w:right w:val="single" w:sz="4" w:space="0" w:color="auto"/>
            </w:tcBorders>
            <w:noWrap/>
            <w:vAlign w:val="center"/>
            <w:hideMark/>
          </w:tcPr>
          <w:p w14:paraId="20C8D42D" w14:textId="77777777" w:rsidR="00485284" w:rsidRDefault="00485284">
            <w:pPr>
              <w:jc w:val="right"/>
              <w:rPr>
                <w:rFonts w:ascii="Arial" w:hAnsi="Arial" w:cs="Arial"/>
                <w:color w:val="000000"/>
                <w:sz w:val="16"/>
                <w:szCs w:val="16"/>
              </w:rPr>
            </w:pPr>
            <w:r>
              <w:rPr>
                <w:rFonts w:ascii="Arial" w:hAnsi="Arial" w:cs="Arial"/>
                <w:sz w:val="16"/>
                <w:szCs w:val="16"/>
              </w:rPr>
              <w:t>$ 168</w:t>
            </w:r>
          </w:p>
        </w:tc>
      </w:tr>
      <w:tr w:rsidR="00485284" w14:paraId="32E8D1A5" w14:textId="77777777" w:rsidTr="00485284">
        <w:trPr>
          <w:trHeight w:val="300"/>
          <w:jc w:val="center"/>
        </w:trPr>
        <w:tc>
          <w:tcPr>
            <w:tcW w:w="2102" w:type="dxa"/>
            <w:tcBorders>
              <w:top w:val="single" w:sz="4" w:space="0" w:color="auto"/>
              <w:left w:val="nil"/>
              <w:bottom w:val="nil"/>
              <w:right w:val="nil"/>
            </w:tcBorders>
            <w:noWrap/>
            <w:vAlign w:val="bottom"/>
            <w:hideMark/>
          </w:tcPr>
          <w:p w14:paraId="056DEC36" w14:textId="77777777" w:rsidR="00485284" w:rsidRDefault="00485284">
            <w:pPr>
              <w:rPr>
                <w:rFonts w:ascii="Calibri" w:hAnsi="Calibri" w:cs="Times New Roman"/>
                <w:color w:val="000000"/>
                <w:sz w:val="19"/>
                <w:szCs w:val="19"/>
              </w:rPr>
            </w:pPr>
          </w:p>
        </w:tc>
        <w:tc>
          <w:tcPr>
            <w:tcW w:w="1440" w:type="dxa"/>
            <w:tcBorders>
              <w:top w:val="single" w:sz="4" w:space="0" w:color="auto"/>
              <w:left w:val="nil"/>
              <w:bottom w:val="nil"/>
              <w:right w:val="nil"/>
            </w:tcBorders>
            <w:noWrap/>
            <w:vAlign w:val="bottom"/>
            <w:hideMark/>
          </w:tcPr>
          <w:p w14:paraId="650B8D29" w14:textId="77777777" w:rsidR="00485284" w:rsidRDefault="00485284">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07334AEB" w14:textId="77777777" w:rsidR="00485284" w:rsidRDefault="00485284">
            <w:pPr>
              <w:rPr>
                <w:rFonts w:ascii="Calibri" w:hAnsi="Calibri" w:cs="Times New Roman"/>
                <w:color w:val="000000"/>
                <w:sz w:val="19"/>
                <w:szCs w:val="19"/>
              </w:rPr>
            </w:pPr>
          </w:p>
        </w:tc>
        <w:tc>
          <w:tcPr>
            <w:tcW w:w="1620" w:type="dxa"/>
            <w:tcBorders>
              <w:top w:val="single" w:sz="4" w:space="0" w:color="auto"/>
              <w:left w:val="nil"/>
              <w:bottom w:val="nil"/>
              <w:right w:val="nil"/>
            </w:tcBorders>
            <w:noWrap/>
            <w:vAlign w:val="bottom"/>
            <w:hideMark/>
          </w:tcPr>
          <w:p w14:paraId="55CDD7DC" w14:textId="77777777" w:rsidR="00485284" w:rsidRDefault="00485284">
            <w:pPr>
              <w:rPr>
                <w:rFonts w:ascii="Calibri" w:hAnsi="Calibri" w:cs="Times New Roman"/>
                <w:color w:val="000000"/>
                <w:sz w:val="19"/>
                <w:szCs w:val="19"/>
              </w:rPr>
            </w:pPr>
          </w:p>
        </w:tc>
        <w:tc>
          <w:tcPr>
            <w:tcW w:w="1522" w:type="dxa"/>
            <w:tcBorders>
              <w:top w:val="single" w:sz="4" w:space="0" w:color="auto"/>
              <w:left w:val="nil"/>
              <w:bottom w:val="nil"/>
              <w:right w:val="nil"/>
            </w:tcBorders>
            <w:noWrap/>
            <w:vAlign w:val="bottom"/>
            <w:hideMark/>
          </w:tcPr>
          <w:p w14:paraId="54DEFF7E" w14:textId="77777777" w:rsidR="00485284" w:rsidRDefault="00485284">
            <w:pPr>
              <w:rPr>
                <w:rFonts w:ascii="Calibri" w:hAnsi="Calibri" w:cs="Times New Roman"/>
                <w:color w:val="000000"/>
                <w:sz w:val="19"/>
                <w:szCs w:val="19"/>
              </w:rPr>
            </w:pPr>
          </w:p>
        </w:tc>
        <w:tc>
          <w:tcPr>
            <w:tcW w:w="1299" w:type="dxa"/>
            <w:tcBorders>
              <w:top w:val="single" w:sz="4" w:space="0" w:color="auto"/>
              <w:left w:val="nil"/>
              <w:bottom w:val="nil"/>
              <w:right w:val="nil"/>
            </w:tcBorders>
            <w:noWrap/>
            <w:vAlign w:val="bottom"/>
            <w:hideMark/>
          </w:tcPr>
          <w:p w14:paraId="09FC662F" w14:textId="77777777" w:rsidR="00485284" w:rsidRDefault="00485284">
            <w:pPr>
              <w:rPr>
                <w:rFonts w:ascii="Calibri" w:hAnsi="Calibri" w:cs="Times New Roman"/>
                <w:color w:val="000000"/>
                <w:sz w:val="19"/>
                <w:szCs w:val="19"/>
              </w:rPr>
            </w:pPr>
          </w:p>
        </w:tc>
      </w:tr>
      <w:tr w:rsidR="00485284" w:rsidRPr="00485284" w14:paraId="1D859C85" w14:textId="77777777" w:rsidTr="00485284">
        <w:trPr>
          <w:trHeight w:val="300"/>
          <w:jc w:val="center"/>
        </w:trPr>
        <w:tc>
          <w:tcPr>
            <w:tcW w:w="354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28BF861A" w14:textId="77777777" w:rsidR="00485284" w:rsidRPr="00485284" w:rsidRDefault="00485284">
            <w:pPr>
              <w:jc w:val="center"/>
              <w:rPr>
                <w:rFonts w:ascii="Arial" w:hAnsi="Arial" w:cs="Arial"/>
                <w:b/>
                <w:bCs/>
                <w:color w:val="000000"/>
                <w:sz w:val="16"/>
                <w:szCs w:val="16"/>
              </w:rPr>
            </w:pPr>
            <w:r w:rsidRPr="00485284">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6886125"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93%</w:t>
            </w:r>
          </w:p>
        </w:tc>
        <w:tc>
          <w:tcPr>
            <w:tcW w:w="16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903B024"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93%</w:t>
            </w:r>
          </w:p>
        </w:tc>
        <w:tc>
          <w:tcPr>
            <w:tcW w:w="152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D893DE7"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35%</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0518A52F" w14:textId="77777777" w:rsidR="00485284" w:rsidRPr="00485284" w:rsidRDefault="00485284">
            <w:pPr>
              <w:jc w:val="right"/>
              <w:rPr>
                <w:rFonts w:ascii="Arial" w:hAnsi="Arial" w:cs="Arial"/>
                <w:b/>
                <w:bCs/>
                <w:color w:val="000000"/>
                <w:sz w:val="16"/>
                <w:szCs w:val="16"/>
              </w:rPr>
            </w:pPr>
            <w:r w:rsidRPr="00485284">
              <w:rPr>
                <w:rFonts w:ascii="Arial" w:hAnsi="Arial" w:cs="Arial"/>
                <w:b/>
                <w:bCs/>
                <w:sz w:val="16"/>
                <w:szCs w:val="16"/>
              </w:rPr>
              <w:t>35%</w:t>
            </w:r>
          </w:p>
        </w:tc>
      </w:tr>
    </w:tbl>
    <w:p w14:paraId="27D121DA" w14:textId="29D266BF"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1D0C6E2F"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00EBB4DB" w14:textId="77777777" w:rsidR="00C02282" w:rsidRPr="00485284" w:rsidRDefault="00C02282" w:rsidP="00C02282">
      <w:pPr>
        <w:rPr>
          <w:rFonts w:ascii="Arial" w:hAnsi="Arial" w:cs="Arial"/>
          <w:b/>
        </w:rPr>
      </w:pPr>
      <w:r w:rsidRPr="00485284">
        <w:rPr>
          <w:rFonts w:ascii="Arial" w:hAnsi="Arial" w:cs="Arial"/>
          <w:b/>
        </w:rPr>
        <w:lastRenderedPageBreak/>
        <w:t>Gestión de la Información Técnica – Vicepresidencia Técnica:</w:t>
      </w:r>
    </w:p>
    <w:p w14:paraId="5EAB4365" w14:textId="77777777" w:rsidR="00485284" w:rsidRPr="00485284" w:rsidRDefault="00485284" w:rsidP="00485284">
      <w:pPr>
        <w:jc w:val="both"/>
        <w:rPr>
          <w:rFonts w:ascii="Arial" w:hAnsi="Arial" w:cs="Arial"/>
          <w:lang w:val="es-MX" w:eastAsia="es-ES"/>
        </w:rPr>
      </w:pPr>
      <w:r w:rsidRPr="00485284">
        <w:rPr>
          <w:rFonts w:ascii="Arial" w:hAnsi="Arial" w:cs="Arial"/>
          <w:lang w:val="es-MX" w:eastAsia="es-ES"/>
        </w:rPr>
        <w:t>En desarrollo de las actividades propias del área, durante el primer trimestre de 2018 se firmaron 37 contratos de prestación servicios con plazo de ejecución que no superan el 31 de diciembre de 2018, cuyo valor total es de $2.893 millones.</w:t>
      </w:r>
    </w:p>
    <w:p w14:paraId="1047ACA8" w14:textId="3BF61892" w:rsidR="00485284" w:rsidRPr="00485284" w:rsidRDefault="00485284" w:rsidP="00485284">
      <w:pPr>
        <w:jc w:val="both"/>
        <w:rPr>
          <w:rFonts w:ascii="Arial" w:hAnsi="Arial" w:cs="Arial"/>
          <w:b/>
        </w:rPr>
      </w:pPr>
      <w:r w:rsidRPr="00485284">
        <w:rPr>
          <w:rFonts w:ascii="Arial" w:hAnsi="Arial" w:cs="Arial"/>
          <w:lang w:val="es-MX" w:eastAsia="es-ES"/>
        </w:rPr>
        <w:t xml:space="preserve"> Se firmó contrato de prestación de servicios por valor de $1.023 millones, cuyo objeto es: “servicios de acceso de software para data </w:t>
      </w:r>
      <w:proofErr w:type="spellStart"/>
      <w:r w:rsidRPr="00485284">
        <w:rPr>
          <w:rFonts w:ascii="Arial" w:hAnsi="Arial" w:cs="Arial"/>
          <w:lang w:val="es-MX" w:eastAsia="es-ES"/>
        </w:rPr>
        <w:t>room</w:t>
      </w:r>
      <w:proofErr w:type="spellEnd"/>
      <w:r w:rsidRPr="00485284">
        <w:rPr>
          <w:rFonts w:ascii="Arial" w:hAnsi="Arial" w:cs="Arial"/>
          <w:lang w:val="es-MX" w:eastAsia="es-ES"/>
        </w:rPr>
        <w:t xml:space="preserve"> y adquisición de licencias para interpretación</w:t>
      </w:r>
    </w:p>
    <w:p w14:paraId="62C29A80" w14:textId="0A6814EC" w:rsidR="00C02282" w:rsidRPr="00485284" w:rsidRDefault="00C02282" w:rsidP="00C02282">
      <w:pPr>
        <w:pStyle w:val="Descripcin"/>
        <w:keepNext/>
        <w:jc w:val="center"/>
      </w:pPr>
      <w:bookmarkStart w:id="153" w:name="_Toc525652523"/>
      <w:r w:rsidRPr="00485284">
        <w:t xml:space="preserve">Tabla </w:t>
      </w:r>
      <w:r w:rsidRPr="00485284">
        <w:fldChar w:fldCharType="begin"/>
      </w:r>
      <w:r w:rsidRPr="00485284">
        <w:instrText xml:space="preserve"> SEQ Tabla \* ARABIC </w:instrText>
      </w:r>
      <w:r w:rsidRPr="00485284">
        <w:fldChar w:fldCharType="separate"/>
      </w:r>
      <w:r w:rsidR="008B4625">
        <w:rPr>
          <w:noProof/>
        </w:rPr>
        <w:t>78</w:t>
      </w:r>
      <w:r w:rsidRPr="00485284">
        <w:fldChar w:fldCharType="end"/>
      </w:r>
      <w:r w:rsidRPr="00485284">
        <w:t>Ejecución Gastos de Comercialización y Producción – Financiera Contratación 3</w:t>
      </w:r>
      <w:r w:rsidR="00485284" w:rsidRPr="00485284">
        <w:t xml:space="preserve">0 de junio de </w:t>
      </w:r>
      <w:r w:rsidRPr="00485284">
        <w:t xml:space="preserve"> 2018 ANH</w:t>
      </w:r>
      <w:bookmarkEnd w:id="153"/>
    </w:p>
    <w:tbl>
      <w:tblPr>
        <w:tblW w:w="9698" w:type="dxa"/>
        <w:jc w:val="center"/>
        <w:tblCellMar>
          <w:left w:w="70" w:type="dxa"/>
          <w:right w:w="70" w:type="dxa"/>
        </w:tblCellMar>
        <w:tblLook w:val="04A0" w:firstRow="1" w:lastRow="0" w:firstColumn="1" w:lastColumn="0" w:noHBand="0" w:noVBand="1"/>
      </w:tblPr>
      <w:tblGrid>
        <w:gridCol w:w="2268"/>
        <w:gridCol w:w="1424"/>
        <w:gridCol w:w="1565"/>
        <w:gridCol w:w="1620"/>
        <w:gridCol w:w="1522"/>
        <w:gridCol w:w="1299"/>
      </w:tblGrid>
      <w:tr w:rsidR="00485284" w14:paraId="63E6DEA4" w14:textId="77777777" w:rsidTr="00485284">
        <w:trPr>
          <w:trHeight w:val="533"/>
          <w:jc w:val="center"/>
        </w:trPr>
        <w:tc>
          <w:tcPr>
            <w:tcW w:w="2268" w:type="dxa"/>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4FE0CDF" w14:textId="77777777" w:rsidR="00485284" w:rsidRDefault="00485284">
            <w:pPr>
              <w:jc w:val="center"/>
              <w:rPr>
                <w:rFonts w:ascii="Arial" w:hAnsi="Arial" w:cs="Arial"/>
                <w:b/>
                <w:bCs/>
                <w:color w:val="000000"/>
                <w:sz w:val="16"/>
                <w:szCs w:val="16"/>
              </w:rPr>
            </w:pPr>
            <w:r>
              <w:rPr>
                <w:rFonts w:ascii="Arial" w:hAnsi="Arial" w:cs="Arial"/>
                <w:b/>
                <w:bCs/>
                <w:sz w:val="16"/>
                <w:szCs w:val="16"/>
              </w:rPr>
              <w:t>Descripción</w:t>
            </w:r>
          </w:p>
        </w:tc>
        <w:tc>
          <w:tcPr>
            <w:tcW w:w="1424" w:type="dxa"/>
            <w:tcBorders>
              <w:top w:val="single" w:sz="4" w:space="0" w:color="auto"/>
              <w:left w:val="nil"/>
              <w:bottom w:val="single" w:sz="4" w:space="0" w:color="auto"/>
              <w:right w:val="single" w:sz="4" w:space="0" w:color="auto"/>
            </w:tcBorders>
            <w:shd w:val="clear" w:color="auto" w:fill="4F81BD" w:themeFill="accent1"/>
            <w:noWrap/>
            <w:hideMark/>
          </w:tcPr>
          <w:p w14:paraId="3140BAA1" w14:textId="77777777" w:rsidR="00485284" w:rsidRDefault="00485284">
            <w:pPr>
              <w:jc w:val="center"/>
              <w:rPr>
                <w:rFonts w:ascii="Arial" w:hAnsi="Arial" w:cs="Arial"/>
                <w:b/>
                <w:bCs/>
                <w:color w:val="000000"/>
                <w:sz w:val="16"/>
                <w:szCs w:val="16"/>
              </w:rPr>
            </w:pPr>
            <w:r>
              <w:rPr>
                <w:rFonts w:ascii="Arial" w:hAnsi="Arial" w:cs="Arial"/>
                <w:b/>
                <w:bCs/>
                <w:sz w:val="16"/>
                <w:szCs w:val="16"/>
              </w:rPr>
              <w:t xml:space="preserve">Apropiación </w:t>
            </w:r>
          </w:p>
        </w:tc>
        <w:tc>
          <w:tcPr>
            <w:tcW w:w="1565" w:type="dxa"/>
            <w:tcBorders>
              <w:top w:val="single" w:sz="4" w:space="0" w:color="auto"/>
              <w:left w:val="nil"/>
              <w:bottom w:val="single" w:sz="4" w:space="0" w:color="auto"/>
              <w:right w:val="single" w:sz="4" w:space="0" w:color="auto"/>
            </w:tcBorders>
            <w:shd w:val="clear" w:color="auto" w:fill="4F81BD" w:themeFill="accent1"/>
            <w:noWrap/>
            <w:hideMark/>
          </w:tcPr>
          <w:p w14:paraId="1B447062" w14:textId="77777777" w:rsidR="00485284" w:rsidRDefault="00485284">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620" w:type="dxa"/>
            <w:tcBorders>
              <w:top w:val="single" w:sz="4" w:space="0" w:color="auto"/>
              <w:left w:val="nil"/>
              <w:bottom w:val="single" w:sz="4" w:space="0" w:color="auto"/>
              <w:right w:val="single" w:sz="4" w:space="0" w:color="auto"/>
            </w:tcBorders>
            <w:shd w:val="clear" w:color="auto" w:fill="4F81BD" w:themeFill="accent1"/>
            <w:noWrap/>
            <w:hideMark/>
          </w:tcPr>
          <w:p w14:paraId="2B98146D"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522" w:type="dxa"/>
            <w:tcBorders>
              <w:top w:val="single" w:sz="4" w:space="0" w:color="auto"/>
              <w:left w:val="nil"/>
              <w:bottom w:val="single" w:sz="4" w:space="0" w:color="auto"/>
              <w:right w:val="single" w:sz="4" w:space="0" w:color="auto"/>
            </w:tcBorders>
            <w:shd w:val="clear" w:color="auto" w:fill="4F81BD" w:themeFill="accent1"/>
            <w:noWrap/>
            <w:hideMark/>
          </w:tcPr>
          <w:p w14:paraId="0454759D"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299" w:type="dxa"/>
            <w:tcBorders>
              <w:top w:val="single" w:sz="4" w:space="0" w:color="auto"/>
              <w:left w:val="nil"/>
              <w:bottom w:val="single" w:sz="4" w:space="0" w:color="auto"/>
              <w:right w:val="single" w:sz="4" w:space="0" w:color="auto"/>
            </w:tcBorders>
            <w:shd w:val="clear" w:color="auto" w:fill="4F81BD" w:themeFill="accent1"/>
            <w:noWrap/>
            <w:hideMark/>
          </w:tcPr>
          <w:p w14:paraId="3730BD9C" w14:textId="77777777" w:rsidR="00485284" w:rsidRDefault="00485284">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485284" w14:paraId="799B5C26" w14:textId="77777777" w:rsidTr="00485284">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2AF812AB"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424" w:type="dxa"/>
            <w:tcBorders>
              <w:top w:val="nil"/>
              <w:left w:val="nil"/>
              <w:bottom w:val="single" w:sz="4" w:space="0" w:color="auto"/>
              <w:right w:val="single" w:sz="4" w:space="0" w:color="auto"/>
            </w:tcBorders>
            <w:noWrap/>
            <w:vAlign w:val="center"/>
            <w:hideMark/>
          </w:tcPr>
          <w:p w14:paraId="09F102D7" w14:textId="77777777" w:rsidR="00485284" w:rsidRDefault="00485284">
            <w:pPr>
              <w:jc w:val="right"/>
              <w:rPr>
                <w:rFonts w:ascii="Arial" w:hAnsi="Arial" w:cs="Arial"/>
                <w:color w:val="000000"/>
                <w:sz w:val="16"/>
                <w:szCs w:val="16"/>
              </w:rPr>
            </w:pPr>
            <w:r>
              <w:rPr>
                <w:rFonts w:ascii="Arial" w:hAnsi="Arial" w:cs="Arial"/>
                <w:sz w:val="16"/>
                <w:szCs w:val="16"/>
              </w:rPr>
              <w:t>$ 7.085</w:t>
            </w:r>
          </w:p>
        </w:tc>
        <w:tc>
          <w:tcPr>
            <w:tcW w:w="1565" w:type="dxa"/>
            <w:tcBorders>
              <w:top w:val="nil"/>
              <w:left w:val="nil"/>
              <w:bottom w:val="single" w:sz="4" w:space="0" w:color="auto"/>
              <w:right w:val="single" w:sz="4" w:space="0" w:color="auto"/>
            </w:tcBorders>
            <w:noWrap/>
            <w:vAlign w:val="center"/>
            <w:hideMark/>
          </w:tcPr>
          <w:p w14:paraId="7E06A7FA" w14:textId="77777777" w:rsidR="00485284" w:rsidRDefault="00485284">
            <w:pPr>
              <w:jc w:val="right"/>
              <w:rPr>
                <w:rFonts w:ascii="Arial" w:hAnsi="Arial" w:cs="Arial"/>
                <w:color w:val="000000"/>
                <w:sz w:val="16"/>
                <w:szCs w:val="16"/>
              </w:rPr>
            </w:pPr>
            <w:r>
              <w:rPr>
                <w:rFonts w:ascii="Arial" w:hAnsi="Arial" w:cs="Arial"/>
                <w:sz w:val="16"/>
                <w:szCs w:val="16"/>
              </w:rPr>
              <w:t>$ 5.124</w:t>
            </w:r>
          </w:p>
        </w:tc>
        <w:tc>
          <w:tcPr>
            <w:tcW w:w="1620" w:type="dxa"/>
            <w:tcBorders>
              <w:top w:val="nil"/>
              <w:left w:val="nil"/>
              <w:bottom w:val="single" w:sz="4" w:space="0" w:color="auto"/>
              <w:right w:val="single" w:sz="4" w:space="0" w:color="auto"/>
            </w:tcBorders>
            <w:noWrap/>
            <w:vAlign w:val="center"/>
            <w:hideMark/>
          </w:tcPr>
          <w:p w14:paraId="606712A9" w14:textId="77777777" w:rsidR="00485284" w:rsidRDefault="00485284">
            <w:pPr>
              <w:jc w:val="right"/>
              <w:rPr>
                <w:rFonts w:ascii="Arial" w:hAnsi="Arial" w:cs="Arial"/>
                <w:color w:val="000000"/>
                <w:sz w:val="16"/>
                <w:szCs w:val="16"/>
              </w:rPr>
            </w:pPr>
            <w:r>
              <w:rPr>
                <w:rFonts w:ascii="Arial" w:hAnsi="Arial" w:cs="Arial"/>
                <w:sz w:val="16"/>
                <w:szCs w:val="16"/>
              </w:rPr>
              <w:t>$ 4.983</w:t>
            </w:r>
          </w:p>
        </w:tc>
        <w:tc>
          <w:tcPr>
            <w:tcW w:w="1522" w:type="dxa"/>
            <w:tcBorders>
              <w:top w:val="nil"/>
              <w:left w:val="nil"/>
              <w:bottom w:val="single" w:sz="4" w:space="0" w:color="auto"/>
              <w:right w:val="single" w:sz="4" w:space="0" w:color="auto"/>
            </w:tcBorders>
            <w:noWrap/>
            <w:vAlign w:val="center"/>
            <w:hideMark/>
          </w:tcPr>
          <w:p w14:paraId="6D43CC5C" w14:textId="77777777" w:rsidR="00485284" w:rsidRDefault="00485284">
            <w:pPr>
              <w:jc w:val="right"/>
              <w:rPr>
                <w:rFonts w:ascii="Arial" w:hAnsi="Arial" w:cs="Arial"/>
                <w:color w:val="000000"/>
                <w:sz w:val="16"/>
                <w:szCs w:val="16"/>
              </w:rPr>
            </w:pPr>
            <w:r>
              <w:rPr>
                <w:rFonts w:ascii="Arial" w:hAnsi="Arial" w:cs="Arial"/>
                <w:sz w:val="16"/>
                <w:szCs w:val="16"/>
              </w:rPr>
              <w:t>$ 2.902</w:t>
            </w:r>
          </w:p>
        </w:tc>
        <w:tc>
          <w:tcPr>
            <w:tcW w:w="1299" w:type="dxa"/>
            <w:tcBorders>
              <w:top w:val="nil"/>
              <w:left w:val="nil"/>
              <w:bottom w:val="single" w:sz="4" w:space="0" w:color="auto"/>
              <w:right w:val="single" w:sz="4" w:space="0" w:color="auto"/>
            </w:tcBorders>
            <w:noWrap/>
            <w:vAlign w:val="center"/>
            <w:hideMark/>
          </w:tcPr>
          <w:p w14:paraId="5D03E5FF" w14:textId="77777777" w:rsidR="00485284" w:rsidRDefault="00485284">
            <w:pPr>
              <w:jc w:val="right"/>
              <w:rPr>
                <w:rFonts w:ascii="Arial" w:hAnsi="Arial" w:cs="Arial"/>
                <w:color w:val="000000"/>
                <w:sz w:val="16"/>
                <w:szCs w:val="16"/>
              </w:rPr>
            </w:pPr>
            <w:r>
              <w:rPr>
                <w:rFonts w:ascii="Arial" w:hAnsi="Arial" w:cs="Arial"/>
                <w:sz w:val="16"/>
                <w:szCs w:val="16"/>
              </w:rPr>
              <w:t>$ 2.901</w:t>
            </w:r>
          </w:p>
        </w:tc>
      </w:tr>
      <w:tr w:rsidR="00485284" w14:paraId="65ADAB09" w14:textId="77777777" w:rsidTr="00485284">
        <w:trPr>
          <w:trHeight w:val="300"/>
          <w:jc w:val="center"/>
        </w:trPr>
        <w:tc>
          <w:tcPr>
            <w:tcW w:w="2268" w:type="dxa"/>
            <w:tcBorders>
              <w:top w:val="single" w:sz="4" w:space="0" w:color="auto"/>
              <w:left w:val="nil"/>
              <w:bottom w:val="nil"/>
              <w:right w:val="nil"/>
            </w:tcBorders>
            <w:noWrap/>
            <w:vAlign w:val="bottom"/>
            <w:hideMark/>
          </w:tcPr>
          <w:p w14:paraId="582B08F3" w14:textId="77777777" w:rsidR="00485284" w:rsidRDefault="00485284">
            <w:pPr>
              <w:rPr>
                <w:rFonts w:ascii="Calibri" w:hAnsi="Calibri" w:cs="Times New Roman"/>
                <w:color w:val="000000"/>
                <w:sz w:val="19"/>
                <w:szCs w:val="19"/>
              </w:rPr>
            </w:pPr>
          </w:p>
        </w:tc>
        <w:tc>
          <w:tcPr>
            <w:tcW w:w="1424" w:type="dxa"/>
            <w:tcBorders>
              <w:top w:val="single" w:sz="4" w:space="0" w:color="auto"/>
              <w:left w:val="nil"/>
              <w:bottom w:val="nil"/>
              <w:right w:val="nil"/>
            </w:tcBorders>
            <w:noWrap/>
            <w:vAlign w:val="bottom"/>
            <w:hideMark/>
          </w:tcPr>
          <w:p w14:paraId="060348BE" w14:textId="77777777" w:rsidR="00485284" w:rsidRDefault="00485284">
            <w:pPr>
              <w:rPr>
                <w:rFonts w:ascii="Calibri" w:hAnsi="Calibri" w:cs="Times New Roman"/>
                <w:color w:val="000000"/>
                <w:sz w:val="19"/>
                <w:szCs w:val="19"/>
              </w:rPr>
            </w:pPr>
          </w:p>
        </w:tc>
        <w:tc>
          <w:tcPr>
            <w:tcW w:w="1565" w:type="dxa"/>
            <w:tcBorders>
              <w:top w:val="single" w:sz="4" w:space="0" w:color="auto"/>
              <w:left w:val="nil"/>
              <w:bottom w:val="nil"/>
              <w:right w:val="nil"/>
            </w:tcBorders>
            <w:noWrap/>
            <w:vAlign w:val="bottom"/>
            <w:hideMark/>
          </w:tcPr>
          <w:p w14:paraId="470A5B2B" w14:textId="77777777" w:rsidR="00485284" w:rsidRDefault="00485284">
            <w:pPr>
              <w:rPr>
                <w:rFonts w:ascii="Calibri" w:hAnsi="Calibri" w:cs="Times New Roman"/>
                <w:color w:val="000000"/>
                <w:sz w:val="19"/>
                <w:szCs w:val="19"/>
              </w:rPr>
            </w:pPr>
          </w:p>
        </w:tc>
        <w:tc>
          <w:tcPr>
            <w:tcW w:w="1620" w:type="dxa"/>
            <w:tcBorders>
              <w:top w:val="single" w:sz="4" w:space="0" w:color="auto"/>
              <w:left w:val="nil"/>
              <w:bottom w:val="nil"/>
              <w:right w:val="nil"/>
            </w:tcBorders>
            <w:noWrap/>
            <w:vAlign w:val="bottom"/>
            <w:hideMark/>
          </w:tcPr>
          <w:p w14:paraId="735858A9" w14:textId="77777777" w:rsidR="00485284" w:rsidRDefault="00485284">
            <w:pPr>
              <w:rPr>
                <w:rFonts w:ascii="Calibri" w:hAnsi="Calibri" w:cs="Times New Roman"/>
                <w:color w:val="000000"/>
                <w:sz w:val="19"/>
                <w:szCs w:val="19"/>
              </w:rPr>
            </w:pPr>
          </w:p>
        </w:tc>
        <w:tc>
          <w:tcPr>
            <w:tcW w:w="1522" w:type="dxa"/>
            <w:tcBorders>
              <w:top w:val="single" w:sz="4" w:space="0" w:color="auto"/>
              <w:left w:val="nil"/>
              <w:bottom w:val="nil"/>
              <w:right w:val="nil"/>
            </w:tcBorders>
            <w:noWrap/>
            <w:vAlign w:val="bottom"/>
            <w:hideMark/>
          </w:tcPr>
          <w:p w14:paraId="1F4E35A5" w14:textId="77777777" w:rsidR="00485284" w:rsidRDefault="00485284">
            <w:pPr>
              <w:rPr>
                <w:rFonts w:ascii="Calibri" w:hAnsi="Calibri" w:cs="Times New Roman"/>
                <w:color w:val="000000"/>
                <w:sz w:val="19"/>
                <w:szCs w:val="19"/>
              </w:rPr>
            </w:pPr>
          </w:p>
        </w:tc>
        <w:tc>
          <w:tcPr>
            <w:tcW w:w="1299" w:type="dxa"/>
            <w:tcBorders>
              <w:top w:val="single" w:sz="4" w:space="0" w:color="auto"/>
              <w:left w:val="nil"/>
              <w:bottom w:val="nil"/>
              <w:right w:val="nil"/>
            </w:tcBorders>
            <w:noWrap/>
            <w:vAlign w:val="bottom"/>
            <w:hideMark/>
          </w:tcPr>
          <w:p w14:paraId="166CC426" w14:textId="77777777" w:rsidR="00485284" w:rsidRDefault="00485284">
            <w:pPr>
              <w:rPr>
                <w:rFonts w:ascii="Calibri" w:hAnsi="Calibri" w:cs="Times New Roman"/>
                <w:color w:val="000000"/>
                <w:sz w:val="19"/>
                <w:szCs w:val="19"/>
              </w:rPr>
            </w:pPr>
          </w:p>
        </w:tc>
      </w:tr>
      <w:tr w:rsidR="00485284" w14:paraId="1AEF64E3" w14:textId="77777777" w:rsidTr="00485284">
        <w:trPr>
          <w:trHeight w:val="300"/>
          <w:jc w:val="center"/>
        </w:trPr>
        <w:tc>
          <w:tcPr>
            <w:tcW w:w="369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287722D" w14:textId="77777777" w:rsidR="00485284" w:rsidRDefault="00485284">
            <w:pPr>
              <w:jc w:val="center"/>
              <w:rPr>
                <w:rFonts w:ascii="Arial" w:hAnsi="Arial" w:cs="Arial"/>
                <w:b/>
                <w:bCs/>
                <w:color w:val="000000"/>
                <w:sz w:val="16"/>
                <w:szCs w:val="16"/>
              </w:rPr>
            </w:pPr>
            <w:r>
              <w:rPr>
                <w:rFonts w:ascii="Arial" w:hAnsi="Arial" w:cs="Arial"/>
                <w:b/>
                <w:bCs/>
                <w:sz w:val="16"/>
                <w:szCs w:val="16"/>
              </w:rPr>
              <w:t>Porcentaje de ejecución</w:t>
            </w:r>
          </w:p>
        </w:tc>
        <w:tc>
          <w:tcPr>
            <w:tcW w:w="156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134167E" w14:textId="77777777" w:rsidR="00485284" w:rsidRDefault="00485284">
            <w:pPr>
              <w:jc w:val="right"/>
              <w:rPr>
                <w:rFonts w:ascii="Arial" w:hAnsi="Arial" w:cs="Arial"/>
                <w:b/>
                <w:bCs/>
                <w:color w:val="000000"/>
                <w:sz w:val="16"/>
                <w:szCs w:val="16"/>
              </w:rPr>
            </w:pPr>
            <w:r>
              <w:rPr>
                <w:rFonts w:ascii="Arial" w:hAnsi="Arial" w:cs="Arial"/>
                <w:b/>
                <w:bCs/>
                <w:sz w:val="16"/>
                <w:szCs w:val="16"/>
              </w:rPr>
              <w:t>72%</w:t>
            </w:r>
          </w:p>
        </w:tc>
        <w:tc>
          <w:tcPr>
            <w:tcW w:w="1620"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364FBA10" w14:textId="77777777" w:rsidR="00485284" w:rsidRDefault="00485284">
            <w:pPr>
              <w:jc w:val="right"/>
              <w:rPr>
                <w:rFonts w:ascii="Arial" w:hAnsi="Arial" w:cs="Arial"/>
                <w:b/>
                <w:bCs/>
                <w:color w:val="000000"/>
                <w:sz w:val="16"/>
                <w:szCs w:val="16"/>
              </w:rPr>
            </w:pPr>
            <w:r>
              <w:rPr>
                <w:rFonts w:ascii="Arial" w:hAnsi="Arial" w:cs="Arial"/>
                <w:b/>
                <w:bCs/>
                <w:sz w:val="16"/>
                <w:szCs w:val="16"/>
              </w:rPr>
              <w:t>70%</w:t>
            </w:r>
          </w:p>
        </w:tc>
        <w:tc>
          <w:tcPr>
            <w:tcW w:w="152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BA1CCEF" w14:textId="77777777" w:rsidR="00485284" w:rsidRDefault="00485284">
            <w:pPr>
              <w:jc w:val="right"/>
              <w:rPr>
                <w:rFonts w:ascii="Arial" w:hAnsi="Arial" w:cs="Arial"/>
                <w:b/>
                <w:bCs/>
                <w:color w:val="000000"/>
                <w:sz w:val="16"/>
                <w:szCs w:val="16"/>
              </w:rPr>
            </w:pPr>
            <w:r>
              <w:rPr>
                <w:rFonts w:ascii="Arial" w:hAnsi="Arial" w:cs="Arial"/>
                <w:b/>
                <w:bCs/>
                <w:sz w:val="16"/>
                <w:szCs w:val="16"/>
              </w:rPr>
              <w:t>41%</w:t>
            </w:r>
          </w:p>
        </w:tc>
        <w:tc>
          <w:tcPr>
            <w:tcW w:w="12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93FAD7C" w14:textId="77777777" w:rsidR="00485284" w:rsidRDefault="00485284">
            <w:pPr>
              <w:jc w:val="right"/>
              <w:rPr>
                <w:rFonts w:ascii="Arial" w:hAnsi="Arial" w:cs="Arial"/>
                <w:b/>
                <w:bCs/>
                <w:color w:val="000000"/>
                <w:sz w:val="16"/>
                <w:szCs w:val="16"/>
              </w:rPr>
            </w:pPr>
            <w:r>
              <w:rPr>
                <w:rFonts w:ascii="Arial" w:hAnsi="Arial" w:cs="Arial"/>
                <w:b/>
                <w:bCs/>
                <w:sz w:val="16"/>
                <w:szCs w:val="16"/>
              </w:rPr>
              <w:t>41%</w:t>
            </w:r>
          </w:p>
        </w:tc>
      </w:tr>
    </w:tbl>
    <w:p w14:paraId="5884D119" w14:textId="6CFE0F16"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7A56A3F7"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68DD2C8B" w14:textId="77777777" w:rsidR="00C02282" w:rsidRPr="00485284" w:rsidRDefault="00C02282" w:rsidP="00C02282">
      <w:pPr>
        <w:rPr>
          <w:rFonts w:ascii="Arial" w:hAnsi="Arial" w:cs="Arial"/>
          <w:b/>
        </w:rPr>
      </w:pPr>
      <w:r w:rsidRPr="00485284">
        <w:rPr>
          <w:rFonts w:ascii="Arial" w:hAnsi="Arial" w:cs="Arial"/>
          <w:b/>
        </w:rPr>
        <w:t>Promoción y Asignación de Áreas</w:t>
      </w:r>
    </w:p>
    <w:p w14:paraId="0802CD68" w14:textId="3708AD74" w:rsidR="00C02282" w:rsidRPr="00485284" w:rsidRDefault="00C02282" w:rsidP="00C02282">
      <w:pPr>
        <w:jc w:val="both"/>
        <w:rPr>
          <w:rFonts w:ascii="Arial" w:hAnsi="Arial" w:cs="Arial"/>
          <w:b/>
          <w:lang w:val="es-MX" w:eastAsia="es-ES"/>
        </w:rPr>
      </w:pPr>
      <w:r w:rsidRPr="00485284">
        <w:rPr>
          <w:rFonts w:ascii="Arial" w:hAnsi="Arial" w:cs="Arial"/>
          <w:b/>
          <w:lang w:val="es-MX" w:eastAsia="es-ES"/>
        </w:rPr>
        <w:t xml:space="preserve"> Actividades a desarrollar I</w:t>
      </w:r>
      <w:r w:rsidR="00576641">
        <w:rPr>
          <w:rFonts w:ascii="Arial" w:hAnsi="Arial" w:cs="Arial"/>
          <w:b/>
          <w:lang w:val="es-MX" w:eastAsia="es-ES"/>
        </w:rPr>
        <w:t>I</w:t>
      </w:r>
      <w:r w:rsidRPr="00485284">
        <w:rPr>
          <w:rFonts w:ascii="Arial" w:hAnsi="Arial" w:cs="Arial"/>
          <w:b/>
          <w:lang w:val="es-MX" w:eastAsia="es-ES"/>
        </w:rPr>
        <w:t xml:space="preserve"> Trimestre 2018:</w:t>
      </w:r>
    </w:p>
    <w:p w14:paraId="529B33F1" w14:textId="672F4F0A" w:rsidR="00485284" w:rsidRPr="00485284" w:rsidRDefault="00485284" w:rsidP="00C02282">
      <w:pPr>
        <w:jc w:val="both"/>
        <w:rPr>
          <w:rFonts w:ascii="Arial" w:eastAsia="Batang" w:hAnsi="Arial" w:cs="Arial"/>
          <w:color w:val="0D0D0D"/>
        </w:rPr>
      </w:pPr>
      <w:r w:rsidRPr="00485284">
        <w:rPr>
          <w:rFonts w:ascii="Arial" w:eastAsia="Batang" w:hAnsi="Arial" w:cs="Arial"/>
          <w:color w:val="0D0D0D"/>
        </w:rPr>
        <w:t>Durante el segundo trimestre de 2018 la Vicepresidencia de Promoción y Asignación de Áreas, no ha ejecutado actividades con recursos de funcionamiento, las cuales se estiman puedan iniciar con posterioridad al 7 de agosto del año en curso</w:t>
      </w:r>
      <w:r w:rsidR="00A3028C">
        <w:rPr>
          <w:rFonts w:ascii="Arial" w:eastAsia="Batang" w:hAnsi="Arial" w:cs="Arial"/>
          <w:color w:val="0D0D0D"/>
        </w:rPr>
        <w:t>.</w:t>
      </w:r>
    </w:p>
    <w:p w14:paraId="74915D3A" w14:textId="117E17EF" w:rsidR="00C02282" w:rsidRPr="00485284" w:rsidRDefault="00C02282" w:rsidP="00C02282">
      <w:pPr>
        <w:pStyle w:val="Descripcin"/>
        <w:keepNext/>
        <w:jc w:val="center"/>
      </w:pPr>
      <w:bookmarkStart w:id="154" w:name="_Toc525652524"/>
      <w:r w:rsidRPr="00485284">
        <w:t xml:space="preserve">Tabla </w:t>
      </w:r>
      <w:r w:rsidRPr="00485284">
        <w:fldChar w:fldCharType="begin"/>
      </w:r>
      <w:r w:rsidRPr="00485284">
        <w:instrText xml:space="preserve"> SEQ Tabla \* ARABIC </w:instrText>
      </w:r>
      <w:r w:rsidRPr="00485284">
        <w:fldChar w:fldCharType="separate"/>
      </w:r>
      <w:r w:rsidR="008B4625">
        <w:rPr>
          <w:noProof/>
        </w:rPr>
        <w:t>79</w:t>
      </w:r>
      <w:r w:rsidRPr="00485284">
        <w:fldChar w:fldCharType="end"/>
      </w:r>
      <w:r w:rsidRPr="00485284">
        <w:t>Ejecución Gastos de Comercialización y Producción – Promoción y Asignación de Áreas Contratación 3</w:t>
      </w:r>
      <w:r w:rsidR="00485284" w:rsidRPr="00485284">
        <w:t xml:space="preserve">0 de junio de </w:t>
      </w:r>
      <w:r w:rsidRPr="00485284">
        <w:t xml:space="preserve"> 2018 ANH</w:t>
      </w:r>
      <w:bookmarkEnd w:id="154"/>
    </w:p>
    <w:tbl>
      <w:tblPr>
        <w:tblW w:w="9562" w:type="dxa"/>
        <w:jc w:val="center"/>
        <w:tblCellMar>
          <w:left w:w="70" w:type="dxa"/>
          <w:right w:w="70" w:type="dxa"/>
        </w:tblCellMar>
        <w:tblLook w:val="04A0" w:firstRow="1" w:lastRow="0" w:firstColumn="1" w:lastColumn="0" w:noHBand="0" w:noVBand="1"/>
      </w:tblPr>
      <w:tblGrid>
        <w:gridCol w:w="2210"/>
        <w:gridCol w:w="1422"/>
        <w:gridCol w:w="1545"/>
        <w:gridCol w:w="1599"/>
        <w:gridCol w:w="1503"/>
        <w:gridCol w:w="1283"/>
      </w:tblGrid>
      <w:tr w:rsidR="00485284" w14:paraId="56A348BB" w14:textId="77777777" w:rsidTr="00485284">
        <w:trPr>
          <w:trHeight w:val="533"/>
          <w:jc w:val="center"/>
        </w:trPr>
        <w:tc>
          <w:tcPr>
            <w:tcW w:w="2210"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32828D4" w14:textId="77777777" w:rsidR="00485284" w:rsidRDefault="00485284">
            <w:pPr>
              <w:jc w:val="center"/>
              <w:rPr>
                <w:rFonts w:ascii="Arial" w:hAnsi="Arial" w:cs="Arial"/>
                <w:b/>
                <w:bCs/>
                <w:color w:val="000000"/>
                <w:sz w:val="16"/>
                <w:szCs w:val="16"/>
              </w:rPr>
            </w:pPr>
            <w:bookmarkStart w:id="155" w:name="_Hlk514916838"/>
            <w:r>
              <w:rPr>
                <w:rFonts w:ascii="Arial" w:hAnsi="Arial" w:cs="Arial"/>
                <w:b/>
                <w:bCs/>
                <w:sz w:val="16"/>
                <w:szCs w:val="16"/>
              </w:rPr>
              <w:t>Descripción</w:t>
            </w:r>
          </w:p>
        </w:tc>
        <w:tc>
          <w:tcPr>
            <w:tcW w:w="1422"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6B30609" w14:textId="77777777" w:rsidR="00485284" w:rsidRDefault="00485284">
            <w:pPr>
              <w:jc w:val="center"/>
              <w:rPr>
                <w:rFonts w:ascii="Arial" w:hAnsi="Arial" w:cs="Arial"/>
                <w:b/>
                <w:bCs/>
                <w:color w:val="000000"/>
                <w:sz w:val="16"/>
                <w:szCs w:val="16"/>
              </w:rPr>
            </w:pPr>
            <w:r>
              <w:rPr>
                <w:rFonts w:ascii="Arial" w:hAnsi="Arial" w:cs="Arial"/>
                <w:b/>
                <w:bCs/>
                <w:sz w:val="16"/>
                <w:szCs w:val="16"/>
              </w:rPr>
              <w:t>Apropiación</w:t>
            </w:r>
          </w:p>
        </w:tc>
        <w:tc>
          <w:tcPr>
            <w:tcW w:w="154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CFB69E0" w14:textId="77777777" w:rsidR="00485284" w:rsidRDefault="00485284">
            <w:pPr>
              <w:jc w:val="center"/>
              <w:rPr>
                <w:rFonts w:ascii="Arial" w:hAnsi="Arial" w:cs="Arial"/>
                <w:b/>
                <w:bCs/>
                <w:color w:val="000000"/>
                <w:sz w:val="16"/>
                <w:szCs w:val="16"/>
              </w:rPr>
            </w:pPr>
            <w:r>
              <w:rPr>
                <w:rFonts w:ascii="Arial" w:hAnsi="Arial" w:cs="Arial"/>
                <w:b/>
                <w:bCs/>
                <w:sz w:val="16"/>
                <w:szCs w:val="16"/>
              </w:rPr>
              <w:t>Acu CDP</w:t>
            </w:r>
          </w:p>
        </w:tc>
        <w:tc>
          <w:tcPr>
            <w:tcW w:w="15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441991B6" w14:textId="77777777" w:rsidR="00485284" w:rsidRDefault="00485284">
            <w:pPr>
              <w:jc w:val="center"/>
              <w:rPr>
                <w:rFonts w:ascii="Arial" w:hAnsi="Arial" w:cs="Arial"/>
                <w:b/>
                <w:bCs/>
                <w:color w:val="000000"/>
                <w:sz w:val="16"/>
                <w:szCs w:val="16"/>
              </w:rPr>
            </w:pPr>
            <w:r>
              <w:rPr>
                <w:rFonts w:ascii="Arial" w:hAnsi="Arial" w:cs="Arial"/>
                <w:b/>
                <w:bCs/>
                <w:sz w:val="16"/>
                <w:szCs w:val="16"/>
              </w:rPr>
              <w:t>Acu Compromisos</w:t>
            </w:r>
          </w:p>
        </w:tc>
        <w:tc>
          <w:tcPr>
            <w:tcW w:w="150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3F7DD11" w14:textId="77777777" w:rsidR="00485284" w:rsidRDefault="00485284">
            <w:pPr>
              <w:jc w:val="center"/>
              <w:rPr>
                <w:rFonts w:ascii="Arial" w:hAnsi="Arial" w:cs="Arial"/>
                <w:b/>
                <w:bCs/>
                <w:color w:val="000000"/>
                <w:sz w:val="16"/>
                <w:szCs w:val="16"/>
              </w:rPr>
            </w:pPr>
            <w:r>
              <w:rPr>
                <w:rFonts w:ascii="Arial" w:hAnsi="Arial" w:cs="Arial"/>
                <w:b/>
                <w:bCs/>
                <w:sz w:val="16"/>
                <w:szCs w:val="16"/>
              </w:rPr>
              <w:t>Acu Obligaciones</w:t>
            </w:r>
          </w:p>
        </w:tc>
        <w:tc>
          <w:tcPr>
            <w:tcW w:w="128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6E8A8DE" w14:textId="77777777" w:rsidR="00485284" w:rsidRDefault="00485284">
            <w:pPr>
              <w:jc w:val="center"/>
              <w:rPr>
                <w:rFonts w:ascii="Arial" w:hAnsi="Arial" w:cs="Arial"/>
                <w:b/>
                <w:bCs/>
                <w:color w:val="000000"/>
                <w:sz w:val="16"/>
                <w:szCs w:val="16"/>
              </w:rPr>
            </w:pPr>
            <w:r>
              <w:rPr>
                <w:rFonts w:ascii="Arial" w:hAnsi="Arial" w:cs="Arial"/>
                <w:b/>
                <w:bCs/>
                <w:sz w:val="16"/>
                <w:szCs w:val="16"/>
              </w:rPr>
              <w:t>Acu Pagos</w:t>
            </w:r>
          </w:p>
        </w:tc>
      </w:tr>
      <w:tr w:rsidR="00485284" w14:paraId="10AE9A85" w14:textId="77777777" w:rsidTr="00485284">
        <w:trPr>
          <w:trHeight w:val="300"/>
          <w:jc w:val="center"/>
        </w:trPr>
        <w:tc>
          <w:tcPr>
            <w:tcW w:w="2210" w:type="dxa"/>
            <w:tcBorders>
              <w:top w:val="nil"/>
              <w:left w:val="single" w:sz="4" w:space="0" w:color="auto"/>
              <w:bottom w:val="single" w:sz="4" w:space="0" w:color="auto"/>
              <w:right w:val="single" w:sz="4" w:space="0" w:color="auto"/>
            </w:tcBorders>
            <w:noWrap/>
            <w:vAlign w:val="bottom"/>
            <w:hideMark/>
          </w:tcPr>
          <w:p w14:paraId="5129FFFB" w14:textId="77777777" w:rsidR="00485284" w:rsidRDefault="00485284">
            <w:pPr>
              <w:rPr>
                <w:rFonts w:ascii="Arial" w:hAnsi="Arial" w:cs="Arial"/>
                <w:b/>
                <w:bCs/>
                <w:color w:val="000000"/>
                <w:sz w:val="16"/>
                <w:szCs w:val="16"/>
              </w:rPr>
            </w:pPr>
            <w:r>
              <w:rPr>
                <w:rFonts w:ascii="Arial" w:hAnsi="Arial" w:cs="Arial"/>
                <w:b/>
                <w:bCs/>
                <w:sz w:val="16"/>
                <w:szCs w:val="16"/>
              </w:rPr>
              <w:t>Gastos de Comercialización</w:t>
            </w:r>
          </w:p>
        </w:tc>
        <w:tc>
          <w:tcPr>
            <w:tcW w:w="1422" w:type="dxa"/>
            <w:tcBorders>
              <w:top w:val="nil"/>
              <w:left w:val="nil"/>
              <w:bottom w:val="single" w:sz="4" w:space="0" w:color="auto"/>
              <w:right w:val="single" w:sz="4" w:space="0" w:color="auto"/>
            </w:tcBorders>
            <w:noWrap/>
            <w:vAlign w:val="center"/>
            <w:hideMark/>
          </w:tcPr>
          <w:p w14:paraId="534E160D" w14:textId="77777777" w:rsidR="00485284" w:rsidRDefault="00485284">
            <w:pPr>
              <w:jc w:val="right"/>
              <w:rPr>
                <w:rFonts w:ascii="Arial" w:hAnsi="Arial" w:cs="Arial"/>
                <w:color w:val="000000"/>
                <w:sz w:val="16"/>
                <w:szCs w:val="16"/>
              </w:rPr>
            </w:pPr>
            <w:r>
              <w:rPr>
                <w:rFonts w:ascii="Arial" w:hAnsi="Arial" w:cs="Arial"/>
                <w:sz w:val="16"/>
                <w:szCs w:val="16"/>
              </w:rPr>
              <w:t>$ 1.499</w:t>
            </w:r>
          </w:p>
        </w:tc>
        <w:tc>
          <w:tcPr>
            <w:tcW w:w="1545" w:type="dxa"/>
            <w:tcBorders>
              <w:top w:val="nil"/>
              <w:left w:val="nil"/>
              <w:bottom w:val="single" w:sz="4" w:space="0" w:color="auto"/>
              <w:right w:val="single" w:sz="4" w:space="0" w:color="auto"/>
            </w:tcBorders>
            <w:noWrap/>
            <w:vAlign w:val="center"/>
            <w:hideMark/>
          </w:tcPr>
          <w:p w14:paraId="75B0D0B4" w14:textId="77777777" w:rsidR="00485284" w:rsidRDefault="00485284">
            <w:pPr>
              <w:jc w:val="right"/>
              <w:rPr>
                <w:rFonts w:ascii="Arial" w:hAnsi="Arial" w:cs="Arial"/>
                <w:color w:val="000000"/>
                <w:sz w:val="16"/>
                <w:szCs w:val="16"/>
              </w:rPr>
            </w:pPr>
            <w:r>
              <w:rPr>
                <w:rFonts w:ascii="Arial" w:hAnsi="Arial" w:cs="Arial"/>
                <w:sz w:val="16"/>
                <w:szCs w:val="16"/>
              </w:rPr>
              <w:t>$ 0</w:t>
            </w:r>
          </w:p>
        </w:tc>
        <w:tc>
          <w:tcPr>
            <w:tcW w:w="1599" w:type="dxa"/>
            <w:tcBorders>
              <w:top w:val="nil"/>
              <w:left w:val="nil"/>
              <w:bottom w:val="single" w:sz="4" w:space="0" w:color="auto"/>
              <w:right w:val="single" w:sz="4" w:space="0" w:color="auto"/>
            </w:tcBorders>
            <w:noWrap/>
            <w:vAlign w:val="center"/>
            <w:hideMark/>
          </w:tcPr>
          <w:p w14:paraId="1B437D62" w14:textId="77777777" w:rsidR="00485284" w:rsidRDefault="00485284">
            <w:pPr>
              <w:jc w:val="right"/>
              <w:rPr>
                <w:rFonts w:ascii="Arial" w:hAnsi="Arial" w:cs="Arial"/>
                <w:color w:val="000000"/>
                <w:sz w:val="16"/>
                <w:szCs w:val="16"/>
              </w:rPr>
            </w:pPr>
            <w:r>
              <w:rPr>
                <w:rFonts w:ascii="Arial" w:hAnsi="Arial" w:cs="Arial"/>
                <w:sz w:val="16"/>
                <w:szCs w:val="16"/>
              </w:rPr>
              <w:t>$ 0</w:t>
            </w:r>
          </w:p>
        </w:tc>
        <w:tc>
          <w:tcPr>
            <w:tcW w:w="1503" w:type="dxa"/>
            <w:tcBorders>
              <w:top w:val="nil"/>
              <w:left w:val="nil"/>
              <w:bottom w:val="single" w:sz="4" w:space="0" w:color="auto"/>
              <w:right w:val="single" w:sz="4" w:space="0" w:color="auto"/>
            </w:tcBorders>
            <w:noWrap/>
            <w:vAlign w:val="center"/>
            <w:hideMark/>
          </w:tcPr>
          <w:p w14:paraId="072DD2F9" w14:textId="77777777" w:rsidR="00485284" w:rsidRDefault="00485284">
            <w:pPr>
              <w:jc w:val="right"/>
              <w:rPr>
                <w:rFonts w:ascii="Arial" w:hAnsi="Arial" w:cs="Arial"/>
                <w:color w:val="000000"/>
                <w:sz w:val="16"/>
                <w:szCs w:val="16"/>
              </w:rPr>
            </w:pPr>
            <w:r>
              <w:rPr>
                <w:rFonts w:ascii="Arial" w:hAnsi="Arial" w:cs="Arial"/>
                <w:sz w:val="16"/>
                <w:szCs w:val="16"/>
              </w:rPr>
              <w:t>$ 0</w:t>
            </w:r>
          </w:p>
        </w:tc>
        <w:tc>
          <w:tcPr>
            <w:tcW w:w="1283" w:type="dxa"/>
            <w:tcBorders>
              <w:top w:val="nil"/>
              <w:left w:val="nil"/>
              <w:bottom w:val="single" w:sz="4" w:space="0" w:color="auto"/>
              <w:right w:val="single" w:sz="4" w:space="0" w:color="auto"/>
            </w:tcBorders>
            <w:noWrap/>
            <w:vAlign w:val="center"/>
            <w:hideMark/>
          </w:tcPr>
          <w:p w14:paraId="0403610B" w14:textId="77777777" w:rsidR="00485284" w:rsidRDefault="00485284">
            <w:pPr>
              <w:jc w:val="right"/>
              <w:rPr>
                <w:rFonts w:ascii="Arial" w:hAnsi="Arial" w:cs="Arial"/>
                <w:color w:val="000000"/>
                <w:sz w:val="16"/>
                <w:szCs w:val="16"/>
              </w:rPr>
            </w:pPr>
            <w:r>
              <w:rPr>
                <w:rFonts w:ascii="Arial" w:hAnsi="Arial" w:cs="Arial"/>
                <w:sz w:val="16"/>
                <w:szCs w:val="16"/>
              </w:rPr>
              <w:t>$ 0</w:t>
            </w:r>
          </w:p>
        </w:tc>
      </w:tr>
      <w:tr w:rsidR="00485284" w14:paraId="79C6C011" w14:textId="77777777" w:rsidTr="00485284">
        <w:trPr>
          <w:trHeight w:val="300"/>
          <w:jc w:val="center"/>
        </w:trPr>
        <w:tc>
          <w:tcPr>
            <w:tcW w:w="2210" w:type="dxa"/>
            <w:tcBorders>
              <w:top w:val="single" w:sz="4" w:space="0" w:color="auto"/>
              <w:left w:val="nil"/>
              <w:bottom w:val="nil"/>
              <w:right w:val="nil"/>
            </w:tcBorders>
            <w:noWrap/>
            <w:vAlign w:val="bottom"/>
            <w:hideMark/>
          </w:tcPr>
          <w:p w14:paraId="156AAAA6" w14:textId="77777777" w:rsidR="00485284" w:rsidRDefault="00485284">
            <w:pPr>
              <w:rPr>
                <w:rFonts w:ascii="Calibri" w:hAnsi="Calibri" w:cs="Times New Roman"/>
                <w:color w:val="000000"/>
                <w:sz w:val="19"/>
                <w:szCs w:val="19"/>
              </w:rPr>
            </w:pPr>
          </w:p>
        </w:tc>
        <w:tc>
          <w:tcPr>
            <w:tcW w:w="1422" w:type="dxa"/>
            <w:tcBorders>
              <w:top w:val="single" w:sz="4" w:space="0" w:color="auto"/>
              <w:left w:val="nil"/>
              <w:bottom w:val="nil"/>
              <w:right w:val="nil"/>
            </w:tcBorders>
            <w:noWrap/>
            <w:vAlign w:val="bottom"/>
            <w:hideMark/>
          </w:tcPr>
          <w:p w14:paraId="38215CF9" w14:textId="77777777" w:rsidR="00485284" w:rsidRDefault="00485284">
            <w:pPr>
              <w:rPr>
                <w:rFonts w:ascii="Calibri" w:hAnsi="Calibri" w:cs="Times New Roman"/>
                <w:color w:val="000000"/>
                <w:sz w:val="19"/>
                <w:szCs w:val="19"/>
              </w:rPr>
            </w:pPr>
          </w:p>
        </w:tc>
        <w:tc>
          <w:tcPr>
            <w:tcW w:w="1545" w:type="dxa"/>
            <w:tcBorders>
              <w:top w:val="single" w:sz="4" w:space="0" w:color="auto"/>
              <w:left w:val="nil"/>
              <w:bottom w:val="nil"/>
              <w:right w:val="nil"/>
            </w:tcBorders>
            <w:noWrap/>
            <w:vAlign w:val="bottom"/>
            <w:hideMark/>
          </w:tcPr>
          <w:p w14:paraId="72F89EE9" w14:textId="77777777" w:rsidR="00485284" w:rsidRDefault="00485284">
            <w:pPr>
              <w:rPr>
                <w:rFonts w:ascii="Calibri" w:hAnsi="Calibri" w:cs="Times New Roman"/>
                <w:color w:val="000000"/>
                <w:sz w:val="19"/>
                <w:szCs w:val="19"/>
              </w:rPr>
            </w:pPr>
          </w:p>
        </w:tc>
        <w:tc>
          <w:tcPr>
            <w:tcW w:w="1599" w:type="dxa"/>
            <w:tcBorders>
              <w:top w:val="single" w:sz="4" w:space="0" w:color="auto"/>
              <w:left w:val="nil"/>
              <w:bottom w:val="nil"/>
              <w:right w:val="nil"/>
            </w:tcBorders>
            <w:noWrap/>
            <w:vAlign w:val="bottom"/>
            <w:hideMark/>
          </w:tcPr>
          <w:p w14:paraId="46F54469" w14:textId="77777777" w:rsidR="00485284" w:rsidRDefault="00485284">
            <w:pPr>
              <w:rPr>
                <w:rFonts w:ascii="Calibri" w:hAnsi="Calibri" w:cs="Times New Roman"/>
                <w:color w:val="000000"/>
                <w:sz w:val="19"/>
                <w:szCs w:val="19"/>
              </w:rPr>
            </w:pPr>
          </w:p>
        </w:tc>
        <w:tc>
          <w:tcPr>
            <w:tcW w:w="1503" w:type="dxa"/>
            <w:tcBorders>
              <w:top w:val="single" w:sz="4" w:space="0" w:color="auto"/>
              <w:left w:val="nil"/>
              <w:bottom w:val="nil"/>
              <w:right w:val="nil"/>
            </w:tcBorders>
            <w:noWrap/>
            <w:vAlign w:val="bottom"/>
            <w:hideMark/>
          </w:tcPr>
          <w:p w14:paraId="4A4E3C0C" w14:textId="77777777" w:rsidR="00485284" w:rsidRDefault="00485284">
            <w:pPr>
              <w:rPr>
                <w:rFonts w:ascii="Calibri" w:hAnsi="Calibri" w:cs="Times New Roman"/>
                <w:color w:val="000000"/>
                <w:sz w:val="19"/>
                <w:szCs w:val="19"/>
              </w:rPr>
            </w:pPr>
          </w:p>
        </w:tc>
        <w:tc>
          <w:tcPr>
            <w:tcW w:w="1283" w:type="dxa"/>
            <w:tcBorders>
              <w:top w:val="single" w:sz="4" w:space="0" w:color="auto"/>
              <w:left w:val="nil"/>
              <w:bottom w:val="nil"/>
              <w:right w:val="nil"/>
            </w:tcBorders>
            <w:noWrap/>
            <w:vAlign w:val="bottom"/>
            <w:hideMark/>
          </w:tcPr>
          <w:p w14:paraId="36627246" w14:textId="77777777" w:rsidR="00485284" w:rsidRDefault="00485284">
            <w:pPr>
              <w:rPr>
                <w:rFonts w:ascii="Calibri" w:hAnsi="Calibri" w:cs="Times New Roman"/>
                <w:color w:val="000000"/>
                <w:sz w:val="19"/>
                <w:szCs w:val="19"/>
              </w:rPr>
            </w:pPr>
          </w:p>
        </w:tc>
      </w:tr>
      <w:tr w:rsidR="00485284" w14:paraId="40D0F583" w14:textId="77777777" w:rsidTr="00485284">
        <w:trPr>
          <w:trHeight w:val="300"/>
          <w:jc w:val="center"/>
        </w:trPr>
        <w:tc>
          <w:tcPr>
            <w:tcW w:w="363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8C347CE" w14:textId="77777777" w:rsidR="00485284" w:rsidRDefault="00485284">
            <w:pPr>
              <w:jc w:val="center"/>
              <w:rPr>
                <w:rFonts w:ascii="Arial" w:hAnsi="Arial" w:cs="Arial"/>
                <w:b/>
                <w:bCs/>
                <w:color w:val="000000"/>
                <w:sz w:val="16"/>
                <w:szCs w:val="16"/>
              </w:rPr>
            </w:pPr>
            <w:r>
              <w:rPr>
                <w:rFonts w:ascii="Arial" w:hAnsi="Arial" w:cs="Arial"/>
                <w:b/>
                <w:bCs/>
                <w:sz w:val="16"/>
                <w:szCs w:val="16"/>
              </w:rPr>
              <w:t>Porcentaje de ejecución</w:t>
            </w:r>
          </w:p>
        </w:tc>
        <w:tc>
          <w:tcPr>
            <w:tcW w:w="154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6A69ECC" w14:textId="77777777" w:rsidR="00485284" w:rsidRDefault="00485284">
            <w:pPr>
              <w:jc w:val="right"/>
              <w:rPr>
                <w:rFonts w:ascii="Arial" w:hAnsi="Arial" w:cs="Arial"/>
                <w:b/>
                <w:bCs/>
                <w:color w:val="000000"/>
                <w:sz w:val="16"/>
                <w:szCs w:val="16"/>
              </w:rPr>
            </w:pPr>
            <w:r>
              <w:rPr>
                <w:rFonts w:ascii="Arial" w:hAnsi="Arial" w:cs="Arial"/>
                <w:b/>
                <w:bCs/>
                <w:sz w:val="16"/>
                <w:szCs w:val="16"/>
              </w:rPr>
              <w:t>0%</w:t>
            </w:r>
          </w:p>
        </w:tc>
        <w:tc>
          <w:tcPr>
            <w:tcW w:w="15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126E6B4" w14:textId="77777777" w:rsidR="00485284" w:rsidRDefault="00485284">
            <w:pPr>
              <w:jc w:val="right"/>
              <w:rPr>
                <w:rFonts w:ascii="Arial" w:hAnsi="Arial" w:cs="Arial"/>
                <w:b/>
                <w:bCs/>
                <w:color w:val="000000"/>
                <w:sz w:val="16"/>
                <w:szCs w:val="16"/>
              </w:rPr>
            </w:pPr>
            <w:r>
              <w:rPr>
                <w:rFonts w:ascii="Arial" w:hAnsi="Arial" w:cs="Arial"/>
                <w:b/>
                <w:bCs/>
                <w:sz w:val="16"/>
                <w:szCs w:val="16"/>
              </w:rPr>
              <w:t>0%</w:t>
            </w:r>
          </w:p>
        </w:tc>
        <w:tc>
          <w:tcPr>
            <w:tcW w:w="150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5C6D6520" w14:textId="77777777" w:rsidR="00485284" w:rsidRDefault="00485284">
            <w:pPr>
              <w:jc w:val="right"/>
              <w:rPr>
                <w:rFonts w:ascii="Arial" w:hAnsi="Arial" w:cs="Arial"/>
                <w:b/>
                <w:bCs/>
                <w:color w:val="000000"/>
                <w:sz w:val="16"/>
                <w:szCs w:val="16"/>
              </w:rPr>
            </w:pPr>
            <w:r>
              <w:rPr>
                <w:rFonts w:ascii="Arial" w:hAnsi="Arial" w:cs="Arial"/>
                <w:b/>
                <w:bCs/>
                <w:sz w:val="16"/>
                <w:szCs w:val="16"/>
              </w:rPr>
              <w:t>0%</w:t>
            </w:r>
          </w:p>
        </w:tc>
        <w:tc>
          <w:tcPr>
            <w:tcW w:w="128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6BCD5F61" w14:textId="77777777" w:rsidR="00485284" w:rsidRDefault="00485284">
            <w:pPr>
              <w:jc w:val="right"/>
              <w:rPr>
                <w:rFonts w:ascii="Arial" w:hAnsi="Arial" w:cs="Arial"/>
                <w:b/>
                <w:bCs/>
                <w:color w:val="000000"/>
                <w:sz w:val="16"/>
                <w:szCs w:val="16"/>
              </w:rPr>
            </w:pPr>
            <w:r>
              <w:rPr>
                <w:rFonts w:ascii="Arial" w:hAnsi="Arial" w:cs="Arial"/>
                <w:b/>
                <w:bCs/>
                <w:sz w:val="16"/>
                <w:szCs w:val="16"/>
              </w:rPr>
              <w:t>0%</w:t>
            </w:r>
          </w:p>
        </w:tc>
      </w:tr>
    </w:tbl>
    <w:p w14:paraId="2C80E789" w14:textId="2B67845F" w:rsidR="00C02282" w:rsidRPr="00485284" w:rsidRDefault="00485284" w:rsidP="00C02282">
      <w:pPr>
        <w:spacing w:after="0" w:line="240" w:lineRule="auto"/>
        <w:jc w:val="center"/>
        <w:rPr>
          <w:rFonts w:ascii="Arial" w:eastAsia="Calibri" w:hAnsi="Arial" w:cs="Arial"/>
          <w:sz w:val="16"/>
          <w:szCs w:val="16"/>
        </w:rPr>
      </w:pPr>
      <w:r w:rsidRPr="00485284">
        <w:rPr>
          <w:rFonts w:ascii="Arial" w:hAnsi="Arial" w:cs="Arial"/>
          <w:sz w:val="16"/>
          <w:szCs w:val="16"/>
          <w:lang w:eastAsia="es-ES"/>
        </w:rPr>
        <w:t xml:space="preserve"> </w:t>
      </w:r>
      <w:r w:rsidR="00C02282" w:rsidRPr="00485284">
        <w:rPr>
          <w:rFonts w:ascii="Arial" w:hAnsi="Arial" w:cs="Arial"/>
          <w:sz w:val="16"/>
          <w:szCs w:val="16"/>
          <w:lang w:eastAsia="es-ES"/>
        </w:rPr>
        <w:t>Millones de pesos</w:t>
      </w:r>
    </w:p>
    <w:p w14:paraId="683F4EB4" w14:textId="77777777" w:rsidR="00C02282" w:rsidRPr="00485284" w:rsidRDefault="00C02282" w:rsidP="00C02282">
      <w:pPr>
        <w:jc w:val="center"/>
        <w:rPr>
          <w:rFonts w:ascii="Arial" w:hAnsi="Arial" w:cs="Arial"/>
          <w:bCs/>
          <w:lang w:val="es-MX" w:eastAsia="es-ES"/>
        </w:rPr>
      </w:pPr>
      <w:r w:rsidRPr="00485284">
        <w:rPr>
          <w:rFonts w:ascii="Calibri" w:hAnsi="Calibri" w:cs="Calibri"/>
          <w:sz w:val="18"/>
          <w:szCs w:val="18"/>
        </w:rPr>
        <w:t>Fuente SIIF</w:t>
      </w:r>
    </w:p>
    <w:p w14:paraId="5FBB4AB9" w14:textId="77777777" w:rsidR="00C02282" w:rsidRPr="00485284" w:rsidRDefault="00C02282" w:rsidP="00C02282">
      <w:pPr>
        <w:jc w:val="both"/>
        <w:rPr>
          <w:rFonts w:ascii="Arial" w:hAnsi="Arial" w:cs="Arial"/>
          <w:b/>
          <w:color w:val="000000" w:themeColor="text1"/>
        </w:rPr>
      </w:pPr>
      <w:r w:rsidRPr="00485284">
        <w:rPr>
          <w:rFonts w:ascii="Arial" w:hAnsi="Arial" w:cs="Arial"/>
          <w:b/>
          <w:color w:val="000000" w:themeColor="text1"/>
        </w:rPr>
        <w:t>Seguimiento a Contratos en Exploración - Vicepresidencia de Contratos</w:t>
      </w:r>
    </w:p>
    <w:p w14:paraId="2732A2D1" w14:textId="77777777" w:rsidR="00485284" w:rsidRDefault="00485284" w:rsidP="00485284">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 xml:space="preserve">Actualmente, la Gerencia de Seguimiento a Contratos en Exploración tiene a su cargo realizar el seguimiento al cumplimiento de los compromisos exploratorios e inversiones pactadas en los </w:t>
      </w:r>
      <w:r>
        <w:rPr>
          <w:rFonts w:ascii="Arial" w:hAnsi="Arial" w:cs="Arial"/>
          <w:color w:val="000000" w:themeColor="text1"/>
          <w:lang w:val="es-ES" w:eastAsia="es-ES"/>
        </w:rPr>
        <w:lastRenderedPageBreak/>
        <w:t>Contratitas, para el cabal cumplimiento del cometido, se requiere de personal especializado y capacitado para apoyar a la Vicepresidencia de Contratos de Hidrocarburos en el seguimiento a las obligaciones pactadas en los contratos de Exploración y Producción de hidrocarburos en periodo de exploración y Contratos de Evaluación Técnica.</w:t>
      </w:r>
    </w:p>
    <w:p w14:paraId="0D74B314" w14:textId="77777777" w:rsidR="00485284" w:rsidRDefault="00485284" w:rsidP="00485284">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 xml:space="preserve">Por lo anterior, la Gerencia de Seguimiento a Contratos en Exploración, ha previsto que en desarrollo del proceso de Seguimiento a Contratos se pueda realizar la verificación del cumplimiento de los compromisos establecidos en los contratos y/o convenios E&amp;P y </w:t>
      </w:r>
      <w:proofErr w:type="spellStart"/>
      <w:r>
        <w:rPr>
          <w:rFonts w:ascii="Arial" w:hAnsi="Arial" w:cs="Arial"/>
          <w:color w:val="000000" w:themeColor="text1"/>
          <w:lang w:val="es-ES" w:eastAsia="es-ES"/>
        </w:rPr>
        <w:t>TEA’s</w:t>
      </w:r>
      <w:proofErr w:type="spellEnd"/>
      <w:r>
        <w:rPr>
          <w:rFonts w:ascii="Arial" w:hAnsi="Arial" w:cs="Arial"/>
          <w:color w:val="000000" w:themeColor="text1"/>
          <w:lang w:val="es-ES" w:eastAsia="es-ES"/>
        </w:rPr>
        <w:t>, a fin de hacer seguimiento a la ejecución de las actividades pactadas contractualmente, a través de contratos de prestación de servicios profesionales especializados que apoyen la gestión de esta Gerencia, para el cumplimiento de todos los compromisos contractuales y la consolidación de la actividad exploratoria desarrollada en los mismos; para contribuir en el logro de la autosuficiencia energética del país, mediante el  incremento del nivel de reservas y la producción de hidrocarburos.</w:t>
      </w:r>
    </w:p>
    <w:p w14:paraId="0BA5CD77" w14:textId="77777777" w:rsidR="00485284" w:rsidRDefault="00485284" w:rsidP="00485284">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Para cumplir con esta labor de seguimiento, del 01 de abril hasta el 30 de junio de 2018 se suscribieron los siguientes Contratos:</w:t>
      </w:r>
    </w:p>
    <w:p w14:paraId="08E403EC" w14:textId="7C715B08"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profesionales especializados de (8) personas de apoyo legal a la vicepresidencia de contratos de hidrocarburos, para el seguimiento y control de los contratos de E&amp;P, contratos de evaluación técnica y convenios, de conformidad con las obligaciones contractuales, la normatividad que es aplicable y la política en materia de hidrocarburos del gobierno nacional.</w:t>
      </w:r>
    </w:p>
    <w:p w14:paraId="2CD2AB57" w14:textId="1CB5A50B"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profesionales especializados de (1) persona de apoyo jurídico que se requiere para desempeñar las funciones misionales a cargo de la vicepresidencia de contratos de hidrocarburos.</w:t>
      </w:r>
    </w:p>
    <w:p w14:paraId="1A239DFC" w14:textId="60B9A64E"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profesionales especializados de (4) personas de apoyo en el seguimiento, control y verificación de condiciones de las garantías que se exigen en los contratos de evaluación técnica, contratos de E&amp;P, convenios de E&amp;P y convenios de explotación, de conformidad con las obligaciones contractuales, la normatividad aplicable y la política en materia de hidrocarburos del gobierno nacional.</w:t>
      </w:r>
    </w:p>
    <w:p w14:paraId="7047DCB1" w14:textId="28CDA6FF"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 xml:space="preserve">Prestar servicios profesionales especializados de (16) personas de apoyo a la vicepresidencia de contratos de hidrocarburos, en el seguimiento y control al cumplimiento de los compromisos de los contratos de E&amp;P, contratos de evaluación técnica y convenios, de conformidad con las obligaciones contractuales, la normatividad que es aplicable y la política que en materia de hidrocarburos dicte el gobierno nacional. </w:t>
      </w:r>
    </w:p>
    <w:p w14:paraId="2CF03660" w14:textId="22C83BD0"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profesionales de (6) personas de apoyo a la vicepresidencia de contratos de hidrocarburos, en el seguimiento y control al cumplimiento de los compromisos de los contratos de E&amp;P, contratos de evaluación técnica y convenios, de conformidad con las obligaciones contractuales, la normatividad que es aplicable y la política que en materia de hidrocarburos dicte el gobierno nacional.</w:t>
      </w:r>
    </w:p>
    <w:p w14:paraId="66C42ECD" w14:textId="3CB72EF7"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profesionales de (1) persona para brindar apoyo a la vicepresidencia de contratos de hidrocarburos en la actualización y ajuste del sistema de gestión de calidad y planeación.</w:t>
      </w:r>
    </w:p>
    <w:p w14:paraId="4C29391E" w14:textId="29E8D3B2"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lastRenderedPageBreak/>
        <w:t>Prestar servicios profesionales de (2) personas de apoyo en la operación, actualización y control de las bases de datos a la vicepresidencia de contratos de hidrocarburos, disponibles en el seguimiento al cumplimiento de los compromisos de los contratos y convenios y de los contratos de evaluación técnica, de conformidad con las obligaciones contractuales, la normatividad que es aplicable y la política que en materia de hidrocarburos dicte el gobierno nacional.</w:t>
      </w:r>
    </w:p>
    <w:p w14:paraId="4834E399" w14:textId="54A6EBF8" w:rsidR="00485284" w:rsidRP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Asistenciales de (3) personas de apoyo a los coordinadores de seguimiento de contratos de hidrocarburos, en la revisión y control al cumplimiento de los compromisos de los contratos de E&amp;P, contratos de evaluación técnica y convenios, de conformidad con las obligaciones contractuales, la normatividad que es aplicable y la política que en materia de hidrocarburos dicte el gobierno nacional.</w:t>
      </w:r>
    </w:p>
    <w:p w14:paraId="300C2F83" w14:textId="77777777" w:rsidR="00485284" w:rsidRDefault="00485284" w:rsidP="008B4625">
      <w:pPr>
        <w:pStyle w:val="Prrafodelista"/>
        <w:numPr>
          <w:ilvl w:val="0"/>
          <w:numId w:val="41"/>
        </w:numPr>
        <w:suppressAutoHyphens/>
        <w:autoSpaceDN w:val="0"/>
        <w:spacing w:after="0" w:line="240" w:lineRule="auto"/>
        <w:contextualSpacing/>
        <w:jc w:val="both"/>
        <w:rPr>
          <w:rFonts w:cs="Arial"/>
          <w:color w:val="000000" w:themeColor="text1"/>
        </w:rPr>
      </w:pPr>
      <w:r>
        <w:rPr>
          <w:rFonts w:cs="Arial"/>
          <w:color w:val="000000" w:themeColor="text1"/>
        </w:rPr>
        <w:t>Prestar servicios profesionales especializados de (1) persona para brindar apoyo a la vicepresidencia de contratos de hidrocarburos en la actualización y ajuste del sistema de gestión de calidad y planeación.</w:t>
      </w:r>
    </w:p>
    <w:p w14:paraId="5E8780A4" w14:textId="77777777" w:rsidR="00485284" w:rsidRDefault="00485284" w:rsidP="00485284">
      <w:pPr>
        <w:ind w:left="420"/>
        <w:contextualSpacing/>
        <w:jc w:val="both"/>
        <w:rPr>
          <w:rFonts w:ascii="Arial" w:hAnsi="Arial" w:cs="Arial"/>
          <w:bCs/>
          <w:color w:val="000000" w:themeColor="text1"/>
          <w:lang w:eastAsia="es-ES"/>
        </w:rPr>
      </w:pPr>
    </w:p>
    <w:p w14:paraId="68730C9B" w14:textId="22B75AB1" w:rsidR="00485284" w:rsidRPr="00485284" w:rsidRDefault="00485284" w:rsidP="00485284">
      <w:pPr>
        <w:jc w:val="both"/>
        <w:rPr>
          <w:rFonts w:ascii="Arial" w:eastAsia="Calibri" w:hAnsi="Arial" w:cs="Arial"/>
          <w:color w:val="000000" w:themeColor="text1"/>
          <w:lang w:eastAsia="es-CO"/>
        </w:rPr>
      </w:pPr>
      <w:r>
        <w:rPr>
          <w:rFonts w:ascii="Arial" w:hAnsi="Arial" w:cs="Arial"/>
          <w:color w:val="000000" w:themeColor="text1"/>
        </w:rPr>
        <w:t xml:space="preserve">En la vigencia 2018 y hasta el 30 de junio, </w:t>
      </w:r>
      <w:r>
        <w:rPr>
          <w:rFonts w:ascii="Arial" w:eastAsia="Calibri" w:hAnsi="Arial" w:cs="Arial"/>
          <w:color w:val="000000" w:themeColor="text1"/>
        </w:rPr>
        <w:t>se comprometió el 92% de los recursos apropiados, correspondientes a $3.956 millones de pesos, orientados a la suscripción de 42 contratos de prestación de servicios profesionales para apoyar al Grupo Interno de Trabajo –GIT – Gerencia de Seguimiento de Contratos en Exploración y gestión al cumplimiento de las obligaciones establecidas a cargo de las Operadoras en los Contratos de Hidrocarburos.</w:t>
      </w:r>
    </w:p>
    <w:p w14:paraId="20B7820F" w14:textId="77777777" w:rsidR="00485284" w:rsidRDefault="00485284" w:rsidP="00485284">
      <w:pPr>
        <w:jc w:val="both"/>
        <w:rPr>
          <w:rFonts w:ascii="Arial" w:hAnsi="Arial" w:cs="Arial"/>
          <w:color w:val="000000" w:themeColor="text1"/>
          <w:lang w:val="es-MX" w:eastAsia="es-ES"/>
        </w:rPr>
      </w:pPr>
      <w:r>
        <w:rPr>
          <w:rFonts w:ascii="Arial" w:hAnsi="Arial" w:cs="Arial"/>
          <w:color w:val="000000" w:themeColor="text1"/>
          <w:lang w:val="es-MX" w:eastAsia="es-ES"/>
        </w:rPr>
        <w:t>Las contrataciones arriba mencionadas, son  fundamentales para alcanzar los objetivos misionales de la ANH, del sector y de las metas del Gobierno, toda vez que a partir del seguimiento y control oportuno de las obligaciones contractuales se garantiza la ejecución de la inversión pactada en los contratos suscritos, se posibilita la incorporación de reservas y con ello el mantenimiento de la producción de hidrocarburos, permitiendo prolongar el horizonte de autoabastecimiento y excedentes para exportación, lo que se traduce en la generación de recursos económicos para el Estado, representados en regalías, impuestos y derechos económicos.</w:t>
      </w:r>
    </w:p>
    <w:p w14:paraId="14F0FCCE" w14:textId="479AE27D" w:rsidR="00485284" w:rsidRDefault="00485284" w:rsidP="00485284">
      <w:pPr>
        <w:jc w:val="both"/>
        <w:rPr>
          <w:rFonts w:ascii="Arial" w:hAnsi="Arial" w:cs="Arial"/>
          <w:color w:val="000000" w:themeColor="text1"/>
          <w:lang w:val="es-ES" w:eastAsia="es-ES"/>
        </w:rPr>
      </w:pPr>
      <w:r>
        <w:rPr>
          <w:rFonts w:ascii="Arial" w:hAnsi="Arial" w:cs="Arial"/>
          <w:color w:val="000000" w:themeColor="text1"/>
          <w:lang w:val="es-ES" w:eastAsia="es-ES"/>
        </w:rPr>
        <w:t>A 30 de junio se alcanzó un nivel de compromisos presupuestales del orden del 92% y 35% en pagos, respecto a la apropiación inicial establecida para la Gerencia de Seguimiento a Contratos en Exploración, como se observa a continuación.</w:t>
      </w:r>
    </w:p>
    <w:p w14:paraId="1BEFB3BF" w14:textId="77777777" w:rsidR="006738BC" w:rsidRDefault="006738BC" w:rsidP="00485284">
      <w:pPr>
        <w:jc w:val="both"/>
        <w:rPr>
          <w:rFonts w:ascii="Arial" w:hAnsi="Arial" w:cs="Arial"/>
          <w:color w:val="000000" w:themeColor="text1"/>
          <w:lang w:val="es-ES" w:eastAsia="es-ES"/>
        </w:rPr>
      </w:pPr>
    </w:p>
    <w:p w14:paraId="7C041E00" w14:textId="5FB3CF30" w:rsidR="00C02282" w:rsidRPr="007A1B63" w:rsidRDefault="00485284" w:rsidP="00485284">
      <w:pPr>
        <w:pStyle w:val="Descripcin"/>
        <w:keepNext/>
        <w:jc w:val="center"/>
      </w:pPr>
      <w:r w:rsidRPr="007A1B63">
        <w:t xml:space="preserve"> </w:t>
      </w:r>
      <w:bookmarkStart w:id="156" w:name="_Toc525652525"/>
      <w:r w:rsidR="00C02282" w:rsidRPr="007A1B63">
        <w:t xml:space="preserve">Tabla </w:t>
      </w:r>
      <w:r w:rsidR="00C02282" w:rsidRPr="007A1B63">
        <w:fldChar w:fldCharType="begin"/>
      </w:r>
      <w:r w:rsidR="00C02282" w:rsidRPr="007A1B63">
        <w:instrText xml:space="preserve"> SEQ Tabla \* ARABIC </w:instrText>
      </w:r>
      <w:r w:rsidR="00C02282" w:rsidRPr="007A1B63">
        <w:fldChar w:fldCharType="separate"/>
      </w:r>
      <w:r w:rsidR="008B4625">
        <w:rPr>
          <w:noProof/>
        </w:rPr>
        <w:t>80</w:t>
      </w:r>
      <w:r w:rsidR="00C02282" w:rsidRPr="007A1B63">
        <w:fldChar w:fldCharType="end"/>
      </w:r>
      <w:r w:rsidR="00C02282" w:rsidRPr="007A1B63">
        <w:t xml:space="preserve"> Ejecución Gastos de Comercialización y Producción – Seguimiento Contratos en exploración 3</w:t>
      </w:r>
      <w:r w:rsidRPr="007A1B63">
        <w:t xml:space="preserve">0 de junio de </w:t>
      </w:r>
      <w:r w:rsidR="007A1B63" w:rsidRPr="007A1B63">
        <w:t xml:space="preserve">2018 </w:t>
      </w:r>
      <w:r w:rsidR="00C02282" w:rsidRPr="007A1B63">
        <w:t xml:space="preserve"> ANH</w:t>
      </w:r>
      <w:bookmarkEnd w:id="156"/>
    </w:p>
    <w:tbl>
      <w:tblPr>
        <w:tblW w:w="9644" w:type="dxa"/>
        <w:tblInd w:w="-10" w:type="dxa"/>
        <w:tblCellMar>
          <w:left w:w="70" w:type="dxa"/>
          <w:right w:w="70" w:type="dxa"/>
        </w:tblCellMar>
        <w:tblLook w:val="04A0" w:firstRow="1" w:lastRow="0" w:firstColumn="1" w:lastColumn="0" w:noHBand="0" w:noVBand="1"/>
      </w:tblPr>
      <w:tblGrid>
        <w:gridCol w:w="1788"/>
        <w:gridCol w:w="1012"/>
        <w:gridCol w:w="696"/>
        <w:gridCol w:w="939"/>
        <w:gridCol w:w="709"/>
        <w:gridCol w:w="1049"/>
        <w:gridCol w:w="682"/>
        <w:gridCol w:w="994"/>
        <w:gridCol w:w="699"/>
        <w:gridCol w:w="1076"/>
      </w:tblGrid>
      <w:tr w:rsidR="007A1B63" w:rsidRPr="007A1B63" w14:paraId="69EDB794" w14:textId="77777777" w:rsidTr="007A1B63">
        <w:trPr>
          <w:trHeight w:val="356"/>
        </w:trPr>
        <w:tc>
          <w:tcPr>
            <w:tcW w:w="2800" w:type="dxa"/>
            <w:gridSpan w:val="2"/>
            <w:tcBorders>
              <w:top w:val="single" w:sz="8" w:space="0" w:color="auto"/>
              <w:left w:val="single" w:sz="8" w:space="0" w:color="auto"/>
              <w:bottom w:val="single" w:sz="8" w:space="0" w:color="auto"/>
              <w:right w:val="single" w:sz="8" w:space="0" w:color="000000"/>
            </w:tcBorders>
            <w:shd w:val="clear" w:color="auto" w:fill="4F81BD" w:themeFill="accent1"/>
            <w:vAlign w:val="center"/>
            <w:hideMark/>
          </w:tcPr>
          <w:p w14:paraId="07E86B15"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w:t>
            </w:r>
          </w:p>
        </w:tc>
        <w:tc>
          <w:tcPr>
            <w:tcW w:w="1635"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7A60C1D8"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Disponibilidad acumulada</w:t>
            </w:r>
          </w:p>
        </w:tc>
        <w:tc>
          <w:tcPr>
            <w:tcW w:w="1758"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6CF964AA"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Compromisos acumulados</w:t>
            </w:r>
          </w:p>
        </w:tc>
        <w:tc>
          <w:tcPr>
            <w:tcW w:w="1676"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3697CEDC"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Obligaciones acumuladas</w:t>
            </w:r>
          </w:p>
        </w:tc>
        <w:tc>
          <w:tcPr>
            <w:tcW w:w="1775"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78E7A68F"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Pagos acumulados</w:t>
            </w:r>
          </w:p>
        </w:tc>
      </w:tr>
      <w:tr w:rsidR="007A1B63" w:rsidRPr="007A1B63" w14:paraId="1CC41C8B" w14:textId="77777777" w:rsidTr="007A1B63">
        <w:trPr>
          <w:trHeight w:val="569"/>
        </w:trPr>
        <w:tc>
          <w:tcPr>
            <w:tcW w:w="1788" w:type="dxa"/>
            <w:tcBorders>
              <w:top w:val="nil"/>
              <w:left w:val="single" w:sz="8" w:space="0" w:color="auto"/>
              <w:bottom w:val="nil"/>
              <w:right w:val="single" w:sz="8" w:space="0" w:color="auto"/>
            </w:tcBorders>
            <w:shd w:val="clear" w:color="auto" w:fill="FFFFFF"/>
            <w:vAlign w:val="center"/>
            <w:hideMark/>
          </w:tcPr>
          <w:p w14:paraId="5FA89DBA"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Descripción</w:t>
            </w:r>
          </w:p>
        </w:tc>
        <w:tc>
          <w:tcPr>
            <w:tcW w:w="1011" w:type="dxa"/>
            <w:tcBorders>
              <w:top w:val="nil"/>
              <w:left w:val="nil"/>
              <w:bottom w:val="nil"/>
              <w:right w:val="single" w:sz="8" w:space="0" w:color="auto"/>
            </w:tcBorders>
            <w:shd w:val="clear" w:color="auto" w:fill="FFFFFF"/>
            <w:vAlign w:val="center"/>
            <w:hideMark/>
          </w:tcPr>
          <w:p w14:paraId="62B7D72A"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Apropiación Disponible</w:t>
            </w:r>
          </w:p>
        </w:tc>
        <w:tc>
          <w:tcPr>
            <w:tcW w:w="696" w:type="dxa"/>
            <w:tcBorders>
              <w:top w:val="nil"/>
              <w:left w:val="nil"/>
              <w:bottom w:val="nil"/>
              <w:right w:val="single" w:sz="8" w:space="0" w:color="auto"/>
            </w:tcBorders>
            <w:shd w:val="clear" w:color="auto" w:fill="FFFFFF"/>
            <w:vAlign w:val="center"/>
            <w:hideMark/>
          </w:tcPr>
          <w:p w14:paraId="41C643FE" w14:textId="77777777" w:rsidR="007A1B63" w:rsidRPr="007A1B63" w:rsidRDefault="007A1B63">
            <w:pPr>
              <w:jc w:val="center"/>
              <w:rPr>
                <w:rFonts w:ascii="Arial" w:hAnsi="Arial" w:cs="Arial"/>
                <w:color w:val="000000"/>
                <w:sz w:val="16"/>
                <w:szCs w:val="16"/>
              </w:rPr>
            </w:pPr>
            <w:proofErr w:type="spellStart"/>
            <w:r w:rsidRPr="007A1B63">
              <w:rPr>
                <w:rFonts w:ascii="Arial" w:hAnsi="Arial" w:cs="Arial"/>
                <w:color w:val="000000" w:themeColor="text1"/>
                <w:sz w:val="16"/>
                <w:szCs w:val="16"/>
              </w:rPr>
              <w:t>Trim</w:t>
            </w:r>
            <w:proofErr w:type="spellEnd"/>
            <w:r w:rsidRPr="007A1B63">
              <w:rPr>
                <w:rFonts w:ascii="Arial" w:hAnsi="Arial" w:cs="Arial"/>
                <w:color w:val="000000" w:themeColor="text1"/>
                <w:sz w:val="16"/>
                <w:szCs w:val="16"/>
              </w:rPr>
              <w:t>. II</w:t>
            </w:r>
          </w:p>
        </w:tc>
        <w:tc>
          <w:tcPr>
            <w:tcW w:w="938" w:type="dxa"/>
            <w:tcBorders>
              <w:top w:val="nil"/>
              <w:left w:val="nil"/>
              <w:bottom w:val="nil"/>
              <w:right w:val="single" w:sz="8" w:space="0" w:color="auto"/>
            </w:tcBorders>
            <w:shd w:val="clear" w:color="auto" w:fill="FFFFFF"/>
            <w:vAlign w:val="center"/>
            <w:hideMark/>
          </w:tcPr>
          <w:p w14:paraId="6E2B4A07"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xml:space="preserve">% </w:t>
            </w:r>
            <w:proofErr w:type="spellStart"/>
            <w:r w:rsidRPr="007A1B63">
              <w:rPr>
                <w:rFonts w:ascii="Arial" w:hAnsi="Arial" w:cs="Arial"/>
                <w:color w:val="000000" w:themeColor="text1"/>
                <w:sz w:val="16"/>
                <w:szCs w:val="16"/>
              </w:rPr>
              <w:t>Disp</w:t>
            </w:r>
            <w:proofErr w:type="spellEnd"/>
            <w:r w:rsidRPr="007A1B63">
              <w:rPr>
                <w:rFonts w:ascii="Arial" w:hAnsi="Arial" w:cs="Arial"/>
                <w:color w:val="000000" w:themeColor="text1"/>
                <w:sz w:val="16"/>
                <w:szCs w:val="16"/>
              </w:rPr>
              <w:t>/</w:t>
            </w:r>
            <w:proofErr w:type="spellStart"/>
            <w:r w:rsidRPr="007A1B63">
              <w:rPr>
                <w:rFonts w:ascii="Arial" w:hAnsi="Arial" w:cs="Arial"/>
                <w:color w:val="000000" w:themeColor="text1"/>
                <w:sz w:val="16"/>
                <w:szCs w:val="16"/>
              </w:rPr>
              <w:t>aprop</w:t>
            </w:r>
            <w:proofErr w:type="spellEnd"/>
          </w:p>
        </w:tc>
        <w:tc>
          <w:tcPr>
            <w:tcW w:w="709" w:type="dxa"/>
            <w:tcBorders>
              <w:top w:val="nil"/>
              <w:left w:val="nil"/>
              <w:bottom w:val="nil"/>
              <w:right w:val="single" w:sz="8" w:space="0" w:color="auto"/>
            </w:tcBorders>
            <w:shd w:val="clear" w:color="auto" w:fill="FFFFFF"/>
            <w:vAlign w:val="center"/>
            <w:hideMark/>
          </w:tcPr>
          <w:p w14:paraId="0DC3D7D2" w14:textId="77777777" w:rsidR="007A1B63" w:rsidRPr="007A1B63" w:rsidRDefault="007A1B63">
            <w:pPr>
              <w:jc w:val="center"/>
              <w:rPr>
                <w:rFonts w:ascii="Arial" w:hAnsi="Arial" w:cs="Arial"/>
                <w:color w:val="000000"/>
                <w:sz w:val="16"/>
                <w:szCs w:val="16"/>
              </w:rPr>
            </w:pPr>
            <w:proofErr w:type="spellStart"/>
            <w:r w:rsidRPr="007A1B63">
              <w:rPr>
                <w:rFonts w:ascii="Arial" w:hAnsi="Arial" w:cs="Arial"/>
                <w:color w:val="000000" w:themeColor="text1"/>
                <w:sz w:val="16"/>
                <w:szCs w:val="16"/>
              </w:rPr>
              <w:t>Trim</w:t>
            </w:r>
            <w:proofErr w:type="spellEnd"/>
            <w:r w:rsidRPr="007A1B63">
              <w:rPr>
                <w:rFonts w:ascii="Arial" w:hAnsi="Arial" w:cs="Arial"/>
                <w:color w:val="000000" w:themeColor="text1"/>
                <w:sz w:val="16"/>
                <w:szCs w:val="16"/>
              </w:rPr>
              <w:t xml:space="preserve"> II</w:t>
            </w:r>
          </w:p>
        </w:tc>
        <w:tc>
          <w:tcPr>
            <w:tcW w:w="1048" w:type="dxa"/>
            <w:tcBorders>
              <w:top w:val="nil"/>
              <w:left w:val="nil"/>
              <w:bottom w:val="nil"/>
              <w:right w:val="single" w:sz="8" w:space="0" w:color="auto"/>
            </w:tcBorders>
            <w:shd w:val="clear" w:color="auto" w:fill="FFFFFF"/>
            <w:vAlign w:val="center"/>
            <w:hideMark/>
          </w:tcPr>
          <w:p w14:paraId="2D3B4EB5"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xml:space="preserve">% </w:t>
            </w:r>
            <w:proofErr w:type="spellStart"/>
            <w:r w:rsidRPr="007A1B63">
              <w:rPr>
                <w:rFonts w:ascii="Arial" w:hAnsi="Arial" w:cs="Arial"/>
                <w:color w:val="000000" w:themeColor="text1"/>
                <w:sz w:val="16"/>
                <w:szCs w:val="16"/>
              </w:rPr>
              <w:t>Comp</w:t>
            </w:r>
            <w:proofErr w:type="spellEnd"/>
            <w:r w:rsidRPr="007A1B63">
              <w:rPr>
                <w:rFonts w:ascii="Arial" w:hAnsi="Arial" w:cs="Arial"/>
                <w:color w:val="000000" w:themeColor="text1"/>
                <w:sz w:val="16"/>
                <w:szCs w:val="16"/>
              </w:rPr>
              <w:t>/</w:t>
            </w:r>
            <w:proofErr w:type="spellStart"/>
            <w:r w:rsidRPr="007A1B63">
              <w:rPr>
                <w:rFonts w:ascii="Arial" w:hAnsi="Arial" w:cs="Arial"/>
                <w:color w:val="000000" w:themeColor="text1"/>
                <w:sz w:val="16"/>
                <w:szCs w:val="16"/>
              </w:rPr>
              <w:t>aprop</w:t>
            </w:r>
            <w:proofErr w:type="spellEnd"/>
          </w:p>
        </w:tc>
        <w:tc>
          <w:tcPr>
            <w:tcW w:w="682" w:type="dxa"/>
            <w:tcBorders>
              <w:top w:val="nil"/>
              <w:left w:val="nil"/>
              <w:bottom w:val="nil"/>
              <w:right w:val="single" w:sz="8" w:space="0" w:color="auto"/>
            </w:tcBorders>
            <w:shd w:val="clear" w:color="auto" w:fill="FFFFFF"/>
            <w:vAlign w:val="center"/>
            <w:hideMark/>
          </w:tcPr>
          <w:p w14:paraId="5747512A" w14:textId="77777777" w:rsidR="007A1B63" w:rsidRPr="007A1B63" w:rsidRDefault="007A1B63">
            <w:pPr>
              <w:jc w:val="center"/>
              <w:rPr>
                <w:rFonts w:ascii="Arial" w:hAnsi="Arial" w:cs="Arial"/>
                <w:color w:val="000000"/>
                <w:sz w:val="16"/>
                <w:szCs w:val="16"/>
              </w:rPr>
            </w:pPr>
            <w:proofErr w:type="spellStart"/>
            <w:r w:rsidRPr="007A1B63">
              <w:rPr>
                <w:rFonts w:ascii="Arial" w:hAnsi="Arial" w:cs="Arial"/>
                <w:color w:val="000000" w:themeColor="text1"/>
                <w:sz w:val="16"/>
                <w:szCs w:val="16"/>
              </w:rPr>
              <w:t>Trim</w:t>
            </w:r>
            <w:proofErr w:type="spellEnd"/>
            <w:r w:rsidRPr="007A1B63">
              <w:rPr>
                <w:rFonts w:ascii="Arial" w:hAnsi="Arial" w:cs="Arial"/>
                <w:color w:val="000000" w:themeColor="text1"/>
                <w:sz w:val="16"/>
                <w:szCs w:val="16"/>
              </w:rPr>
              <w:t xml:space="preserve"> II</w:t>
            </w:r>
          </w:p>
        </w:tc>
        <w:tc>
          <w:tcPr>
            <w:tcW w:w="994" w:type="dxa"/>
            <w:tcBorders>
              <w:top w:val="nil"/>
              <w:left w:val="nil"/>
              <w:bottom w:val="nil"/>
              <w:right w:val="single" w:sz="8" w:space="0" w:color="auto"/>
            </w:tcBorders>
            <w:shd w:val="clear" w:color="auto" w:fill="FFFFFF"/>
            <w:vAlign w:val="center"/>
            <w:hideMark/>
          </w:tcPr>
          <w:p w14:paraId="6601A92C"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xml:space="preserve">% </w:t>
            </w:r>
            <w:proofErr w:type="spellStart"/>
            <w:r w:rsidRPr="007A1B63">
              <w:rPr>
                <w:rFonts w:ascii="Arial" w:hAnsi="Arial" w:cs="Arial"/>
                <w:color w:val="000000" w:themeColor="text1"/>
                <w:sz w:val="16"/>
                <w:szCs w:val="16"/>
              </w:rPr>
              <w:t>Oblig</w:t>
            </w:r>
            <w:proofErr w:type="spellEnd"/>
            <w:r w:rsidRPr="007A1B63">
              <w:rPr>
                <w:rFonts w:ascii="Arial" w:hAnsi="Arial" w:cs="Arial"/>
                <w:color w:val="000000" w:themeColor="text1"/>
                <w:sz w:val="16"/>
                <w:szCs w:val="16"/>
              </w:rPr>
              <w:t>/</w:t>
            </w:r>
            <w:proofErr w:type="spellStart"/>
            <w:r w:rsidRPr="007A1B63">
              <w:rPr>
                <w:rFonts w:ascii="Arial" w:hAnsi="Arial" w:cs="Arial"/>
                <w:color w:val="000000" w:themeColor="text1"/>
                <w:sz w:val="16"/>
                <w:szCs w:val="16"/>
              </w:rPr>
              <w:t>aprop</w:t>
            </w:r>
            <w:proofErr w:type="spellEnd"/>
          </w:p>
        </w:tc>
        <w:tc>
          <w:tcPr>
            <w:tcW w:w="699" w:type="dxa"/>
            <w:tcBorders>
              <w:top w:val="nil"/>
              <w:left w:val="nil"/>
              <w:bottom w:val="nil"/>
              <w:right w:val="single" w:sz="8" w:space="0" w:color="auto"/>
            </w:tcBorders>
            <w:shd w:val="clear" w:color="auto" w:fill="FFFFFF"/>
            <w:vAlign w:val="center"/>
            <w:hideMark/>
          </w:tcPr>
          <w:p w14:paraId="68C3F2EB" w14:textId="77777777" w:rsidR="007A1B63" w:rsidRPr="007A1B63" w:rsidRDefault="007A1B63">
            <w:pPr>
              <w:jc w:val="center"/>
              <w:rPr>
                <w:rFonts w:ascii="Arial" w:hAnsi="Arial" w:cs="Arial"/>
                <w:color w:val="000000"/>
                <w:sz w:val="16"/>
                <w:szCs w:val="16"/>
              </w:rPr>
            </w:pPr>
            <w:proofErr w:type="spellStart"/>
            <w:r w:rsidRPr="007A1B63">
              <w:rPr>
                <w:rFonts w:ascii="Arial" w:hAnsi="Arial" w:cs="Arial"/>
                <w:color w:val="000000" w:themeColor="text1"/>
                <w:sz w:val="16"/>
                <w:szCs w:val="16"/>
              </w:rPr>
              <w:t>Trim</w:t>
            </w:r>
            <w:proofErr w:type="spellEnd"/>
            <w:r w:rsidRPr="007A1B63">
              <w:rPr>
                <w:rFonts w:ascii="Arial" w:hAnsi="Arial" w:cs="Arial"/>
                <w:color w:val="000000" w:themeColor="text1"/>
                <w:sz w:val="16"/>
                <w:szCs w:val="16"/>
              </w:rPr>
              <w:t xml:space="preserve"> II</w:t>
            </w:r>
          </w:p>
        </w:tc>
        <w:tc>
          <w:tcPr>
            <w:tcW w:w="1076" w:type="dxa"/>
            <w:tcBorders>
              <w:top w:val="nil"/>
              <w:left w:val="nil"/>
              <w:bottom w:val="nil"/>
              <w:right w:val="single" w:sz="8" w:space="0" w:color="auto"/>
            </w:tcBorders>
            <w:shd w:val="clear" w:color="auto" w:fill="FFFFFF"/>
            <w:vAlign w:val="center"/>
            <w:hideMark/>
          </w:tcPr>
          <w:p w14:paraId="404B1DD4"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Pagos/</w:t>
            </w:r>
            <w:proofErr w:type="spellStart"/>
            <w:r w:rsidRPr="007A1B63">
              <w:rPr>
                <w:rFonts w:ascii="Arial" w:hAnsi="Arial" w:cs="Arial"/>
                <w:color w:val="000000" w:themeColor="text1"/>
                <w:sz w:val="16"/>
                <w:szCs w:val="16"/>
              </w:rPr>
              <w:t>aprop</w:t>
            </w:r>
            <w:proofErr w:type="spellEnd"/>
          </w:p>
        </w:tc>
      </w:tr>
      <w:tr w:rsidR="007A1B63" w:rsidRPr="007A1B63" w14:paraId="17742A31" w14:textId="77777777" w:rsidTr="007A1B63">
        <w:trPr>
          <w:trHeight w:val="1080"/>
        </w:trPr>
        <w:tc>
          <w:tcPr>
            <w:tcW w:w="178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A87C1C3" w14:textId="77777777" w:rsidR="007A1B63" w:rsidRPr="007A1B63" w:rsidRDefault="007A1B63">
            <w:pPr>
              <w:rPr>
                <w:rFonts w:ascii="Arial" w:hAnsi="Arial" w:cs="Arial"/>
                <w:color w:val="000000"/>
                <w:sz w:val="16"/>
                <w:szCs w:val="16"/>
              </w:rPr>
            </w:pPr>
            <w:r w:rsidRPr="007A1B63">
              <w:rPr>
                <w:rFonts w:ascii="Arial" w:hAnsi="Arial" w:cs="Arial"/>
                <w:color w:val="000000" w:themeColor="text1"/>
                <w:sz w:val="16"/>
                <w:szCs w:val="16"/>
              </w:rPr>
              <w:lastRenderedPageBreak/>
              <w:t>Funcionamiento - GASTOS DE COMERCIALIZACION Y PRODUCCION</w:t>
            </w:r>
          </w:p>
        </w:tc>
        <w:tc>
          <w:tcPr>
            <w:tcW w:w="1011" w:type="dxa"/>
            <w:tcBorders>
              <w:top w:val="single" w:sz="8" w:space="0" w:color="auto"/>
              <w:left w:val="nil"/>
              <w:bottom w:val="single" w:sz="8" w:space="0" w:color="auto"/>
              <w:right w:val="nil"/>
            </w:tcBorders>
            <w:shd w:val="clear" w:color="auto" w:fill="FFFFFF"/>
            <w:vAlign w:val="center"/>
            <w:hideMark/>
          </w:tcPr>
          <w:p w14:paraId="35211155"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$ 4.277</w:t>
            </w:r>
          </w:p>
        </w:tc>
        <w:tc>
          <w:tcPr>
            <w:tcW w:w="696" w:type="dxa"/>
            <w:tcBorders>
              <w:top w:val="single" w:sz="8" w:space="0" w:color="auto"/>
              <w:left w:val="single" w:sz="8" w:space="0" w:color="auto"/>
              <w:bottom w:val="single" w:sz="8" w:space="0" w:color="auto"/>
              <w:right w:val="nil"/>
            </w:tcBorders>
            <w:shd w:val="clear" w:color="auto" w:fill="FFFFFF"/>
            <w:vAlign w:val="center"/>
            <w:hideMark/>
          </w:tcPr>
          <w:p w14:paraId="50A2CC42"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$ 3.955</w:t>
            </w:r>
          </w:p>
        </w:tc>
        <w:tc>
          <w:tcPr>
            <w:tcW w:w="938" w:type="dxa"/>
            <w:tcBorders>
              <w:top w:val="single" w:sz="8" w:space="0" w:color="auto"/>
              <w:left w:val="single" w:sz="8" w:space="0" w:color="auto"/>
              <w:bottom w:val="single" w:sz="8" w:space="0" w:color="auto"/>
              <w:right w:val="nil"/>
            </w:tcBorders>
            <w:shd w:val="clear" w:color="auto" w:fill="FFFFFF"/>
            <w:vAlign w:val="center"/>
            <w:hideMark/>
          </w:tcPr>
          <w:p w14:paraId="1082ECC7"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92%</w:t>
            </w:r>
          </w:p>
        </w:tc>
        <w:tc>
          <w:tcPr>
            <w:tcW w:w="709" w:type="dxa"/>
            <w:tcBorders>
              <w:top w:val="single" w:sz="8" w:space="0" w:color="auto"/>
              <w:left w:val="single" w:sz="8" w:space="0" w:color="auto"/>
              <w:bottom w:val="single" w:sz="8" w:space="0" w:color="auto"/>
              <w:right w:val="nil"/>
            </w:tcBorders>
            <w:shd w:val="clear" w:color="auto" w:fill="FFFFFF"/>
            <w:vAlign w:val="center"/>
            <w:hideMark/>
          </w:tcPr>
          <w:p w14:paraId="09C237E2"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$ 3.934</w:t>
            </w:r>
          </w:p>
        </w:tc>
        <w:tc>
          <w:tcPr>
            <w:tcW w:w="1048" w:type="dxa"/>
            <w:tcBorders>
              <w:top w:val="single" w:sz="8" w:space="0" w:color="auto"/>
              <w:left w:val="single" w:sz="8" w:space="0" w:color="auto"/>
              <w:bottom w:val="single" w:sz="8" w:space="0" w:color="auto"/>
              <w:right w:val="nil"/>
            </w:tcBorders>
            <w:shd w:val="clear" w:color="auto" w:fill="FFFFFF"/>
            <w:vAlign w:val="center"/>
            <w:hideMark/>
          </w:tcPr>
          <w:p w14:paraId="7AE6854E"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92%</w:t>
            </w:r>
          </w:p>
        </w:tc>
        <w:tc>
          <w:tcPr>
            <w:tcW w:w="682" w:type="dxa"/>
            <w:tcBorders>
              <w:top w:val="single" w:sz="8" w:space="0" w:color="auto"/>
              <w:left w:val="single" w:sz="8" w:space="0" w:color="auto"/>
              <w:bottom w:val="single" w:sz="8" w:space="0" w:color="auto"/>
              <w:right w:val="nil"/>
            </w:tcBorders>
            <w:shd w:val="clear" w:color="auto" w:fill="FFFFFF"/>
            <w:vAlign w:val="center"/>
            <w:hideMark/>
          </w:tcPr>
          <w:p w14:paraId="789507FB"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$ 1.512</w:t>
            </w:r>
          </w:p>
        </w:tc>
        <w:tc>
          <w:tcPr>
            <w:tcW w:w="994" w:type="dxa"/>
            <w:tcBorders>
              <w:top w:val="single" w:sz="8" w:space="0" w:color="auto"/>
              <w:left w:val="single" w:sz="8" w:space="0" w:color="auto"/>
              <w:bottom w:val="single" w:sz="8" w:space="0" w:color="auto"/>
              <w:right w:val="nil"/>
            </w:tcBorders>
            <w:shd w:val="clear" w:color="auto" w:fill="FFFFFF"/>
            <w:vAlign w:val="center"/>
            <w:hideMark/>
          </w:tcPr>
          <w:p w14:paraId="086011C3"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35%</w:t>
            </w:r>
          </w:p>
        </w:tc>
        <w:tc>
          <w:tcPr>
            <w:tcW w:w="699" w:type="dxa"/>
            <w:tcBorders>
              <w:top w:val="single" w:sz="8" w:space="0" w:color="auto"/>
              <w:left w:val="single" w:sz="8" w:space="0" w:color="auto"/>
              <w:bottom w:val="single" w:sz="8" w:space="0" w:color="auto"/>
              <w:right w:val="nil"/>
            </w:tcBorders>
            <w:shd w:val="clear" w:color="auto" w:fill="FFFFFF"/>
            <w:vAlign w:val="center"/>
            <w:hideMark/>
          </w:tcPr>
          <w:p w14:paraId="689616C4"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$ 1.512</w:t>
            </w:r>
          </w:p>
        </w:tc>
        <w:tc>
          <w:tcPr>
            <w:tcW w:w="107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0F44E7E" w14:textId="77777777" w:rsidR="007A1B63" w:rsidRPr="007A1B63" w:rsidRDefault="007A1B63">
            <w:pPr>
              <w:jc w:val="center"/>
              <w:rPr>
                <w:rFonts w:ascii="Arial" w:hAnsi="Arial" w:cs="Arial"/>
                <w:color w:val="000000"/>
                <w:sz w:val="16"/>
                <w:szCs w:val="16"/>
              </w:rPr>
            </w:pPr>
            <w:r w:rsidRPr="007A1B63">
              <w:rPr>
                <w:rFonts w:ascii="Arial" w:hAnsi="Arial" w:cs="Arial"/>
                <w:color w:val="000000" w:themeColor="text1"/>
                <w:sz w:val="16"/>
                <w:szCs w:val="16"/>
              </w:rPr>
              <w:t>35%</w:t>
            </w:r>
          </w:p>
        </w:tc>
      </w:tr>
    </w:tbl>
    <w:p w14:paraId="0EAC25DE" w14:textId="5E835B49"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7D357FAD" w14:textId="77777777" w:rsidR="00C02282" w:rsidRPr="007A1B63" w:rsidRDefault="00C02282" w:rsidP="00C02282">
      <w:pPr>
        <w:jc w:val="center"/>
        <w:rPr>
          <w:rFonts w:ascii="Arial" w:hAnsi="Arial" w:cs="Arial"/>
          <w:bCs/>
          <w:lang w:val="es-MX" w:eastAsia="es-ES"/>
        </w:rPr>
      </w:pPr>
      <w:r w:rsidRPr="007A1B63">
        <w:rPr>
          <w:rFonts w:ascii="Calibri" w:hAnsi="Calibri" w:cs="Calibri"/>
          <w:sz w:val="18"/>
          <w:szCs w:val="18"/>
        </w:rPr>
        <w:t>Fuente SIIF</w:t>
      </w:r>
    </w:p>
    <w:p w14:paraId="086FFB60" w14:textId="3E014E9D" w:rsidR="00C02282" w:rsidRPr="007A1B63" w:rsidRDefault="00C02282" w:rsidP="00C02282">
      <w:pPr>
        <w:pStyle w:val="Descripcin"/>
        <w:keepNext/>
        <w:jc w:val="center"/>
      </w:pPr>
      <w:bookmarkStart w:id="157" w:name="_Toc525652428"/>
      <w:r w:rsidRPr="007A1B63">
        <w:t xml:space="preserve">Gráfica </w:t>
      </w:r>
      <w:r w:rsidR="00B6251B">
        <w:fldChar w:fldCharType="begin"/>
      </w:r>
      <w:r w:rsidR="00B6251B">
        <w:instrText xml:space="preserve"> SEQ Gráfica \* ARABIC </w:instrText>
      </w:r>
      <w:r w:rsidR="00B6251B">
        <w:fldChar w:fldCharType="separate"/>
      </w:r>
      <w:r w:rsidR="00B6251B">
        <w:rPr>
          <w:noProof/>
        </w:rPr>
        <w:t>15</w:t>
      </w:r>
      <w:r w:rsidR="00B6251B">
        <w:fldChar w:fldCharType="end"/>
      </w:r>
      <w:r w:rsidR="007A1B63" w:rsidRPr="007A1B63">
        <w:t xml:space="preserve"> </w:t>
      </w:r>
      <w:r w:rsidRPr="007A1B63">
        <w:t>Ejecución Gastos de Comercialización – Seguimiento Contratos de Exploración  ANH</w:t>
      </w:r>
      <w:bookmarkEnd w:id="157"/>
    </w:p>
    <w:p w14:paraId="4B0B382A" w14:textId="7681BDD9" w:rsidR="00C02282" w:rsidRPr="007A1B63" w:rsidRDefault="007A1B63" w:rsidP="00C02282">
      <w:pPr>
        <w:spacing w:after="0"/>
        <w:jc w:val="center"/>
        <w:rPr>
          <w:rFonts w:ascii="Arial" w:hAnsi="Arial" w:cs="Arial"/>
          <w:b/>
          <w:lang w:val="es-ES" w:eastAsia="es-ES"/>
        </w:rPr>
      </w:pPr>
      <w:r w:rsidRPr="007A1B63">
        <w:rPr>
          <w:noProof/>
          <w:lang w:eastAsia="es-CO"/>
        </w:rPr>
        <w:drawing>
          <wp:inline distT="0" distB="0" distL="0" distR="0" wp14:anchorId="6A5D2245" wp14:editId="11F89540">
            <wp:extent cx="4114800" cy="2247900"/>
            <wp:effectExtent l="0" t="0" r="0" b="0"/>
            <wp:docPr id="57" name="Imagen 5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2247900"/>
                    </a:xfrm>
                    <a:prstGeom prst="rect">
                      <a:avLst/>
                    </a:prstGeom>
                    <a:noFill/>
                  </pic:spPr>
                </pic:pic>
              </a:graphicData>
            </a:graphic>
          </wp:inline>
        </w:drawing>
      </w:r>
    </w:p>
    <w:p w14:paraId="439EA5C8" w14:textId="1E61465A" w:rsidR="00C02282" w:rsidRDefault="00C02282" w:rsidP="007A1B63">
      <w:pPr>
        <w:spacing w:after="0"/>
        <w:jc w:val="center"/>
        <w:rPr>
          <w:rFonts w:ascii="Arial" w:hAnsi="Arial" w:cs="Arial"/>
          <w:sz w:val="16"/>
          <w:szCs w:val="16"/>
        </w:rPr>
      </w:pPr>
      <w:r w:rsidRPr="007A1B63">
        <w:rPr>
          <w:rFonts w:ascii="Arial" w:hAnsi="Arial" w:cs="Arial"/>
          <w:sz w:val="16"/>
          <w:szCs w:val="16"/>
        </w:rPr>
        <w:t>Fuente Seguimiento Contratos en Exploración</w:t>
      </w:r>
    </w:p>
    <w:p w14:paraId="14D4A4EB" w14:textId="44E13B0C" w:rsidR="00A3028C" w:rsidRDefault="00A3028C" w:rsidP="007A1B63">
      <w:pPr>
        <w:spacing w:after="0"/>
        <w:jc w:val="center"/>
        <w:rPr>
          <w:rFonts w:ascii="Arial" w:hAnsi="Arial" w:cs="Arial"/>
          <w:sz w:val="16"/>
          <w:szCs w:val="16"/>
        </w:rPr>
      </w:pPr>
    </w:p>
    <w:p w14:paraId="0FA32563" w14:textId="04930A4F" w:rsidR="00A3028C" w:rsidRDefault="00A3028C" w:rsidP="007A1B63">
      <w:pPr>
        <w:spacing w:after="0"/>
        <w:jc w:val="center"/>
        <w:rPr>
          <w:rFonts w:ascii="Arial" w:hAnsi="Arial" w:cs="Arial"/>
          <w:sz w:val="16"/>
          <w:szCs w:val="16"/>
        </w:rPr>
      </w:pPr>
    </w:p>
    <w:p w14:paraId="17FF3DF0" w14:textId="77777777" w:rsidR="00A3028C" w:rsidRPr="007A1B63" w:rsidRDefault="00A3028C" w:rsidP="007A1B63">
      <w:pPr>
        <w:spacing w:after="0"/>
        <w:jc w:val="center"/>
        <w:rPr>
          <w:rFonts w:ascii="Arial" w:hAnsi="Arial" w:cs="Arial"/>
          <w:sz w:val="16"/>
          <w:szCs w:val="16"/>
        </w:rPr>
      </w:pPr>
    </w:p>
    <w:p w14:paraId="384AC2AC" w14:textId="77777777" w:rsidR="00C02282" w:rsidRPr="007A1B63" w:rsidRDefault="00C02282" w:rsidP="00C02282">
      <w:pPr>
        <w:jc w:val="both"/>
        <w:rPr>
          <w:rFonts w:ascii="Arial" w:hAnsi="Arial" w:cs="Arial"/>
          <w:b/>
        </w:rPr>
      </w:pPr>
    </w:p>
    <w:p w14:paraId="271B123C" w14:textId="77777777" w:rsidR="00C02282" w:rsidRPr="007A1B63" w:rsidRDefault="00C02282" w:rsidP="00C02282">
      <w:pPr>
        <w:jc w:val="both"/>
        <w:rPr>
          <w:rFonts w:ascii="Arial" w:hAnsi="Arial" w:cs="Arial"/>
          <w:b/>
          <w:color w:val="000000" w:themeColor="text1"/>
        </w:rPr>
      </w:pPr>
      <w:r w:rsidRPr="007A1B63">
        <w:rPr>
          <w:rFonts w:ascii="Arial" w:hAnsi="Arial" w:cs="Arial"/>
          <w:b/>
          <w:color w:val="000000" w:themeColor="text1"/>
        </w:rPr>
        <w:t xml:space="preserve">Seguimiento a Contratos en Producción - Vicepresidencia de </w:t>
      </w:r>
      <w:r w:rsidRPr="007A1B63">
        <w:rPr>
          <w:rFonts w:ascii="Arial" w:hAnsi="Arial" w:cs="Arial"/>
          <w:b/>
          <w:i/>
          <w:color w:val="000000" w:themeColor="text1"/>
        </w:rPr>
        <w:t>Contratos</w:t>
      </w:r>
    </w:p>
    <w:p w14:paraId="2694C440" w14:textId="77777777" w:rsidR="007A1B63" w:rsidRDefault="007A1B63" w:rsidP="007A1B63">
      <w:pPr>
        <w:suppressAutoHyphens/>
        <w:autoSpaceDN w:val="0"/>
        <w:ind w:right="-4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La Gerencia de Seguimiento a Contratos en Producción, tiene como función realizar el seguimiento al cumplimiento de los compromisos de los contratos y convenios de exploración y producción que se encuentren en periodo de producción, de manera que se cumpla con lo establecido en las diferentes cláusulas contractuales.</w:t>
      </w:r>
    </w:p>
    <w:p w14:paraId="1CDC35F4" w14:textId="77777777" w:rsidR="007A1B63" w:rsidRDefault="007A1B63" w:rsidP="007A1B63">
      <w:pPr>
        <w:suppressAutoHyphens/>
        <w:autoSpaceDN w:val="0"/>
        <w:ind w:right="-4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Este seguimiento se realiza por cada uno de los descubrimientos que se realicen en cada contrato y que presenten Programa de Evaluación, es decir, dicho seguimiento no se realiza por contrato sino por área, de tal forma que el mismo contrato puede tener al mismo tiempo varias áreas en evaluación y en explotación, todas con plazos y actividades diferentes a las cuales hacerles seguimiento.</w:t>
      </w:r>
    </w:p>
    <w:p w14:paraId="12972744" w14:textId="77777777" w:rsidR="007A1B63" w:rsidRDefault="007A1B63" w:rsidP="007A1B63">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Para cumplir con esta labor de seguimiento, del 01 de abril al 30 de junio de 2018 se suscribieron los siguientes Contratos:</w:t>
      </w:r>
    </w:p>
    <w:p w14:paraId="20117C44" w14:textId="77777777" w:rsidR="007A1B63" w:rsidRDefault="007A1B63" w:rsidP="008B4625">
      <w:pPr>
        <w:pStyle w:val="Prrafodelista"/>
        <w:numPr>
          <w:ilvl w:val="0"/>
          <w:numId w:val="42"/>
        </w:numPr>
        <w:suppressAutoHyphens/>
        <w:autoSpaceDN w:val="0"/>
        <w:spacing w:after="0" w:line="240" w:lineRule="auto"/>
        <w:jc w:val="both"/>
        <w:rPr>
          <w:rFonts w:cs="Arial"/>
          <w:color w:val="000000" w:themeColor="text1"/>
          <w:lang w:eastAsia="es-ES"/>
        </w:rPr>
      </w:pPr>
      <w:r>
        <w:rPr>
          <w:rFonts w:cs="Arial"/>
          <w:color w:val="000000" w:themeColor="text1"/>
        </w:rPr>
        <w:lastRenderedPageBreak/>
        <w:t>Prestar los servicios profesionales de (2) personas a la VCH en la implementación de los ajustes y desarrollos del sistema integrado de seguimiento y control de contratos de hidrocarburos SSCH de la ANH.</w:t>
      </w:r>
    </w:p>
    <w:p w14:paraId="516B6161" w14:textId="15B16519" w:rsidR="007A1B63" w:rsidRPr="007A1B63" w:rsidRDefault="007A1B63" w:rsidP="008B4625">
      <w:pPr>
        <w:pStyle w:val="Prrafodelista"/>
        <w:numPr>
          <w:ilvl w:val="0"/>
          <w:numId w:val="42"/>
        </w:numPr>
        <w:suppressAutoHyphens/>
        <w:autoSpaceDN w:val="0"/>
        <w:spacing w:after="0" w:line="240" w:lineRule="auto"/>
        <w:jc w:val="both"/>
        <w:rPr>
          <w:rFonts w:cs="Arial"/>
          <w:color w:val="000000" w:themeColor="text1"/>
        </w:rPr>
      </w:pPr>
      <w:r w:rsidRPr="007A1B63">
        <w:rPr>
          <w:rFonts w:cs="Arial"/>
          <w:color w:val="000000" w:themeColor="text1"/>
        </w:rPr>
        <w:t>Prestar servicios profesionales especializados de (6) personas de apoyo legal a la Vicepresidencia de Contratos de Hidrocarburos, para el seguimiento y control de los contratos de E&amp;P, contratos de evaluación técnica y convenios, de conformidad con las obligaciones contractuales, la normatividad que es aplicable y la política en materia de hidrocarburos del gobierno nacional.</w:t>
      </w:r>
    </w:p>
    <w:p w14:paraId="1F83A254" w14:textId="77777777" w:rsidR="007A1B63" w:rsidRDefault="007A1B63" w:rsidP="008B4625">
      <w:pPr>
        <w:pStyle w:val="Prrafodelista"/>
        <w:numPr>
          <w:ilvl w:val="0"/>
          <w:numId w:val="42"/>
        </w:numPr>
        <w:suppressAutoHyphens/>
        <w:autoSpaceDN w:val="0"/>
        <w:spacing w:after="0" w:line="240" w:lineRule="auto"/>
        <w:jc w:val="both"/>
        <w:rPr>
          <w:rFonts w:cs="Arial"/>
          <w:color w:val="000000" w:themeColor="text1"/>
        </w:rPr>
      </w:pPr>
      <w:r>
        <w:rPr>
          <w:rFonts w:cs="Arial"/>
          <w:color w:val="000000" w:themeColor="text1"/>
        </w:rPr>
        <w:t>Prestar servicios profesionales especializados de (2) personas de apoyo en el seguimiento, control y verificación de condiciones de las garantías que se exigen en los contratos de evaluación técnica, contratos de E&amp;P, convenios de E&amp;P y convenios de explotación, de conformidad con las obligaciones contractuales, la normatividad aplicable y la política en materia de hidrocarburos del gobierno nacional.</w:t>
      </w:r>
    </w:p>
    <w:p w14:paraId="0088694D" w14:textId="77777777" w:rsidR="007A1B63" w:rsidRDefault="007A1B63" w:rsidP="008B4625">
      <w:pPr>
        <w:pStyle w:val="Prrafodelista"/>
        <w:numPr>
          <w:ilvl w:val="0"/>
          <w:numId w:val="42"/>
        </w:numPr>
        <w:suppressAutoHyphens/>
        <w:autoSpaceDN w:val="0"/>
        <w:spacing w:after="0" w:line="240" w:lineRule="auto"/>
        <w:jc w:val="both"/>
        <w:rPr>
          <w:rFonts w:cs="Arial"/>
          <w:color w:val="000000" w:themeColor="text1"/>
        </w:rPr>
      </w:pPr>
      <w:r>
        <w:rPr>
          <w:rFonts w:cs="Arial"/>
          <w:color w:val="000000" w:themeColor="text1"/>
        </w:rPr>
        <w:t>Prestar servicios profesionales especializados de (17) personas de apoyo a la vicepresidencia de contratos de hidrocarburos, en el seguimiento y control al cumplimiento de los compromisos de los contratos de E&amp;P, contratos de evaluación técnica y convenios, de conformidad con las obligaciones contractuales, la normatividad que es aplicable y la política que en materia de hidrocarburos dicte el gobierno nacional.</w:t>
      </w:r>
    </w:p>
    <w:p w14:paraId="038B481A" w14:textId="77777777" w:rsidR="007A1B63" w:rsidRDefault="007A1B63" w:rsidP="008B4625">
      <w:pPr>
        <w:pStyle w:val="Prrafodelista"/>
        <w:numPr>
          <w:ilvl w:val="0"/>
          <w:numId w:val="42"/>
        </w:numPr>
        <w:suppressAutoHyphens/>
        <w:autoSpaceDN w:val="0"/>
        <w:spacing w:after="0" w:line="240" w:lineRule="auto"/>
        <w:jc w:val="both"/>
        <w:rPr>
          <w:rFonts w:cs="Arial"/>
          <w:color w:val="000000" w:themeColor="text1"/>
        </w:rPr>
      </w:pPr>
      <w:r>
        <w:rPr>
          <w:rFonts w:cs="Arial"/>
          <w:color w:val="000000" w:themeColor="text1"/>
        </w:rPr>
        <w:t>Prestar servicios profesionales de (4) personas de apoyo a la vicepresidencia de contratos de hidrocarburos, en el seguimiento y control al cumplimiento de los compromisos de los contratos de E&amp;P, contratos de evaluación técnica y convenios, de conformidad con las obligaciones contractuales, la normatividad que es aplicable y la política que en materia de hidrocarburos dicte el gobierno nacional.</w:t>
      </w:r>
    </w:p>
    <w:p w14:paraId="3A49AAFB" w14:textId="77777777" w:rsidR="007A1B63" w:rsidRDefault="007A1B63" w:rsidP="008B4625">
      <w:pPr>
        <w:pStyle w:val="Prrafodelista"/>
        <w:numPr>
          <w:ilvl w:val="0"/>
          <w:numId w:val="42"/>
        </w:numPr>
        <w:suppressAutoHyphens/>
        <w:autoSpaceDN w:val="0"/>
        <w:spacing w:after="0" w:line="240" w:lineRule="auto"/>
        <w:jc w:val="both"/>
        <w:rPr>
          <w:rFonts w:cs="Arial"/>
          <w:color w:val="000000" w:themeColor="text1"/>
        </w:rPr>
      </w:pPr>
      <w:r>
        <w:rPr>
          <w:rFonts w:cs="Arial"/>
          <w:color w:val="000000" w:themeColor="text1"/>
        </w:rPr>
        <w:t>Brindar apoyo técnico de (1) persona a la vicepresidencia de contratos de hidrocarburos en el desarrollo de las actividades administrativas a cargo del mismo.</w:t>
      </w:r>
    </w:p>
    <w:p w14:paraId="76FC5619" w14:textId="77777777" w:rsidR="007A1B63" w:rsidRDefault="007A1B63" w:rsidP="008B4625">
      <w:pPr>
        <w:pStyle w:val="Prrafodelista"/>
        <w:numPr>
          <w:ilvl w:val="0"/>
          <w:numId w:val="42"/>
        </w:numPr>
        <w:suppressAutoHyphens/>
        <w:autoSpaceDN w:val="0"/>
        <w:spacing w:after="0" w:line="240" w:lineRule="auto"/>
        <w:jc w:val="both"/>
        <w:rPr>
          <w:rFonts w:cs="Arial"/>
          <w:color w:val="000000" w:themeColor="text1"/>
        </w:rPr>
      </w:pPr>
      <w:r>
        <w:rPr>
          <w:rFonts w:cs="Arial"/>
          <w:color w:val="000000" w:themeColor="text1"/>
        </w:rPr>
        <w:t>Prestar servicios profesionales de (1) persona de apoyo a los coordinadores de seguimiento de contratos de hidrocarburos, en la revisión y control al cumplimiento de los compromisos de los contratos de E&amp;P, contratos de evaluación técnica y convenios, de conformidad con las obligaciones contractuales, la normatividad que es aplicable y la política que en materia de hidrocarburos dicte el gobierno nacional.</w:t>
      </w:r>
    </w:p>
    <w:p w14:paraId="518033E4" w14:textId="77777777" w:rsidR="007A1B63" w:rsidRDefault="007A1B63" w:rsidP="007A1B63">
      <w:pPr>
        <w:jc w:val="both"/>
        <w:rPr>
          <w:rFonts w:ascii="Arial" w:hAnsi="Arial" w:cs="Arial"/>
          <w:color w:val="000000" w:themeColor="text1"/>
        </w:rPr>
      </w:pPr>
    </w:p>
    <w:p w14:paraId="4AEBB04F" w14:textId="77777777" w:rsidR="007A1B63" w:rsidRDefault="007A1B63" w:rsidP="007A1B63">
      <w:pPr>
        <w:jc w:val="both"/>
        <w:rPr>
          <w:rFonts w:ascii="Arial" w:eastAsia="Calibri" w:hAnsi="Arial" w:cs="Arial"/>
          <w:color w:val="000000" w:themeColor="text1"/>
          <w:lang w:eastAsia="es-CO"/>
        </w:rPr>
      </w:pPr>
      <w:r>
        <w:rPr>
          <w:rFonts w:ascii="Arial" w:hAnsi="Arial" w:cs="Arial"/>
          <w:color w:val="000000" w:themeColor="text1"/>
        </w:rPr>
        <w:t xml:space="preserve">En la vigencia 2018, </w:t>
      </w:r>
      <w:r>
        <w:rPr>
          <w:rFonts w:ascii="Arial" w:eastAsia="Calibri" w:hAnsi="Arial" w:cs="Arial"/>
          <w:color w:val="000000" w:themeColor="text1"/>
        </w:rPr>
        <w:t xml:space="preserve">se comprometió el 94% de los recursos apropiados, correspondientes a  </w:t>
      </w:r>
      <w:r>
        <w:rPr>
          <w:rFonts w:ascii="Arial" w:eastAsia="Calibri" w:hAnsi="Arial" w:cs="Arial"/>
          <w:b/>
          <w:bCs/>
          <w:color w:val="000000" w:themeColor="text1"/>
        </w:rPr>
        <w:t xml:space="preserve"> </w:t>
      </w:r>
      <w:r>
        <w:rPr>
          <w:rFonts w:ascii="Arial" w:hAnsi="Arial" w:cs="Arial"/>
          <w:color w:val="000000" w:themeColor="text1"/>
        </w:rPr>
        <w:t>$3.296</w:t>
      </w:r>
      <w:r>
        <w:rPr>
          <w:rFonts w:ascii="Arial" w:eastAsia="Calibri" w:hAnsi="Arial" w:cs="Arial"/>
          <w:b/>
          <w:bCs/>
          <w:color w:val="000000" w:themeColor="text1"/>
        </w:rPr>
        <w:t xml:space="preserve"> </w:t>
      </w:r>
      <w:r>
        <w:rPr>
          <w:rFonts w:ascii="Arial" w:eastAsia="Calibri" w:hAnsi="Arial" w:cs="Arial"/>
          <w:color w:val="000000" w:themeColor="text1"/>
        </w:rPr>
        <w:t>millones de pesos, orientados a la suscripción de 33 contratos de prestación de servicios profesionales para apoyar al Grupo Interno de Trabajo –GIT – Gerencia de Seguimiento de Contratos en Producción y gestión al cumplimiento de las obligaciones establecidas a cargo de las Operadoras en los Contratos de Hidrocarburos.</w:t>
      </w:r>
    </w:p>
    <w:p w14:paraId="402B4BD5" w14:textId="77777777" w:rsidR="007A1B63" w:rsidRDefault="007A1B63" w:rsidP="007A1B63">
      <w:pPr>
        <w:jc w:val="both"/>
        <w:rPr>
          <w:rFonts w:ascii="Arial" w:hAnsi="Arial" w:cs="Arial"/>
          <w:color w:val="000000" w:themeColor="text1"/>
          <w:lang w:val="es-MX" w:eastAsia="es-ES"/>
        </w:rPr>
      </w:pPr>
      <w:r>
        <w:rPr>
          <w:rFonts w:ascii="Arial" w:hAnsi="Arial" w:cs="Arial"/>
          <w:color w:val="000000" w:themeColor="text1"/>
          <w:lang w:val="es-MX" w:eastAsia="es-ES"/>
        </w:rPr>
        <w:t xml:space="preserve">Las contrataciones arriba mencionadas, son fundamentales para alcanzar los objetivos misionales de la ANH, del sector y de las metas del Gobierno, toda vez que a partir del seguimiento y control oportuno se garantiza el cumplimiento de las obligaciones contractuales, se posibilita la incorporación de reservas y con ello el mantenimiento de la producción de hidrocarburos, permitiendo prolongar el horizonte de autoabastecimiento y excedentes para </w:t>
      </w:r>
      <w:r>
        <w:rPr>
          <w:rFonts w:ascii="Arial" w:hAnsi="Arial" w:cs="Arial"/>
          <w:color w:val="000000" w:themeColor="text1"/>
          <w:lang w:val="es-MX" w:eastAsia="es-ES"/>
        </w:rPr>
        <w:lastRenderedPageBreak/>
        <w:t>exportación, lo que se traduce en la generación de recursos económicos para el Estado, representados en regalías, impuestos y derechos económicos.</w:t>
      </w:r>
    </w:p>
    <w:p w14:paraId="6CD40B70" w14:textId="77777777" w:rsidR="007A1B63" w:rsidRDefault="007A1B63" w:rsidP="007A1B63">
      <w:pPr>
        <w:jc w:val="both"/>
        <w:rPr>
          <w:rFonts w:ascii="Arial" w:hAnsi="Arial" w:cs="Arial"/>
          <w:color w:val="000000" w:themeColor="text1"/>
          <w:lang w:val="es-ES" w:eastAsia="es-ES"/>
        </w:rPr>
      </w:pPr>
      <w:r>
        <w:rPr>
          <w:rFonts w:ascii="Arial" w:hAnsi="Arial" w:cs="Arial"/>
          <w:color w:val="000000" w:themeColor="text1"/>
          <w:lang w:val="es-ES" w:eastAsia="es-ES"/>
        </w:rPr>
        <w:t>A 30 de junio se alcanzó un nivel de compromisos presupuestales del orden del 94% y 36% en pagos, respecto a la apropiación inicial establecida para la Gerencia de Seguimiento a Contratos en Producción, como se observa a continuación.</w:t>
      </w:r>
    </w:p>
    <w:p w14:paraId="3E539A6E" w14:textId="77777777" w:rsidR="007A1B63" w:rsidRDefault="007A1B63" w:rsidP="007A1B63">
      <w:pPr>
        <w:jc w:val="both"/>
        <w:rPr>
          <w:rFonts w:ascii="Arial" w:hAnsi="Arial" w:cs="Arial"/>
          <w:color w:val="000000" w:themeColor="text1"/>
          <w:lang w:val="es-ES" w:eastAsia="es-ES"/>
        </w:rPr>
      </w:pPr>
    </w:p>
    <w:p w14:paraId="40A21A8E" w14:textId="6C872B68" w:rsidR="00C02282" w:rsidRPr="007A1B63" w:rsidRDefault="007A1B63" w:rsidP="007A1B63">
      <w:pPr>
        <w:pStyle w:val="Descripcin"/>
        <w:keepNext/>
        <w:jc w:val="center"/>
      </w:pPr>
      <w:r w:rsidRPr="007A1B63">
        <w:t xml:space="preserve"> </w:t>
      </w:r>
      <w:bookmarkStart w:id="158" w:name="_Toc525652526"/>
      <w:r w:rsidR="00C02282" w:rsidRPr="007A1B63">
        <w:t xml:space="preserve">Tabla </w:t>
      </w:r>
      <w:r w:rsidR="00C02282" w:rsidRPr="007A1B63">
        <w:fldChar w:fldCharType="begin"/>
      </w:r>
      <w:r w:rsidR="00C02282" w:rsidRPr="007A1B63">
        <w:instrText xml:space="preserve"> SEQ Tabla \* ARABIC </w:instrText>
      </w:r>
      <w:r w:rsidR="00C02282" w:rsidRPr="007A1B63">
        <w:fldChar w:fldCharType="separate"/>
      </w:r>
      <w:r w:rsidR="008B4625">
        <w:rPr>
          <w:noProof/>
        </w:rPr>
        <w:t>81</w:t>
      </w:r>
      <w:r w:rsidR="00C02282" w:rsidRPr="007A1B63">
        <w:fldChar w:fldCharType="end"/>
      </w:r>
      <w:r w:rsidRPr="007A1B63">
        <w:t xml:space="preserve"> </w:t>
      </w:r>
      <w:r w:rsidR="00C02282" w:rsidRPr="007A1B63">
        <w:t>Ejecución Gastos de Comercialización y Producción – Seguimiento Contratos en producción 3</w:t>
      </w:r>
      <w:r w:rsidRPr="007A1B63">
        <w:t>0 de junio de 2018</w:t>
      </w:r>
      <w:r w:rsidR="00C02282" w:rsidRPr="007A1B63">
        <w:t xml:space="preserve"> ANH</w:t>
      </w:r>
      <w:bookmarkEnd w:id="158"/>
    </w:p>
    <w:tbl>
      <w:tblPr>
        <w:tblW w:w="9391" w:type="dxa"/>
        <w:tblInd w:w="-10" w:type="dxa"/>
        <w:tblCellMar>
          <w:left w:w="70" w:type="dxa"/>
          <w:right w:w="70" w:type="dxa"/>
        </w:tblCellMar>
        <w:tblLook w:val="04A0" w:firstRow="1" w:lastRow="0" w:firstColumn="1" w:lastColumn="0" w:noHBand="0" w:noVBand="1"/>
      </w:tblPr>
      <w:tblGrid>
        <w:gridCol w:w="1741"/>
        <w:gridCol w:w="985"/>
        <w:gridCol w:w="705"/>
        <w:gridCol w:w="914"/>
        <w:gridCol w:w="722"/>
        <w:gridCol w:w="1021"/>
        <w:gridCol w:w="633"/>
        <w:gridCol w:w="968"/>
        <w:gridCol w:w="654"/>
        <w:gridCol w:w="1048"/>
      </w:tblGrid>
      <w:tr w:rsidR="007A1B63" w14:paraId="0B7841B7" w14:textId="77777777" w:rsidTr="007A1B63">
        <w:trPr>
          <w:trHeight w:val="351"/>
        </w:trPr>
        <w:tc>
          <w:tcPr>
            <w:tcW w:w="2726" w:type="dxa"/>
            <w:gridSpan w:val="2"/>
            <w:tcBorders>
              <w:top w:val="single" w:sz="8" w:space="0" w:color="auto"/>
              <w:left w:val="single" w:sz="8" w:space="0" w:color="auto"/>
              <w:bottom w:val="single" w:sz="8" w:space="0" w:color="auto"/>
              <w:right w:val="single" w:sz="8" w:space="0" w:color="000000"/>
            </w:tcBorders>
            <w:shd w:val="clear" w:color="auto" w:fill="4F81BD" w:themeFill="accent1"/>
            <w:vAlign w:val="center"/>
            <w:hideMark/>
          </w:tcPr>
          <w:p w14:paraId="0535AAAC"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w:t>
            </w:r>
          </w:p>
        </w:tc>
        <w:tc>
          <w:tcPr>
            <w:tcW w:w="1619"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76E14CAB"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Disponibilidad acumulada</w:t>
            </w:r>
          </w:p>
        </w:tc>
        <w:tc>
          <w:tcPr>
            <w:tcW w:w="1743"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3C472133"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Compromisos acumulados</w:t>
            </w:r>
          </w:p>
        </w:tc>
        <w:tc>
          <w:tcPr>
            <w:tcW w:w="1601"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0FD17CB8"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Obligaciones acumuladas</w:t>
            </w:r>
          </w:p>
        </w:tc>
        <w:tc>
          <w:tcPr>
            <w:tcW w:w="1702"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72AA547D"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Pagos acumulados</w:t>
            </w:r>
          </w:p>
        </w:tc>
      </w:tr>
      <w:tr w:rsidR="007A1B63" w14:paraId="293419EF" w14:textId="77777777" w:rsidTr="00A3028C">
        <w:trPr>
          <w:trHeight w:val="561"/>
        </w:trPr>
        <w:tc>
          <w:tcPr>
            <w:tcW w:w="1741" w:type="dxa"/>
            <w:tcBorders>
              <w:top w:val="nil"/>
              <w:left w:val="single" w:sz="8" w:space="0" w:color="auto"/>
              <w:bottom w:val="nil"/>
              <w:right w:val="single" w:sz="8" w:space="0" w:color="auto"/>
            </w:tcBorders>
            <w:shd w:val="clear" w:color="auto" w:fill="548DD4" w:themeFill="text2" w:themeFillTint="99"/>
            <w:vAlign w:val="center"/>
            <w:hideMark/>
          </w:tcPr>
          <w:p w14:paraId="1F7DB82A"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Descripción</w:t>
            </w:r>
          </w:p>
        </w:tc>
        <w:tc>
          <w:tcPr>
            <w:tcW w:w="985" w:type="dxa"/>
            <w:tcBorders>
              <w:top w:val="nil"/>
              <w:left w:val="nil"/>
              <w:bottom w:val="nil"/>
              <w:right w:val="single" w:sz="8" w:space="0" w:color="auto"/>
            </w:tcBorders>
            <w:shd w:val="clear" w:color="auto" w:fill="548DD4" w:themeFill="text2" w:themeFillTint="99"/>
            <w:vAlign w:val="center"/>
            <w:hideMark/>
          </w:tcPr>
          <w:p w14:paraId="350EDCF4"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Apropiación Disponible</w:t>
            </w:r>
          </w:p>
        </w:tc>
        <w:tc>
          <w:tcPr>
            <w:tcW w:w="705" w:type="dxa"/>
            <w:tcBorders>
              <w:top w:val="nil"/>
              <w:left w:val="nil"/>
              <w:bottom w:val="nil"/>
              <w:right w:val="single" w:sz="8" w:space="0" w:color="auto"/>
            </w:tcBorders>
            <w:shd w:val="clear" w:color="auto" w:fill="548DD4" w:themeFill="text2" w:themeFillTint="99"/>
            <w:vAlign w:val="center"/>
            <w:hideMark/>
          </w:tcPr>
          <w:p w14:paraId="163F513D"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I</w:t>
            </w:r>
          </w:p>
        </w:tc>
        <w:tc>
          <w:tcPr>
            <w:tcW w:w="914" w:type="dxa"/>
            <w:tcBorders>
              <w:top w:val="nil"/>
              <w:left w:val="nil"/>
              <w:bottom w:val="nil"/>
              <w:right w:val="single" w:sz="8" w:space="0" w:color="auto"/>
            </w:tcBorders>
            <w:shd w:val="clear" w:color="auto" w:fill="548DD4" w:themeFill="text2" w:themeFillTint="99"/>
            <w:vAlign w:val="center"/>
            <w:hideMark/>
          </w:tcPr>
          <w:p w14:paraId="161C4769"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Disp</w:t>
            </w:r>
            <w:proofErr w:type="spellEnd"/>
            <w:r>
              <w:rPr>
                <w:rFonts w:ascii="Arial" w:hAnsi="Arial" w:cs="Arial"/>
                <w:color w:val="000000" w:themeColor="text1"/>
                <w:sz w:val="16"/>
                <w:szCs w:val="16"/>
              </w:rPr>
              <w:t>/</w:t>
            </w:r>
            <w:proofErr w:type="spellStart"/>
            <w:r>
              <w:rPr>
                <w:rFonts w:ascii="Arial" w:hAnsi="Arial" w:cs="Arial"/>
                <w:color w:val="000000" w:themeColor="text1"/>
                <w:sz w:val="16"/>
                <w:szCs w:val="16"/>
              </w:rPr>
              <w:t>aprop</w:t>
            </w:r>
            <w:proofErr w:type="spellEnd"/>
          </w:p>
        </w:tc>
        <w:tc>
          <w:tcPr>
            <w:tcW w:w="722" w:type="dxa"/>
            <w:tcBorders>
              <w:top w:val="nil"/>
              <w:left w:val="nil"/>
              <w:bottom w:val="nil"/>
              <w:right w:val="single" w:sz="8" w:space="0" w:color="auto"/>
            </w:tcBorders>
            <w:shd w:val="clear" w:color="auto" w:fill="548DD4" w:themeFill="text2" w:themeFillTint="99"/>
            <w:vAlign w:val="center"/>
            <w:hideMark/>
          </w:tcPr>
          <w:p w14:paraId="55EC4E1A"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xml:space="preserve"> I</w:t>
            </w:r>
          </w:p>
        </w:tc>
        <w:tc>
          <w:tcPr>
            <w:tcW w:w="1021" w:type="dxa"/>
            <w:tcBorders>
              <w:top w:val="nil"/>
              <w:left w:val="nil"/>
              <w:bottom w:val="nil"/>
              <w:right w:val="single" w:sz="8" w:space="0" w:color="auto"/>
            </w:tcBorders>
            <w:shd w:val="clear" w:color="auto" w:fill="548DD4" w:themeFill="text2" w:themeFillTint="99"/>
            <w:vAlign w:val="center"/>
            <w:hideMark/>
          </w:tcPr>
          <w:p w14:paraId="657D15CF"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Comp</w:t>
            </w:r>
            <w:proofErr w:type="spellEnd"/>
            <w:r>
              <w:rPr>
                <w:rFonts w:ascii="Arial" w:hAnsi="Arial" w:cs="Arial"/>
                <w:color w:val="000000" w:themeColor="text1"/>
                <w:sz w:val="16"/>
                <w:szCs w:val="16"/>
              </w:rPr>
              <w:t>/</w:t>
            </w:r>
            <w:proofErr w:type="spellStart"/>
            <w:r>
              <w:rPr>
                <w:rFonts w:ascii="Arial" w:hAnsi="Arial" w:cs="Arial"/>
                <w:color w:val="000000" w:themeColor="text1"/>
                <w:sz w:val="16"/>
                <w:szCs w:val="16"/>
              </w:rPr>
              <w:t>aprop</w:t>
            </w:r>
            <w:proofErr w:type="spellEnd"/>
          </w:p>
        </w:tc>
        <w:tc>
          <w:tcPr>
            <w:tcW w:w="633" w:type="dxa"/>
            <w:tcBorders>
              <w:top w:val="nil"/>
              <w:left w:val="nil"/>
              <w:bottom w:val="nil"/>
              <w:right w:val="single" w:sz="8" w:space="0" w:color="auto"/>
            </w:tcBorders>
            <w:shd w:val="clear" w:color="auto" w:fill="548DD4" w:themeFill="text2" w:themeFillTint="99"/>
            <w:vAlign w:val="center"/>
            <w:hideMark/>
          </w:tcPr>
          <w:p w14:paraId="0ABA824A"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xml:space="preserve"> I</w:t>
            </w:r>
          </w:p>
        </w:tc>
        <w:tc>
          <w:tcPr>
            <w:tcW w:w="968" w:type="dxa"/>
            <w:tcBorders>
              <w:top w:val="nil"/>
              <w:left w:val="nil"/>
              <w:bottom w:val="nil"/>
              <w:right w:val="single" w:sz="8" w:space="0" w:color="auto"/>
            </w:tcBorders>
            <w:shd w:val="clear" w:color="auto" w:fill="548DD4" w:themeFill="text2" w:themeFillTint="99"/>
            <w:vAlign w:val="center"/>
            <w:hideMark/>
          </w:tcPr>
          <w:p w14:paraId="30250D6D"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Oblig</w:t>
            </w:r>
            <w:proofErr w:type="spellEnd"/>
            <w:r>
              <w:rPr>
                <w:rFonts w:ascii="Arial" w:hAnsi="Arial" w:cs="Arial"/>
                <w:color w:val="000000" w:themeColor="text1"/>
                <w:sz w:val="16"/>
                <w:szCs w:val="16"/>
              </w:rPr>
              <w:t>/</w:t>
            </w:r>
            <w:proofErr w:type="spellStart"/>
            <w:r>
              <w:rPr>
                <w:rFonts w:ascii="Arial" w:hAnsi="Arial" w:cs="Arial"/>
                <w:color w:val="000000" w:themeColor="text1"/>
                <w:sz w:val="16"/>
                <w:szCs w:val="16"/>
              </w:rPr>
              <w:t>aprop</w:t>
            </w:r>
            <w:proofErr w:type="spellEnd"/>
          </w:p>
        </w:tc>
        <w:tc>
          <w:tcPr>
            <w:tcW w:w="654" w:type="dxa"/>
            <w:tcBorders>
              <w:top w:val="nil"/>
              <w:left w:val="nil"/>
              <w:bottom w:val="nil"/>
              <w:right w:val="single" w:sz="8" w:space="0" w:color="auto"/>
            </w:tcBorders>
            <w:shd w:val="clear" w:color="auto" w:fill="548DD4" w:themeFill="text2" w:themeFillTint="99"/>
            <w:vAlign w:val="center"/>
            <w:hideMark/>
          </w:tcPr>
          <w:p w14:paraId="1880DF73"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xml:space="preserve"> I</w:t>
            </w:r>
          </w:p>
        </w:tc>
        <w:tc>
          <w:tcPr>
            <w:tcW w:w="1048" w:type="dxa"/>
            <w:tcBorders>
              <w:top w:val="nil"/>
              <w:left w:val="nil"/>
              <w:bottom w:val="nil"/>
              <w:right w:val="single" w:sz="8" w:space="0" w:color="auto"/>
            </w:tcBorders>
            <w:shd w:val="clear" w:color="auto" w:fill="548DD4" w:themeFill="text2" w:themeFillTint="99"/>
            <w:vAlign w:val="center"/>
            <w:hideMark/>
          </w:tcPr>
          <w:p w14:paraId="2308F1E1"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Pagos/</w:t>
            </w:r>
            <w:proofErr w:type="spellStart"/>
            <w:r>
              <w:rPr>
                <w:rFonts w:ascii="Arial" w:hAnsi="Arial" w:cs="Arial"/>
                <w:color w:val="000000" w:themeColor="text1"/>
                <w:sz w:val="16"/>
                <w:szCs w:val="16"/>
              </w:rPr>
              <w:t>aprop</w:t>
            </w:r>
            <w:proofErr w:type="spellEnd"/>
          </w:p>
        </w:tc>
      </w:tr>
      <w:tr w:rsidR="007A1B63" w14:paraId="4D9DC912" w14:textId="77777777" w:rsidTr="007A1B63">
        <w:trPr>
          <w:trHeight w:val="676"/>
        </w:trPr>
        <w:tc>
          <w:tcPr>
            <w:tcW w:w="1741" w:type="dxa"/>
            <w:tcBorders>
              <w:top w:val="single" w:sz="8" w:space="0" w:color="auto"/>
              <w:left w:val="single" w:sz="8" w:space="0" w:color="auto"/>
              <w:bottom w:val="single" w:sz="8" w:space="0" w:color="auto"/>
              <w:right w:val="single" w:sz="8" w:space="0" w:color="auto"/>
            </w:tcBorders>
            <w:shd w:val="clear" w:color="auto" w:fill="FFFFFF"/>
            <w:hideMark/>
          </w:tcPr>
          <w:p w14:paraId="4ED3AD75" w14:textId="77777777" w:rsidR="007A1B63" w:rsidRDefault="007A1B63">
            <w:pPr>
              <w:rPr>
                <w:rFonts w:ascii="Arial" w:hAnsi="Arial" w:cs="Arial"/>
                <w:b/>
                <w:bCs/>
                <w:color w:val="000000" w:themeColor="text1"/>
                <w:sz w:val="14"/>
                <w:szCs w:val="14"/>
              </w:rPr>
            </w:pPr>
            <w:r>
              <w:rPr>
                <w:rFonts w:ascii="Arial" w:hAnsi="Arial" w:cs="Arial"/>
                <w:b/>
                <w:bCs/>
                <w:color w:val="000000" w:themeColor="text1"/>
                <w:sz w:val="14"/>
                <w:szCs w:val="14"/>
              </w:rPr>
              <w:t>Funcionamiento - GASTOS DE COMERCIALIZACION Y PRODUCCION</w:t>
            </w:r>
          </w:p>
        </w:tc>
        <w:tc>
          <w:tcPr>
            <w:tcW w:w="985" w:type="dxa"/>
            <w:tcBorders>
              <w:top w:val="single" w:sz="8" w:space="0" w:color="auto"/>
              <w:left w:val="nil"/>
              <w:bottom w:val="single" w:sz="8" w:space="0" w:color="auto"/>
              <w:right w:val="nil"/>
            </w:tcBorders>
            <w:shd w:val="clear" w:color="auto" w:fill="FFFFFF"/>
            <w:vAlign w:val="center"/>
            <w:hideMark/>
          </w:tcPr>
          <w:p w14:paraId="29B22DDC"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$ 3.495</w:t>
            </w:r>
          </w:p>
        </w:tc>
        <w:tc>
          <w:tcPr>
            <w:tcW w:w="705" w:type="dxa"/>
            <w:tcBorders>
              <w:top w:val="single" w:sz="8" w:space="0" w:color="auto"/>
              <w:left w:val="single" w:sz="8" w:space="0" w:color="auto"/>
              <w:bottom w:val="single" w:sz="8" w:space="0" w:color="auto"/>
              <w:right w:val="nil"/>
            </w:tcBorders>
            <w:shd w:val="clear" w:color="auto" w:fill="FFFFFF"/>
            <w:vAlign w:val="center"/>
            <w:hideMark/>
          </w:tcPr>
          <w:p w14:paraId="339607EC"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$ 3.295</w:t>
            </w:r>
          </w:p>
        </w:tc>
        <w:tc>
          <w:tcPr>
            <w:tcW w:w="914" w:type="dxa"/>
            <w:tcBorders>
              <w:top w:val="single" w:sz="8" w:space="0" w:color="auto"/>
              <w:left w:val="single" w:sz="8" w:space="0" w:color="auto"/>
              <w:bottom w:val="single" w:sz="8" w:space="0" w:color="auto"/>
              <w:right w:val="nil"/>
            </w:tcBorders>
            <w:shd w:val="clear" w:color="auto" w:fill="FFFFFF"/>
            <w:vAlign w:val="center"/>
            <w:hideMark/>
          </w:tcPr>
          <w:p w14:paraId="1DBAA8A7"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94%</w:t>
            </w:r>
          </w:p>
        </w:tc>
        <w:tc>
          <w:tcPr>
            <w:tcW w:w="722" w:type="dxa"/>
            <w:tcBorders>
              <w:top w:val="single" w:sz="8" w:space="0" w:color="auto"/>
              <w:left w:val="single" w:sz="8" w:space="0" w:color="auto"/>
              <w:bottom w:val="single" w:sz="8" w:space="0" w:color="auto"/>
              <w:right w:val="nil"/>
            </w:tcBorders>
            <w:shd w:val="clear" w:color="auto" w:fill="FFFFFF"/>
            <w:vAlign w:val="center"/>
            <w:hideMark/>
          </w:tcPr>
          <w:p w14:paraId="1CE4BFD3"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$ 3.280</w:t>
            </w:r>
          </w:p>
        </w:tc>
        <w:tc>
          <w:tcPr>
            <w:tcW w:w="1021" w:type="dxa"/>
            <w:tcBorders>
              <w:top w:val="single" w:sz="8" w:space="0" w:color="auto"/>
              <w:left w:val="single" w:sz="8" w:space="0" w:color="auto"/>
              <w:bottom w:val="single" w:sz="8" w:space="0" w:color="auto"/>
              <w:right w:val="nil"/>
            </w:tcBorders>
            <w:shd w:val="clear" w:color="auto" w:fill="FFFFFF"/>
            <w:vAlign w:val="center"/>
            <w:hideMark/>
          </w:tcPr>
          <w:p w14:paraId="0E9FBB20"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94%</w:t>
            </w:r>
          </w:p>
        </w:tc>
        <w:tc>
          <w:tcPr>
            <w:tcW w:w="633" w:type="dxa"/>
            <w:tcBorders>
              <w:top w:val="single" w:sz="8" w:space="0" w:color="auto"/>
              <w:left w:val="single" w:sz="8" w:space="0" w:color="auto"/>
              <w:bottom w:val="single" w:sz="8" w:space="0" w:color="auto"/>
              <w:right w:val="nil"/>
            </w:tcBorders>
            <w:shd w:val="clear" w:color="auto" w:fill="FFFFFF"/>
            <w:vAlign w:val="center"/>
            <w:hideMark/>
          </w:tcPr>
          <w:p w14:paraId="20DA7A51"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$ 1.244</w:t>
            </w:r>
          </w:p>
        </w:tc>
        <w:tc>
          <w:tcPr>
            <w:tcW w:w="968" w:type="dxa"/>
            <w:tcBorders>
              <w:top w:val="single" w:sz="8" w:space="0" w:color="auto"/>
              <w:left w:val="single" w:sz="8" w:space="0" w:color="auto"/>
              <w:bottom w:val="single" w:sz="8" w:space="0" w:color="auto"/>
              <w:right w:val="nil"/>
            </w:tcBorders>
            <w:shd w:val="clear" w:color="auto" w:fill="FFFFFF"/>
            <w:vAlign w:val="center"/>
            <w:hideMark/>
          </w:tcPr>
          <w:p w14:paraId="78933809"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36%</w:t>
            </w:r>
          </w:p>
        </w:tc>
        <w:tc>
          <w:tcPr>
            <w:tcW w:w="654" w:type="dxa"/>
            <w:tcBorders>
              <w:top w:val="single" w:sz="8" w:space="0" w:color="auto"/>
              <w:left w:val="single" w:sz="8" w:space="0" w:color="auto"/>
              <w:bottom w:val="single" w:sz="8" w:space="0" w:color="auto"/>
              <w:right w:val="nil"/>
            </w:tcBorders>
            <w:shd w:val="clear" w:color="auto" w:fill="FFFFFF"/>
            <w:vAlign w:val="center"/>
            <w:hideMark/>
          </w:tcPr>
          <w:p w14:paraId="42D99D77"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$ 1.244</w:t>
            </w:r>
          </w:p>
        </w:tc>
        <w:tc>
          <w:tcPr>
            <w:tcW w:w="104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17AC329" w14:textId="77777777" w:rsidR="007A1B63" w:rsidRDefault="007A1B63">
            <w:pPr>
              <w:jc w:val="center"/>
              <w:rPr>
                <w:rFonts w:ascii="Arial" w:hAnsi="Arial" w:cs="Arial"/>
                <w:b/>
                <w:bCs/>
                <w:color w:val="000000" w:themeColor="text1"/>
                <w:sz w:val="14"/>
                <w:szCs w:val="14"/>
              </w:rPr>
            </w:pPr>
            <w:r>
              <w:rPr>
                <w:rFonts w:ascii="Arial" w:hAnsi="Arial" w:cs="Arial"/>
                <w:b/>
                <w:bCs/>
                <w:color w:val="000000" w:themeColor="text1"/>
                <w:sz w:val="14"/>
                <w:szCs w:val="14"/>
              </w:rPr>
              <w:t>36%</w:t>
            </w:r>
          </w:p>
        </w:tc>
      </w:tr>
    </w:tbl>
    <w:p w14:paraId="47FC7D94" w14:textId="393794D3" w:rsidR="00C02282" w:rsidRPr="007A1B63" w:rsidRDefault="007A1B63" w:rsidP="00C02282">
      <w:pPr>
        <w:spacing w:after="0" w:line="240" w:lineRule="auto"/>
        <w:jc w:val="center"/>
        <w:rPr>
          <w:rFonts w:ascii="Arial" w:eastAsia="Calibri" w:hAnsi="Arial" w:cs="Arial"/>
          <w:sz w:val="16"/>
          <w:szCs w:val="16"/>
        </w:rPr>
      </w:pPr>
      <w:r w:rsidRPr="00206A80">
        <w:rPr>
          <w:rFonts w:ascii="Arial" w:hAnsi="Arial" w:cs="Arial"/>
          <w:sz w:val="16"/>
          <w:szCs w:val="16"/>
          <w:lang w:eastAsia="es-ES"/>
        </w:rPr>
        <w:t xml:space="preserve"> </w:t>
      </w:r>
      <w:r w:rsidR="00C02282" w:rsidRPr="00206A80">
        <w:rPr>
          <w:rFonts w:ascii="Arial" w:hAnsi="Arial" w:cs="Arial"/>
          <w:sz w:val="16"/>
          <w:szCs w:val="16"/>
          <w:lang w:eastAsia="es-ES"/>
        </w:rPr>
        <w:t>Millones</w:t>
      </w:r>
      <w:r w:rsidR="00C02282" w:rsidRPr="007A1B63">
        <w:rPr>
          <w:rFonts w:ascii="Arial" w:hAnsi="Arial" w:cs="Arial"/>
          <w:sz w:val="16"/>
          <w:szCs w:val="16"/>
          <w:lang w:eastAsia="es-ES"/>
        </w:rPr>
        <w:t xml:space="preserve"> de pesos</w:t>
      </w:r>
    </w:p>
    <w:p w14:paraId="3C6A7613" w14:textId="77777777" w:rsidR="00C02282" w:rsidRPr="007A1B63" w:rsidRDefault="00C02282" w:rsidP="00C02282">
      <w:pPr>
        <w:jc w:val="center"/>
        <w:rPr>
          <w:rFonts w:ascii="Calibri" w:hAnsi="Calibri" w:cs="Calibri"/>
          <w:sz w:val="18"/>
          <w:szCs w:val="18"/>
        </w:rPr>
      </w:pPr>
      <w:r w:rsidRPr="007A1B63">
        <w:rPr>
          <w:rFonts w:ascii="Calibri" w:hAnsi="Calibri" w:cs="Calibri"/>
          <w:sz w:val="18"/>
          <w:szCs w:val="18"/>
        </w:rPr>
        <w:t>Fuente SIIF</w:t>
      </w:r>
    </w:p>
    <w:p w14:paraId="5B40928A" w14:textId="3B4C0235" w:rsidR="00C02282" w:rsidRPr="007A1B63" w:rsidRDefault="00C02282" w:rsidP="00C02282">
      <w:pPr>
        <w:pStyle w:val="Descripcin"/>
        <w:keepNext/>
        <w:jc w:val="center"/>
      </w:pPr>
      <w:bookmarkStart w:id="159" w:name="_Toc525652429"/>
      <w:r w:rsidRPr="007A1B63">
        <w:t xml:space="preserve">Gráfica </w:t>
      </w:r>
      <w:r w:rsidR="00B6251B">
        <w:fldChar w:fldCharType="begin"/>
      </w:r>
      <w:r w:rsidR="00B6251B">
        <w:instrText xml:space="preserve"> SEQ Gráfica \* ARABIC </w:instrText>
      </w:r>
      <w:r w:rsidR="00B6251B">
        <w:fldChar w:fldCharType="separate"/>
      </w:r>
      <w:r w:rsidR="00B6251B">
        <w:rPr>
          <w:noProof/>
        </w:rPr>
        <w:t>16</w:t>
      </w:r>
      <w:r w:rsidR="00B6251B">
        <w:fldChar w:fldCharType="end"/>
      </w:r>
      <w:r w:rsidRPr="007A1B63">
        <w:t xml:space="preserve"> Ejecución Gastos de Comercialización – Seguimiento Contratos de Exploración  ANH</w:t>
      </w:r>
      <w:bookmarkEnd w:id="159"/>
    </w:p>
    <w:p w14:paraId="57429797" w14:textId="67AD1BD3" w:rsidR="00C02282" w:rsidRPr="007A1B63" w:rsidRDefault="007A1B63" w:rsidP="00C02282">
      <w:pPr>
        <w:spacing w:after="0"/>
        <w:ind w:firstLine="708"/>
        <w:jc w:val="center"/>
        <w:rPr>
          <w:rFonts w:ascii="Arial" w:hAnsi="Arial" w:cs="Arial"/>
          <w:b/>
          <w:sz w:val="16"/>
          <w:szCs w:val="16"/>
        </w:rPr>
      </w:pPr>
      <w:r w:rsidRPr="007A1B63">
        <w:rPr>
          <w:noProof/>
          <w:lang w:eastAsia="es-CO"/>
        </w:rPr>
        <w:drawing>
          <wp:inline distT="0" distB="0" distL="0" distR="0" wp14:anchorId="77115520" wp14:editId="6EFBA6E8">
            <wp:extent cx="3876675" cy="2334895"/>
            <wp:effectExtent l="0" t="0" r="9525" b="8255"/>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2334895"/>
                    </a:xfrm>
                    <a:prstGeom prst="rect">
                      <a:avLst/>
                    </a:prstGeom>
                    <a:noFill/>
                  </pic:spPr>
                </pic:pic>
              </a:graphicData>
            </a:graphic>
          </wp:inline>
        </w:drawing>
      </w:r>
    </w:p>
    <w:p w14:paraId="1346042E" w14:textId="77777777" w:rsidR="00C02282" w:rsidRPr="007A1B63" w:rsidRDefault="00C02282" w:rsidP="007A1B63">
      <w:pPr>
        <w:spacing w:after="0"/>
        <w:jc w:val="center"/>
        <w:rPr>
          <w:rFonts w:ascii="Arial" w:hAnsi="Arial" w:cs="Arial"/>
          <w:lang w:val="es-ES" w:eastAsia="es-ES"/>
        </w:rPr>
      </w:pPr>
      <w:r w:rsidRPr="007A1B63">
        <w:rPr>
          <w:rFonts w:ascii="Arial" w:hAnsi="Arial" w:cs="Arial"/>
          <w:sz w:val="16"/>
          <w:szCs w:val="16"/>
        </w:rPr>
        <w:t>Fuente Seguimiento Contratos en Producción</w:t>
      </w:r>
    </w:p>
    <w:p w14:paraId="001B1CAD" w14:textId="0ADD68DE" w:rsidR="00C02282" w:rsidRDefault="00C02282" w:rsidP="00C02282">
      <w:pPr>
        <w:rPr>
          <w:rFonts w:ascii="Arial" w:hAnsi="Arial" w:cs="Arial"/>
          <w:b/>
        </w:rPr>
      </w:pPr>
    </w:p>
    <w:p w14:paraId="6B0CB0B0" w14:textId="16E1E20D" w:rsidR="006738BC" w:rsidRDefault="006738BC" w:rsidP="00C02282">
      <w:pPr>
        <w:rPr>
          <w:rFonts w:ascii="Arial" w:hAnsi="Arial" w:cs="Arial"/>
          <w:b/>
        </w:rPr>
      </w:pPr>
    </w:p>
    <w:p w14:paraId="72A9DC72" w14:textId="77777777" w:rsidR="006738BC" w:rsidRPr="007A1B63" w:rsidRDefault="006738BC" w:rsidP="00C02282">
      <w:pPr>
        <w:rPr>
          <w:rFonts w:ascii="Arial" w:hAnsi="Arial" w:cs="Arial"/>
          <w:b/>
        </w:rPr>
      </w:pPr>
    </w:p>
    <w:p w14:paraId="2B27C2A9" w14:textId="77777777" w:rsidR="00C02282" w:rsidRPr="007A1B63" w:rsidRDefault="00C02282" w:rsidP="00C02282">
      <w:pPr>
        <w:rPr>
          <w:rFonts w:ascii="Arial" w:hAnsi="Arial" w:cs="Arial"/>
          <w:b/>
          <w:color w:val="000000" w:themeColor="text1"/>
        </w:rPr>
      </w:pPr>
      <w:r w:rsidRPr="007A1B63">
        <w:rPr>
          <w:rFonts w:ascii="Arial" w:hAnsi="Arial" w:cs="Arial"/>
          <w:b/>
          <w:color w:val="000000" w:themeColor="text1"/>
        </w:rPr>
        <w:lastRenderedPageBreak/>
        <w:t>Seguridad, Comunidades y Medio Ambiente - Vicepresidencia de Contratos</w:t>
      </w:r>
    </w:p>
    <w:p w14:paraId="03151D31" w14:textId="77777777" w:rsidR="007A1B63" w:rsidRDefault="007A1B63" w:rsidP="007A1B63">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La Gerencia de Seguridad, Comunidades y Medio Ambiente, tiene como función realizar la gestión y el seguimiento al cumplimiento de los compromisos sociales, ambientales y del Sistema de Gestión en Seguridad y Salud en el Trabajo (SG-SST) de los contratos y convenios de exploración y producción y de los contratos de evaluación técnica, suscritos por la Agencia Nacional de Hidrocarburos, en cumplimiento de los requerimientos legales vigentes con miras a que el desarrollo del sector de hidrocarburos sea ambiental y socialmente sostenible</w:t>
      </w:r>
    </w:p>
    <w:p w14:paraId="7A44A57C" w14:textId="368D764A" w:rsidR="00206A80" w:rsidRDefault="007A1B63" w:rsidP="00206A80">
      <w:pPr>
        <w:suppressAutoHyphens/>
        <w:autoSpaceDN w:val="0"/>
        <w:spacing w:after="160" w:line="256" w:lineRule="auto"/>
        <w:contextualSpacing/>
        <w:jc w:val="both"/>
        <w:textAlignment w:val="baseline"/>
        <w:rPr>
          <w:rFonts w:ascii="Arial" w:hAnsi="Arial" w:cs="Arial"/>
          <w:i/>
          <w:color w:val="000000" w:themeColor="text1"/>
          <w:lang w:val="es-ES" w:eastAsia="es-ES"/>
        </w:rPr>
      </w:pPr>
      <w:r>
        <w:rPr>
          <w:rFonts w:ascii="Arial" w:hAnsi="Arial" w:cs="Arial"/>
          <w:color w:val="000000" w:themeColor="text1"/>
          <w:lang w:val="es-ES" w:eastAsia="es-ES"/>
        </w:rPr>
        <w:t xml:space="preserve">El seguimiento al cumplimiento de los compromisos ambientales y sociales supone ejercer la función de supervisión por parte del GIT de Seguridad, Comunidades y Medio Ambiente, la cual en los términos definidos por el artículo 83 de la Ley 1474 de 2011 </w:t>
      </w:r>
      <w:r>
        <w:rPr>
          <w:rFonts w:ascii="Arial" w:hAnsi="Arial" w:cs="Arial"/>
          <w:i/>
          <w:color w:val="000000" w:themeColor="text1"/>
          <w:lang w:val="es-ES" w:eastAsia="es-ES"/>
        </w:rPr>
        <w:t>“…consistirá en el seguimiento técnico, administrativo, financiero, contable y jurídico que, sobre el cumplimiento del objeto del contrato, es ejercida por la misma entidad estatal cuando no requieren conocimientos especializados. Para la supervisión, la Entidad estatal podrá contratar personal de apoyo, a través de los contratos de prestación de servicios que sean requeridos.”</w:t>
      </w:r>
    </w:p>
    <w:p w14:paraId="6BFFD29E" w14:textId="77777777" w:rsidR="00206A80" w:rsidRDefault="00206A80" w:rsidP="00206A80">
      <w:pPr>
        <w:suppressAutoHyphens/>
        <w:autoSpaceDN w:val="0"/>
        <w:spacing w:after="160" w:line="256" w:lineRule="auto"/>
        <w:contextualSpacing/>
        <w:jc w:val="both"/>
        <w:textAlignment w:val="baseline"/>
        <w:rPr>
          <w:rFonts w:ascii="Arial" w:hAnsi="Arial" w:cs="Arial"/>
          <w:color w:val="000000" w:themeColor="text1"/>
          <w:lang w:val="es-ES" w:eastAsia="es-ES"/>
        </w:rPr>
      </w:pPr>
    </w:p>
    <w:p w14:paraId="662D93A9" w14:textId="77777777" w:rsidR="007A1B63" w:rsidRDefault="007A1B63" w:rsidP="007A1B63">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 xml:space="preserve">Por otra parte, la ANH mediante la Resolución 012 del 19 de enero de 2007, adopta la Política </w:t>
      </w:r>
      <w:proofErr w:type="spellStart"/>
      <w:r>
        <w:rPr>
          <w:rFonts w:ascii="Arial" w:hAnsi="Arial" w:cs="Arial"/>
          <w:color w:val="000000" w:themeColor="text1"/>
          <w:lang w:val="es-ES" w:eastAsia="es-ES"/>
        </w:rPr>
        <w:t>Socioambiental</w:t>
      </w:r>
      <w:proofErr w:type="spellEnd"/>
      <w:r>
        <w:rPr>
          <w:rFonts w:ascii="Arial" w:hAnsi="Arial" w:cs="Arial"/>
          <w:color w:val="000000" w:themeColor="text1"/>
          <w:lang w:val="es-ES" w:eastAsia="es-ES"/>
        </w:rPr>
        <w:t xml:space="preserve"> de la ANH, la cual busca </w:t>
      </w:r>
      <w:r>
        <w:rPr>
          <w:rFonts w:ascii="Arial" w:hAnsi="Arial" w:cs="Arial"/>
          <w:i/>
          <w:color w:val="000000" w:themeColor="text1"/>
          <w:lang w:val="es-ES" w:eastAsia="es-ES"/>
        </w:rPr>
        <w:t>“Orientar y ordenar bajo el criterio de sostenibilidad ambiental y social el aprovechamiento de los recursos hidrocarburíferos del país, propiciando la participación y transparencia a todos los grupos de interés”</w:t>
      </w:r>
      <w:r>
        <w:rPr>
          <w:rFonts w:ascii="Arial" w:hAnsi="Arial" w:cs="Arial"/>
          <w:color w:val="000000" w:themeColor="text1"/>
          <w:lang w:val="es-ES" w:eastAsia="es-ES"/>
        </w:rPr>
        <w:t xml:space="preserve">. </w:t>
      </w:r>
    </w:p>
    <w:p w14:paraId="30B7BF09" w14:textId="77777777" w:rsidR="007A1B63" w:rsidRDefault="007A1B63" w:rsidP="007A1B63">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En este sentido, se hace necesario garantizar que las operaciones se desarrollen bajo estándares que permitan viabilizar las operaciones, en el marco del cumplimiento de la Ley y a su vez aportar a la conservación del medio ambiente, asegurando que la operación minimice los impactos negativos en su entorno y propiciando el respeto a los derechos de las comunidades ubicadas en las áreas de influencia de los proyectos.</w:t>
      </w:r>
    </w:p>
    <w:p w14:paraId="742A80CE" w14:textId="77777777" w:rsidR="007A1B63" w:rsidRDefault="007A1B63" w:rsidP="007A1B63">
      <w:pPr>
        <w:suppressAutoHyphens/>
        <w:autoSpaceDN w:val="0"/>
        <w:jc w:val="both"/>
        <w:textAlignment w:val="baseline"/>
        <w:rPr>
          <w:rFonts w:ascii="Arial" w:hAnsi="Arial" w:cs="Arial"/>
          <w:color w:val="000000" w:themeColor="text1"/>
          <w:lang w:val="es-ES" w:eastAsia="es-ES"/>
        </w:rPr>
      </w:pPr>
      <w:r>
        <w:rPr>
          <w:rFonts w:ascii="Arial" w:hAnsi="Arial" w:cs="Arial"/>
          <w:color w:val="000000" w:themeColor="text1"/>
          <w:lang w:val="es-ES" w:eastAsia="es-ES"/>
        </w:rPr>
        <w:t xml:space="preserve">En concordancia con lo anterior, los contratos hidrocarburíferos que suscribe la ANH incorporan, dentro de los compromisos que se le asignan al contratista, una serie de medidas y directrices en materia social, ambiental y del Sistema de Gestión en Seguridad y Salud en el Trabajo (SG-SST), que en primer lugar obedecen a los términos de Ley y además buscan que la operación </w:t>
      </w:r>
      <w:proofErr w:type="spellStart"/>
      <w:r>
        <w:rPr>
          <w:rFonts w:ascii="Arial" w:hAnsi="Arial" w:cs="Arial"/>
          <w:color w:val="000000" w:themeColor="text1"/>
          <w:lang w:val="es-ES" w:eastAsia="es-ES"/>
        </w:rPr>
        <w:t>Hidrocarburífera</w:t>
      </w:r>
      <w:proofErr w:type="spellEnd"/>
      <w:r>
        <w:rPr>
          <w:rFonts w:ascii="Arial" w:hAnsi="Arial" w:cs="Arial"/>
          <w:color w:val="000000" w:themeColor="text1"/>
          <w:lang w:val="es-ES" w:eastAsia="es-ES"/>
        </w:rPr>
        <w:t xml:space="preserve"> se lleve a cabo bajo el marco de un modelo de desarrollo sostenible.</w:t>
      </w:r>
    </w:p>
    <w:p w14:paraId="13B48BD9" w14:textId="77777777" w:rsidR="007A1B63" w:rsidRDefault="007A1B63" w:rsidP="007A1B63">
      <w:pPr>
        <w:suppressAutoHyphens/>
        <w:autoSpaceDN w:val="0"/>
        <w:jc w:val="both"/>
        <w:textAlignment w:val="baseline"/>
        <w:rPr>
          <w:rFonts w:ascii="Arial" w:eastAsia="Times New Roman" w:hAnsi="Arial" w:cs="Arial"/>
          <w:color w:val="000000" w:themeColor="text1"/>
          <w:sz w:val="20"/>
          <w:lang w:val="es-ES" w:eastAsia="es-ES"/>
        </w:rPr>
      </w:pPr>
      <w:r>
        <w:rPr>
          <w:rFonts w:ascii="Arial" w:hAnsi="Arial" w:cs="Arial"/>
          <w:color w:val="000000" w:themeColor="text1"/>
          <w:lang w:val="es-ES" w:eastAsia="es-ES"/>
        </w:rPr>
        <w:t>Para cumplir con esta labor de seguimiento, del 01 de abril hasta el 30 de junio de 2018 se suscribieron los siguientes Contratos:</w:t>
      </w:r>
    </w:p>
    <w:p w14:paraId="29ABFE12"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sz w:val="20"/>
          <w:lang w:val="es-ES" w:eastAsia="es-ES"/>
        </w:rPr>
      </w:pPr>
      <w:r>
        <w:rPr>
          <w:rFonts w:cs="Arial"/>
          <w:color w:val="000000" w:themeColor="text1"/>
          <w:lang w:val="es-ES"/>
        </w:rPr>
        <w:t>Prestar servicios profesionales especializados de (3) personas de apoyo jurídico que se requiere para desempeñar las funciones misionales a cargo de la vicepresidencia de contratos de hidrocarburos.</w:t>
      </w:r>
    </w:p>
    <w:p w14:paraId="70B56074"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szCs w:val="24"/>
          <w:lang w:val="es-ES"/>
        </w:rPr>
      </w:pPr>
      <w:r>
        <w:rPr>
          <w:rFonts w:cs="Arial"/>
          <w:color w:val="000000" w:themeColor="text1"/>
          <w:lang w:val="es-ES"/>
        </w:rPr>
        <w:t xml:space="preserve">Prestar servicios profesionales de (1) persona para apoyar a la vicepresidencia de contratos de hidrocarburos en la gestión social que se requiera para dar cumplimiento a </w:t>
      </w:r>
      <w:r>
        <w:rPr>
          <w:rFonts w:cs="Arial"/>
          <w:color w:val="000000" w:themeColor="text1"/>
          <w:lang w:val="es-ES"/>
        </w:rPr>
        <w:lastRenderedPageBreak/>
        <w:t>las diferentes iniciativas sociales con que cuenta la gerencia de seguridad, comunidades y medio ambiente.</w:t>
      </w:r>
    </w:p>
    <w:p w14:paraId="7D37644D"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especializados de (5) personas para apoyar a la vicepresidencia de contratos de hidrocarburos en la gestión social que se requiera para dar cumplimiento a las diferentes iniciativas sociales con que cuenta la gerencia de seguridad, comunidades y medio ambiente.</w:t>
      </w:r>
    </w:p>
    <w:p w14:paraId="69DF29AD"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(1) persona en materia de seguridad física.</w:t>
      </w:r>
    </w:p>
    <w:p w14:paraId="370B37D6"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(1) persona de apoyo jurídico que se requiere para desempeñar las funciones misionales a cargo de la vicepresidencia de contratos de hidrocarburos.</w:t>
      </w:r>
    </w:p>
    <w:p w14:paraId="2CC59F0E"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sus servicios profesionales especializados de (5) personas de apoyo legal a la vicepresidencia de contratos de hidrocarburos, para el seguimiento y control de los contratos de E&amp;P, contratos de evaluación técnica y convenios, de conformidad con las obligaciones contractuales, la normatividad que es aplicable y la política en materia de hidrocarburos del gobierno nacional.</w:t>
      </w:r>
    </w:p>
    <w:p w14:paraId="5242E2DE"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(1) persona a la VCH en la planeación seguimiento y control presupuestal de la dependencia.</w:t>
      </w:r>
    </w:p>
    <w:p w14:paraId="6C411C15"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(3) personas de apoyo a la vicepresidencia de contratos de hidrocarburos en la coordinación del grupo de trabajo para realizar el seguimiento integral a los contratos y convenios de hidrocarburos que se le asignen.</w:t>
      </w:r>
    </w:p>
    <w:p w14:paraId="49F72E44"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(5) personas en el seguimiento y gestión al cumplimiento de las obligaciones sociales y ambientales en los proyectos de gestión del conocimiento de la ANH.</w:t>
      </w:r>
    </w:p>
    <w:p w14:paraId="3DC3A02A"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(37) personas de apoyo a la vicepresidencia de contratos de hidrocarburos en el seguimiento y gestión al cumplimiento de las obligaciones sociales, ambientales y de seguridad en el trabajo a cargo de las operadoras en los contratos de hidrocarburos.</w:t>
      </w:r>
    </w:p>
    <w:p w14:paraId="11D19D90"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de (5) personas de apoyo a la vicepresidencia de contratos de hidrocarburos en la gestión ambiental y territorial de los contratos de hidrocarburos actuales y futuros.</w:t>
      </w:r>
    </w:p>
    <w:p w14:paraId="6F21C17E" w14:textId="77777777"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Brindar apoyo técnico de (1) persona a la vicepresidencia de contratos de hidrocarburos en el desarrollo de las actividades administrativas a cargo del mismo.</w:t>
      </w:r>
    </w:p>
    <w:p w14:paraId="21D1B68E" w14:textId="15C8DDDD" w:rsidR="007A1B63" w:rsidRP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especializados de (1) persona con amplia experiencia en el sector de hidrocarburos para apoyar a la vicepresidencia de contratos de hidrocarburos en coordinación con la vicepresidencia técnica y la oficina jurídica; para el desarrollo de una propuesta orientada a la estructuración de indicadores que demuestren los impactos y efectos de la inversión social del sector de hidrocarburos en un ejercicio piloto posterior en las zonas productoras de hidrocarburos.</w:t>
      </w:r>
    </w:p>
    <w:p w14:paraId="055534DD" w14:textId="0EACBB56" w:rsidR="007A1B63" w:rsidRDefault="007A1B63" w:rsidP="008B4625">
      <w:pPr>
        <w:pStyle w:val="Prrafodelista"/>
        <w:numPr>
          <w:ilvl w:val="0"/>
          <w:numId w:val="43"/>
        </w:numPr>
        <w:suppressAutoHyphens/>
        <w:autoSpaceDN w:val="0"/>
        <w:spacing w:after="0" w:line="240" w:lineRule="auto"/>
        <w:jc w:val="both"/>
        <w:rPr>
          <w:rFonts w:cs="Arial"/>
          <w:color w:val="000000" w:themeColor="text1"/>
          <w:lang w:val="es-ES"/>
        </w:rPr>
      </w:pPr>
      <w:r>
        <w:rPr>
          <w:rFonts w:cs="Arial"/>
          <w:color w:val="000000" w:themeColor="text1"/>
          <w:lang w:val="es-ES"/>
        </w:rPr>
        <w:t>Prestar servicios profesionales especializados de (1) persona para el seguimiento de proyectos de inversión en el área social y ambiental y otras actividades de carácter financiero y presupuestal.</w:t>
      </w:r>
    </w:p>
    <w:p w14:paraId="139B959B" w14:textId="77777777" w:rsidR="006738BC" w:rsidRDefault="006738BC" w:rsidP="006738BC">
      <w:pPr>
        <w:pStyle w:val="Prrafodelista"/>
        <w:suppressAutoHyphens/>
        <w:autoSpaceDN w:val="0"/>
        <w:spacing w:after="0" w:line="240" w:lineRule="auto"/>
        <w:ind w:left="720"/>
        <w:jc w:val="both"/>
        <w:rPr>
          <w:rFonts w:cs="Arial"/>
          <w:color w:val="000000" w:themeColor="text1"/>
          <w:lang w:val="es-ES"/>
        </w:rPr>
      </w:pPr>
    </w:p>
    <w:p w14:paraId="2C217FE0" w14:textId="77777777" w:rsidR="007A1B63" w:rsidRDefault="007A1B63" w:rsidP="007A1B63">
      <w:pPr>
        <w:jc w:val="both"/>
        <w:rPr>
          <w:rFonts w:ascii="Arial" w:eastAsia="Calibri" w:hAnsi="Arial" w:cs="Arial"/>
          <w:color w:val="000000" w:themeColor="text1"/>
          <w:lang w:eastAsia="es-CO"/>
        </w:rPr>
      </w:pPr>
      <w:r>
        <w:rPr>
          <w:rFonts w:ascii="Arial" w:eastAsia="Calibri" w:hAnsi="Arial" w:cs="Arial"/>
          <w:color w:val="000000" w:themeColor="text1"/>
        </w:rPr>
        <w:t xml:space="preserve">A 30 de junio, se comprometió el 88% de los recursos apropiados, correspondientes a $7.281 millones de pesos, orientados a la suscripción de 70 contratos de prestación de servicios profesionales para apoyar al Grupo Interno de Trabajo –GIT - de Seguridad, Comunidades y </w:t>
      </w:r>
      <w:r>
        <w:rPr>
          <w:rFonts w:ascii="Arial" w:eastAsia="Calibri" w:hAnsi="Arial" w:cs="Arial"/>
          <w:color w:val="000000" w:themeColor="text1"/>
        </w:rPr>
        <w:lastRenderedPageBreak/>
        <w:t>Medio Ambiente en el seguimiento y gestión al cumplimiento de las obligaciones sociales, ambientales y de seguridad y salud en el trabajo establecidas a cargo de las Operadoras en los Contratos de Hidrocarburos, así como para apoyar el tema de seguridad física.</w:t>
      </w:r>
    </w:p>
    <w:p w14:paraId="626544A4" w14:textId="164C01B7" w:rsidR="00C02282" w:rsidRPr="007A1B63" w:rsidRDefault="007A1B63" w:rsidP="007A1B63">
      <w:pPr>
        <w:pStyle w:val="Descripcin"/>
        <w:keepNext/>
        <w:jc w:val="center"/>
      </w:pPr>
      <w:r w:rsidRPr="007A1B63">
        <w:t xml:space="preserve"> </w:t>
      </w:r>
      <w:bookmarkStart w:id="160" w:name="_Toc525652527"/>
      <w:r w:rsidR="00C02282" w:rsidRPr="007A1B63">
        <w:t xml:space="preserve">Tabla </w:t>
      </w:r>
      <w:r w:rsidR="00C02282" w:rsidRPr="007A1B63">
        <w:fldChar w:fldCharType="begin"/>
      </w:r>
      <w:r w:rsidR="00C02282" w:rsidRPr="007A1B63">
        <w:instrText xml:space="preserve"> SEQ Tabla \* ARABIC </w:instrText>
      </w:r>
      <w:r w:rsidR="00C02282" w:rsidRPr="007A1B63">
        <w:fldChar w:fldCharType="separate"/>
      </w:r>
      <w:r w:rsidR="008B4625">
        <w:rPr>
          <w:noProof/>
        </w:rPr>
        <w:t>82</w:t>
      </w:r>
      <w:r w:rsidR="00C02282" w:rsidRPr="007A1B63">
        <w:fldChar w:fldCharType="end"/>
      </w:r>
      <w:r>
        <w:t xml:space="preserve"> </w:t>
      </w:r>
      <w:r w:rsidR="00C02282" w:rsidRPr="007A1B63">
        <w:t>Ejecución Gastos de Comercialización y Producción – Comunidades y Medio Ambiente 3</w:t>
      </w:r>
      <w:r w:rsidRPr="007A1B63">
        <w:t xml:space="preserve">0 de junio de 2018 </w:t>
      </w:r>
      <w:r w:rsidR="00C02282" w:rsidRPr="007A1B63">
        <w:t>ANH</w:t>
      </w:r>
      <w:bookmarkEnd w:id="160"/>
    </w:p>
    <w:tbl>
      <w:tblPr>
        <w:tblW w:w="9391" w:type="dxa"/>
        <w:tblInd w:w="-10" w:type="dxa"/>
        <w:tblCellMar>
          <w:left w:w="70" w:type="dxa"/>
          <w:right w:w="70" w:type="dxa"/>
        </w:tblCellMar>
        <w:tblLook w:val="04A0" w:firstRow="1" w:lastRow="0" w:firstColumn="1" w:lastColumn="0" w:noHBand="0" w:noVBand="1"/>
      </w:tblPr>
      <w:tblGrid>
        <w:gridCol w:w="1732"/>
        <w:gridCol w:w="985"/>
        <w:gridCol w:w="695"/>
        <w:gridCol w:w="959"/>
        <w:gridCol w:w="711"/>
        <w:gridCol w:w="1021"/>
        <w:gridCol w:w="626"/>
        <w:gridCol w:w="968"/>
        <w:gridCol w:w="646"/>
        <w:gridCol w:w="1048"/>
      </w:tblGrid>
      <w:tr w:rsidR="007A1B63" w14:paraId="3141FEE0" w14:textId="77777777" w:rsidTr="007A1B63">
        <w:trPr>
          <w:trHeight w:val="351"/>
        </w:trPr>
        <w:tc>
          <w:tcPr>
            <w:tcW w:w="2726" w:type="dxa"/>
            <w:gridSpan w:val="2"/>
            <w:tcBorders>
              <w:top w:val="single" w:sz="8" w:space="0" w:color="auto"/>
              <w:left w:val="single" w:sz="8" w:space="0" w:color="auto"/>
              <w:bottom w:val="single" w:sz="8" w:space="0" w:color="auto"/>
              <w:right w:val="single" w:sz="8" w:space="0" w:color="000000"/>
            </w:tcBorders>
            <w:shd w:val="clear" w:color="auto" w:fill="4F81BD" w:themeFill="accent1"/>
            <w:vAlign w:val="center"/>
            <w:hideMark/>
          </w:tcPr>
          <w:bookmarkEnd w:id="155"/>
          <w:p w14:paraId="09464927"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w:t>
            </w:r>
          </w:p>
        </w:tc>
        <w:tc>
          <w:tcPr>
            <w:tcW w:w="1619"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68710939"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Disponibilidad acumulada</w:t>
            </w:r>
          </w:p>
        </w:tc>
        <w:tc>
          <w:tcPr>
            <w:tcW w:w="1743"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537BC86A"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Compromisos acumulados</w:t>
            </w:r>
          </w:p>
        </w:tc>
        <w:tc>
          <w:tcPr>
            <w:tcW w:w="1601"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4EC47C40"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Obligaciones acumuladas</w:t>
            </w:r>
          </w:p>
        </w:tc>
        <w:tc>
          <w:tcPr>
            <w:tcW w:w="1702" w:type="dxa"/>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62DF72BF"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Pagos acumulados</w:t>
            </w:r>
          </w:p>
        </w:tc>
      </w:tr>
      <w:tr w:rsidR="007A1B63" w14:paraId="595CCECE" w14:textId="77777777" w:rsidTr="00A3028C">
        <w:trPr>
          <w:trHeight w:val="561"/>
        </w:trPr>
        <w:tc>
          <w:tcPr>
            <w:tcW w:w="1741" w:type="dxa"/>
            <w:tcBorders>
              <w:top w:val="nil"/>
              <w:left w:val="single" w:sz="8" w:space="0" w:color="auto"/>
              <w:bottom w:val="nil"/>
              <w:right w:val="single" w:sz="8" w:space="0" w:color="auto"/>
            </w:tcBorders>
            <w:shd w:val="clear" w:color="auto" w:fill="548DD4" w:themeFill="text2" w:themeFillTint="99"/>
            <w:vAlign w:val="center"/>
            <w:hideMark/>
          </w:tcPr>
          <w:p w14:paraId="4BDBAA05"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Descripción</w:t>
            </w:r>
          </w:p>
        </w:tc>
        <w:tc>
          <w:tcPr>
            <w:tcW w:w="985" w:type="dxa"/>
            <w:tcBorders>
              <w:top w:val="nil"/>
              <w:left w:val="nil"/>
              <w:bottom w:val="nil"/>
              <w:right w:val="single" w:sz="8" w:space="0" w:color="auto"/>
            </w:tcBorders>
            <w:shd w:val="clear" w:color="auto" w:fill="548DD4" w:themeFill="text2" w:themeFillTint="99"/>
            <w:vAlign w:val="center"/>
            <w:hideMark/>
          </w:tcPr>
          <w:p w14:paraId="45166911"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Apropiación Disponible</w:t>
            </w:r>
          </w:p>
        </w:tc>
        <w:tc>
          <w:tcPr>
            <w:tcW w:w="705" w:type="dxa"/>
            <w:tcBorders>
              <w:top w:val="nil"/>
              <w:left w:val="nil"/>
              <w:bottom w:val="nil"/>
              <w:right w:val="single" w:sz="8" w:space="0" w:color="auto"/>
            </w:tcBorders>
            <w:shd w:val="clear" w:color="auto" w:fill="548DD4" w:themeFill="text2" w:themeFillTint="99"/>
            <w:vAlign w:val="center"/>
            <w:hideMark/>
          </w:tcPr>
          <w:p w14:paraId="07C9968F"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I</w:t>
            </w:r>
          </w:p>
        </w:tc>
        <w:tc>
          <w:tcPr>
            <w:tcW w:w="914" w:type="dxa"/>
            <w:tcBorders>
              <w:top w:val="nil"/>
              <w:left w:val="nil"/>
              <w:bottom w:val="nil"/>
              <w:right w:val="single" w:sz="8" w:space="0" w:color="auto"/>
            </w:tcBorders>
            <w:shd w:val="clear" w:color="auto" w:fill="548DD4" w:themeFill="text2" w:themeFillTint="99"/>
            <w:vAlign w:val="center"/>
            <w:hideMark/>
          </w:tcPr>
          <w:p w14:paraId="5BA19635"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Disp./</w:t>
            </w:r>
            <w:proofErr w:type="spellStart"/>
            <w:r>
              <w:rPr>
                <w:rFonts w:ascii="Arial" w:hAnsi="Arial" w:cs="Arial"/>
                <w:color w:val="000000" w:themeColor="text1"/>
                <w:sz w:val="16"/>
                <w:szCs w:val="16"/>
              </w:rPr>
              <w:t>aprop</w:t>
            </w:r>
            <w:proofErr w:type="spellEnd"/>
          </w:p>
        </w:tc>
        <w:tc>
          <w:tcPr>
            <w:tcW w:w="722" w:type="dxa"/>
            <w:tcBorders>
              <w:top w:val="nil"/>
              <w:left w:val="nil"/>
              <w:bottom w:val="nil"/>
              <w:right w:val="single" w:sz="8" w:space="0" w:color="auto"/>
            </w:tcBorders>
            <w:shd w:val="clear" w:color="auto" w:fill="548DD4" w:themeFill="text2" w:themeFillTint="99"/>
            <w:vAlign w:val="center"/>
            <w:hideMark/>
          </w:tcPr>
          <w:p w14:paraId="610C5A2D"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xml:space="preserve"> I</w:t>
            </w:r>
          </w:p>
        </w:tc>
        <w:tc>
          <w:tcPr>
            <w:tcW w:w="1021" w:type="dxa"/>
            <w:tcBorders>
              <w:top w:val="nil"/>
              <w:left w:val="nil"/>
              <w:bottom w:val="nil"/>
              <w:right w:val="single" w:sz="8" w:space="0" w:color="auto"/>
            </w:tcBorders>
            <w:shd w:val="clear" w:color="auto" w:fill="548DD4" w:themeFill="text2" w:themeFillTint="99"/>
            <w:vAlign w:val="center"/>
            <w:hideMark/>
          </w:tcPr>
          <w:p w14:paraId="31EC51E8"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Comp</w:t>
            </w:r>
            <w:proofErr w:type="spellEnd"/>
            <w:r>
              <w:rPr>
                <w:rFonts w:ascii="Arial" w:hAnsi="Arial" w:cs="Arial"/>
                <w:color w:val="000000" w:themeColor="text1"/>
                <w:sz w:val="16"/>
                <w:szCs w:val="16"/>
              </w:rPr>
              <w:t>/</w:t>
            </w:r>
            <w:proofErr w:type="spellStart"/>
            <w:r>
              <w:rPr>
                <w:rFonts w:ascii="Arial" w:hAnsi="Arial" w:cs="Arial"/>
                <w:color w:val="000000" w:themeColor="text1"/>
                <w:sz w:val="16"/>
                <w:szCs w:val="16"/>
              </w:rPr>
              <w:t>aprop</w:t>
            </w:r>
            <w:proofErr w:type="spellEnd"/>
          </w:p>
        </w:tc>
        <w:tc>
          <w:tcPr>
            <w:tcW w:w="633" w:type="dxa"/>
            <w:tcBorders>
              <w:top w:val="nil"/>
              <w:left w:val="nil"/>
              <w:bottom w:val="nil"/>
              <w:right w:val="single" w:sz="8" w:space="0" w:color="auto"/>
            </w:tcBorders>
            <w:shd w:val="clear" w:color="auto" w:fill="548DD4" w:themeFill="text2" w:themeFillTint="99"/>
            <w:vAlign w:val="center"/>
            <w:hideMark/>
          </w:tcPr>
          <w:p w14:paraId="520EF7CA"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xml:space="preserve"> I</w:t>
            </w:r>
          </w:p>
        </w:tc>
        <w:tc>
          <w:tcPr>
            <w:tcW w:w="968" w:type="dxa"/>
            <w:tcBorders>
              <w:top w:val="nil"/>
              <w:left w:val="nil"/>
              <w:bottom w:val="nil"/>
              <w:right w:val="single" w:sz="8" w:space="0" w:color="auto"/>
            </w:tcBorders>
            <w:shd w:val="clear" w:color="auto" w:fill="548DD4" w:themeFill="text2" w:themeFillTint="99"/>
            <w:vAlign w:val="center"/>
            <w:hideMark/>
          </w:tcPr>
          <w:p w14:paraId="2344D74D"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Oblig</w:t>
            </w:r>
            <w:proofErr w:type="spellEnd"/>
            <w:r>
              <w:rPr>
                <w:rFonts w:ascii="Arial" w:hAnsi="Arial" w:cs="Arial"/>
                <w:color w:val="000000" w:themeColor="text1"/>
                <w:sz w:val="16"/>
                <w:szCs w:val="16"/>
              </w:rPr>
              <w:t>/</w:t>
            </w:r>
            <w:proofErr w:type="spellStart"/>
            <w:r>
              <w:rPr>
                <w:rFonts w:ascii="Arial" w:hAnsi="Arial" w:cs="Arial"/>
                <w:color w:val="000000" w:themeColor="text1"/>
                <w:sz w:val="16"/>
                <w:szCs w:val="16"/>
              </w:rPr>
              <w:t>aprop</w:t>
            </w:r>
            <w:proofErr w:type="spellEnd"/>
          </w:p>
        </w:tc>
        <w:tc>
          <w:tcPr>
            <w:tcW w:w="654" w:type="dxa"/>
            <w:tcBorders>
              <w:top w:val="nil"/>
              <w:left w:val="nil"/>
              <w:bottom w:val="nil"/>
              <w:right w:val="single" w:sz="8" w:space="0" w:color="auto"/>
            </w:tcBorders>
            <w:shd w:val="clear" w:color="auto" w:fill="548DD4" w:themeFill="text2" w:themeFillTint="99"/>
            <w:vAlign w:val="center"/>
            <w:hideMark/>
          </w:tcPr>
          <w:p w14:paraId="2304736D" w14:textId="77777777" w:rsidR="007A1B63" w:rsidRDefault="007A1B63">
            <w:pPr>
              <w:jc w:val="center"/>
              <w:rPr>
                <w:rFonts w:ascii="Arial" w:hAnsi="Arial" w:cs="Arial"/>
                <w:color w:val="000000"/>
                <w:sz w:val="16"/>
                <w:szCs w:val="16"/>
              </w:rPr>
            </w:pPr>
            <w:proofErr w:type="spellStart"/>
            <w:r>
              <w:rPr>
                <w:rFonts w:ascii="Arial" w:hAnsi="Arial" w:cs="Arial"/>
                <w:color w:val="000000" w:themeColor="text1"/>
                <w:sz w:val="16"/>
                <w:szCs w:val="16"/>
              </w:rPr>
              <w:t>Trim</w:t>
            </w:r>
            <w:proofErr w:type="spellEnd"/>
            <w:r>
              <w:rPr>
                <w:rFonts w:ascii="Arial" w:hAnsi="Arial" w:cs="Arial"/>
                <w:color w:val="000000" w:themeColor="text1"/>
                <w:sz w:val="16"/>
                <w:szCs w:val="16"/>
              </w:rPr>
              <w:t xml:space="preserve"> I</w:t>
            </w:r>
          </w:p>
        </w:tc>
        <w:tc>
          <w:tcPr>
            <w:tcW w:w="1048" w:type="dxa"/>
            <w:tcBorders>
              <w:top w:val="nil"/>
              <w:left w:val="nil"/>
              <w:bottom w:val="nil"/>
              <w:right w:val="single" w:sz="8" w:space="0" w:color="auto"/>
            </w:tcBorders>
            <w:shd w:val="clear" w:color="auto" w:fill="548DD4" w:themeFill="text2" w:themeFillTint="99"/>
            <w:vAlign w:val="center"/>
            <w:hideMark/>
          </w:tcPr>
          <w:p w14:paraId="7CCCD6E3" w14:textId="77777777" w:rsidR="007A1B63" w:rsidRDefault="007A1B63">
            <w:pPr>
              <w:jc w:val="center"/>
              <w:rPr>
                <w:rFonts w:ascii="Arial" w:hAnsi="Arial" w:cs="Arial"/>
                <w:color w:val="000000"/>
                <w:sz w:val="16"/>
                <w:szCs w:val="16"/>
              </w:rPr>
            </w:pPr>
            <w:r>
              <w:rPr>
                <w:rFonts w:ascii="Arial" w:hAnsi="Arial" w:cs="Arial"/>
                <w:color w:val="000000" w:themeColor="text1"/>
                <w:sz w:val="16"/>
                <w:szCs w:val="16"/>
              </w:rPr>
              <w:t>% Pagos/</w:t>
            </w:r>
            <w:proofErr w:type="spellStart"/>
            <w:r>
              <w:rPr>
                <w:rFonts w:ascii="Arial" w:hAnsi="Arial" w:cs="Arial"/>
                <w:color w:val="000000" w:themeColor="text1"/>
                <w:sz w:val="16"/>
                <w:szCs w:val="16"/>
              </w:rPr>
              <w:t>aprop</w:t>
            </w:r>
            <w:proofErr w:type="spellEnd"/>
          </w:p>
        </w:tc>
      </w:tr>
      <w:tr w:rsidR="007A1B63" w14:paraId="6BECBDC4" w14:textId="77777777" w:rsidTr="007A1B63">
        <w:trPr>
          <w:trHeight w:val="676"/>
        </w:trPr>
        <w:tc>
          <w:tcPr>
            <w:tcW w:w="1741" w:type="dxa"/>
            <w:tcBorders>
              <w:top w:val="single" w:sz="8" w:space="0" w:color="auto"/>
              <w:left w:val="single" w:sz="8" w:space="0" w:color="auto"/>
              <w:bottom w:val="single" w:sz="8" w:space="0" w:color="auto"/>
              <w:right w:val="single" w:sz="8" w:space="0" w:color="auto"/>
            </w:tcBorders>
            <w:shd w:val="clear" w:color="auto" w:fill="FFFFFF"/>
            <w:hideMark/>
          </w:tcPr>
          <w:p w14:paraId="587696EA" w14:textId="77777777" w:rsidR="007A1B63" w:rsidRDefault="007A1B63">
            <w:pPr>
              <w:rPr>
                <w:rFonts w:ascii="Arial" w:hAnsi="Arial" w:cs="Arial"/>
                <w:b/>
                <w:bCs/>
                <w:color w:val="000000" w:themeColor="text1"/>
                <w:sz w:val="14"/>
                <w:szCs w:val="14"/>
              </w:rPr>
            </w:pPr>
            <w:r>
              <w:rPr>
                <w:rFonts w:ascii="Arial" w:hAnsi="Arial" w:cs="Arial"/>
                <w:b/>
                <w:bCs/>
                <w:color w:val="000000" w:themeColor="text1"/>
                <w:sz w:val="14"/>
                <w:szCs w:val="14"/>
              </w:rPr>
              <w:t>Funcionamiento - GASTOS DE COMERCIALIZACION Y PRODUCCION</w:t>
            </w:r>
          </w:p>
        </w:tc>
        <w:tc>
          <w:tcPr>
            <w:tcW w:w="985" w:type="dxa"/>
            <w:tcBorders>
              <w:top w:val="single" w:sz="8" w:space="0" w:color="auto"/>
              <w:left w:val="nil"/>
              <w:bottom w:val="single" w:sz="8" w:space="0" w:color="auto"/>
              <w:right w:val="nil"/>
            </w:tcBorders>
            <w:shd w:val="clear" w:color="auto" w:fill="FFFFFF"/>
            <w:vAlign w:val="center"/>
            <w:hideMark/>
          </w:tcPr>
          <w:p w14:paraId="5888864B" w14:textId="77777777" w:rsidR="007A1B63" w:rsidRDefault="007A1B63">
            <w:pPr>
              <w:jc w:val="center"/>
              <w:rPr>
                <w:rFonts w:ascii="Arial" w:hAnsi="Arial" w:cs="Arial"/>
                <w:b/>
                <w:bCs/>
                <w:color w:val="000000"/>
                <w:sz w:val="14"/>
                <w:szCs w:val="14"/>
              </w:rPr>
            </w:pPr>
            <w:r>
              <w:rPr>
                <w:rFonts w:ascii="Arial" w:hAnsi="Arial" w:cs="Arial"/>
                <w:b/>
                <w:bCs/>
                <w:sz w:val="14"/>
                <w:szCs w:val="14"/>
              </w:rPr>
              <w:t>$ 8.231</w:t>
            </w:r>
          </w:p>
        </w:tc>
        <w:tc>
          <w:tcPr>
            <w:tcW w:w="705" w:type="dxa"/>
            <w:tcBorders>
              <w:top w:val="single" w:sz="8" w:space="0" w:color="auto"/>
              <w:left w:val="single" w:sz="8" w:space="0" w:color="auto"/>
              <w:bottom w:val="single" w:sz="8" w:space="0" w:color="auto"/>
              <w:right w:val="nil"/>
            </w:tcBorders>
            <w:shd w:val="clear" w:color="auto" w:fill="FFFFFF"/>
            <w:vAlign w:val="center"/>
            <w:hideMark/>
          </w:tcPr>
          <w:p w14:paraId="0894CBAF" w14:textId="77777777" w:rsidR="007A1B63" w:rsidRDefault="007A1B63">
            <w:pPr>
              <w:jc w:val="center"/>
              <w:rPr>
                <w:rFonts w:ascii="Arial" w:hAnsi="Arial" w:cs="Arial"/>
                <w:b/>
                <w:bCs/>
                <w:color w:val="000000"/>
                <w:sz w:val="14"/>
                <w:szCs w:val="14"/>
              </w:rPr>
            </w:pPr>
            <w:r>
              <w:rPr>
                <w:rFonts w:ascii="Arial" w:hAnsi="Arial" w:cs="Arial"/>
                <w:b/>
                <w:bCs/>
                <w:sz w:val="14"/>
                <w:szCs w:val="14"/>
              </w:rPr>
              <w:t>$ 7.281</w:t>
            </w:r>
          </w:p>
        </w:tc>
        <w:tc>
          <w:tcPr>
            <w:tcW w:w="914" w:type="dxa"/>
            <w:tcBorders>
              <w:top w:val="single" w:sz="8" w:space="0" w:color="auto"/>
              <w:left w:val="single" w:sz="8" w:space="0" w:color="auto"/>
              <w:bottom w:val="single" w:sz="8" w:space="0" w:color="auto"/>
              <w:right w:val="nil"/>
            </w:tcBorders>
            <w:shd w:val="clear" w:color="auto" w:fill="FFFFFF"/>
            <w:vAlign w:val="center"/>
            <w:hideMark/>
          </w:tcPr>
          <w:p w14:paraId="4F56A348" w14:textId="77777777" w:rsidR="007A1B63" w:rsidRDefault="007A1B63">
            <w:pPr>
              <w:jc w:val="center"/>
              <w:rPr>
                <w:rFonts w:ascii="Arial" w:hAnsi="Arial" w:cs="Arial"/>
                <w:b/>
                <w:bCs/>
                <w:color w:val="000000"/>
                <w:sz w:val="14"/>
                <w:szCs w:val="14"/>
              </w:rPr>
            </w:pPr>
            <w:r>
              <w:rPr>
                <w:rFonts w:ascii="Arial" w:hAnsi="Arial" w:cs="Arial"/>
                <w:b/>
                <w:bCs/>
                <w:sz w:val="14"/>
                <w:szCs w:val="14"/>
              </w:rPr>
              <w:t>88%</w:t>
            </w:r>
          </w:p>
        </w:tc>
        <w:tc>
          <w:tcPr>
            <w:tcW w:w="722" w:type="dxa"/>
            <w:tcBorders>
              <w:top w:val="single" w:sz="8" w:space="0" w:color="auto"/>
              <w:left w:val="single" w:sz="8" w:space="0" w:color="auto"/>
              <w:bottom w:val="single" w:sz="8" w:space="0" w:color="auto"/>
              <w:right w:val="nil"/>
            </w:tcBorders>
            <w:shd w:val="clear" w:color="auto" w:fill="FFFFFF"/>
            <w:vAlign w:val="center"/>
            <w:hideMark/>
          </w:tcPr>
          <w:p w14:paraId="49C2EF86" w14:textId="77777777" w:rsidR="007A1B63" w:rsidRDefault="007A1B63">
            <w:pPr>
              <w:jc w:val="center"/>
              <w:rPr>
                <w:rFonts w:ascii="Arial" w:hAnsi="Arial" w:cs="Arial"/>
                <w:b/>
                <w:bCs/>
                <w:color w:val="000000"/>
                <w:sz w:val="14"/>
                <w:szCs w:val="14"/>
              </w:rPr>
            </w:pPr>
            <w:r>
              <w:rPr>
                <w:rFonts w:ascii="Arial" w:hAnsi="Arial" w:cs="Arial"/>
                <w:b/>
                <w:bCs/>
                <w:sz w:val="14"/>
                <w:szCs w:val="14"/>
              </w:rPr>
              <w:t>$ 7.274</w:t>
            </w:r>
          </w:p>
        </w:tc>
        <w:tc>
          <w:tcPr>
            <w:tcW w:w="1021" w:type="dxa"/>
            <w:tcBorders>
              <w:top w:val="single" w:sz="8" w:space="0" w:color="auto"/>
              <w:left w:val="single" w:sz="8" w:space="0" w:color="auto"/>
              <w:bottom w:val="single" w:sz="8" w:space="0" w:color="auto"/>
              <w:right w:val="nil"/>
            </w:tcBorders>
            <w:shd w:val="clear" w:color="auto" w:fill="FFFFFF"/>
            <w:vAlign w:val="center"/>
            <w:hideMark/>
          </w:tcPr>
          <w:p w14:paraId="566BD6DF" w14:textId="77777777" w:rsidR="007A1B63" w:rsidRDefault="007A1B63">
            <w:pPr>
              <w:jc w:val="center"/>
              <w:rPr>
                <w:rFonts w:ascii="Arial" w:hAnsi="Arial" w:cs="Arial"/>
                <w:b/>
                <w:bCs/>
                <w:color w:val="000000"/>
                <w:sz w:val="14"/>
                <w:szCs w:val="14"/>
              </w:rPr>
            </w:pPr>
            <w:r>
              <w:rPr>
                <w:rFonts w:ascii="Arial" w:hAnsi="Arial" w:cs="Arial"/>
                <w:b/>
                <w:bCs/>
                <w:sz w:val="14"/>
                <w:szCs w:val="14"/>
              </w:rPr>
              <w:t>88%</w:t>
            </w:r>
          </w:p>
        </w:tc>
        <w:tc>
          <w:tcPr>
            <w:tcW w:w="633" w:type="dxa"/>
            <w:tcBorders>
              <w:top w:val="single" w:sz="8" w:space="0" w:color="auto"/>
              <w:left w:val="single" w:sz="8" w:space="0" w:color="auto"/>
              <w:bottom w:val="single" w:sz="8" w:space="0" w:color="auto"/>
              <w:right w:val="nil"/>
            </w:tcBorders>
            <w:shd w:val="clear" w:color="auto" w:fill="FFFFFF"/>
            <w:vAlign w:val="center"/>
            <w:hideMark/>
          </w:tcPr>
          <w:p w14:paraId="021F1822" w14:textId="77777777" w:rsidR="007A1B63" w:rsidRDefault="007A1B63">
            <w:pPr>
              <w:jc w:val="center"/>
              <w:rPr>
                <w:rFonts w:ascii="Arial" w:hAnsi="Arial" w:cs="Arial"/>
                <w:b/>
                <w:bCs/>
                <w:color w:val="000000"/>
                <w:sz w:val="14"/>
                <w:szCs w:val="14"/>
              </w:rPr>
            </w:pPr>
            <w:r>
              <w:rPr>
                <w:rFonts w:ascii="Arial" w:hAnsi="Arial" w:cs="Arial"/>
                <w:b/>
                <w:bCs/>
                <w:sz w:val="14"/>
                <w:szCs w:val="14"/>
              </w:rPr>
              <w:t>$ 7.274</w:t>
            </w:r>
          </w:p>
        </w:tc>
        <w:tc>
          <w:tcPr>
            <w:tcW w:w="968" w:type="dxa"/>
            <w:tcBorders>
              <w:top w:val="single" w:sz="8" w:space="0" w:color="auto"/>
              <w:left w:val="single" w:sz="8" w:space="0" w:color="auto"/>
              <w:bottom w:val="single" w:sz="8" w:space="0" w:color="auto"/>
              <w:right w:val="nil"/>
            </w:tcBorders>
            <w:shd w:val="clear" w:color="auto" w:fill="FFFFFF"/>
            <w:vAlign w:val="center"/>
            <w:hideMark/>
          </w:tcPr>
          <w:p w14:paraId="7DED9223" w14:textId="77777777" w:rsidR="007A1B63" w:rsidRDefault="007A1B63">
            <w:pPr>
              <w:jc w:val="center"/>
              <w:rPr>
                <w:rFonts w:ascii="Arial" w:hAnsi="Arial" w:cs="Arial"/>
                <w:b/>
                <w:bCs/>
                <w:color w:val="000000"/>
                <w:sz w:val="14"/>
                <w:szCs w:val="14"/>
              </w:rPr>
            </w:pPr>
            <w:r>
              <w:rPr>
                <w:rFonts w:ascii="Arial" w:hAnsi="Arial" w:cs="Arial"/>
                <w:b/>
                <w:bCs/>
                <w:sz w:val="14"/>
                <w:szCs w:val="14"/>
              </w:rPr>
              <w:t>88%</w:t>
            </w:r>
          </w:p>
        </w:tc>
        <w:tc>
          <w:tcPr>
            <w:tcW w:w="654" w:type="dxa"/>
            <w:tcBorders>
              <w:top w:val="single" w:sz="8" w:space="0" w:color="auto"/>
              <w:left w:val="single" w:sz="8" w:space="0" w:color="auto"/>
              <w:bottom w:val="single" w:sz="8" w:space="0" w:color="auto"/>
              <w:right w:val="nil"/>
            </w:tcBorders>
            <w:shd w:val="clear" w:color="auto" w:fill="FFFFFF"/>
            <w:vAlign w:val="center"/>
            <w:hideMark/>
          </w:tcPr>
          <w:p w14:paraId="1E0C34FE" w14:textId="77777777" w:rsidR="007A1B63" w:rsidRDefault="007A1B63">
            <w:pPr>
              <w:jc w:val="center"/>
              <w:rPr>
                <w:rFonts w:ascii="Arial" w:hAnsi="Arial" w:cs="Arial"/>
                <w:b/>
                <w:bCs/>
                <w:color w:val="000000"/>
                <w:sz w:val="14"/>
                <w:szCs w:val="14"/>
              </w:rPr>
            </w:pPr>
            <w:r>
              <w:rPr>
                <w:rFonts w:ascii="Arial" w:hAnsi="Arial" w:cs="Arial"/>
                <w:b/>
                <w:bCs/>
                <w:sz w:val="14"/>
                <w:szCs w:val="14"/>
              </w:rPr>
              <w:t>$ 7.216</w:t>
            </w:r>
          </w:p>
        </w:tc>
        <w:tc>
          <w:tcPr>
            <w:tcW w:w="104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559AA72" w14:textId="77777777" w:rsidR="007A1B63" w:rsidRDefault="007A1B63">
            <w:pPr>
              <w:jc w:val="center"/>
              <w:rPr>
                <w:rFonts w:ascii="Arial" w:hAnsi="Arial" w:cs="Arial"/>
                <w:b/>
                <w:bCs/>
                <w:color w:val="000000"/>
                <w:sz w:val="14"/>
                <w:szCs w:val="14"/>
              </w:rPr>
            </w:pPr>
            <w:r>
              <w:rPr>
                <w:rFonts w:ascii="Arial" w:hAnsi="Arial" w:cs="Arial"/>
                <w:b/>
                <w:bCs/>
                <w:sz w:val="14"/>
                <w:szCs w:val="14"/>
              </w:rPr>
              <w:t>88%</w:t>
            </w:r>
          </w:p>
        </w:tc>
      </w:tr>
    </w:tbl>
    <w:p w14:paraId="438CA2B6" w14:textId="7438E6AF"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054AFF81" w14:textId="77777777" w:rsidR="00C02282" w:rsidRPr="007A1B63" w:rsidRDefault="00C02282" w:rsidP="00C02282">
      <w:pPr>
        <w:jc w:val="center"/>
        <w:rPr>
          <w:rFonts w:ascii="Arial" w:hAnsi="Arial" w:cs="Arial"/>
          <w:bCs/>
          <w:lang w:val="es-MX" w:eastAsia="es-ES"/>
        </w:rPr>
      </w:pPr>
      <w:r w:rsidRPr="007A1B63">
        <w:rPr>
          <w:rFonts w:ascii="Calibri" w:hAnsi="Calibri" w:cs="Calibri"/>
          <w:sz w:val="18"/>
          <w:szCs w:val="18"/>
        </w:rPr>
        <w:t>Fuente SIIF</w:t>
      </w:r>
    </w:p>
    <w:p w14:paraId="2938B41B" w14:textId="7A46F925" w:rsidR="00C02282" w:rsidRPr="007A1B63" w:rsidRDefault="00C02282" w:rsidP="00C02282">
      <w:pPr>
        <w:pStyle w:val="Descripcin"/>
        <w:keepNext/>
        <w:jc w:val="center"/>
      </w:pPr>
      <w:bookmarkStart w:id="161" w:name="_Toc525652430"/>
      <w:r w:rsidRPr="007A1B63">
        <w:t xml:space="preserve">Gráfica </w:t>
      </w:r>
      <w:r w:rsidR="00B6251B">
        <w:fldChar w:fldCharType="begin"/>
      </w:r>
      <w:r w:rsidR="00B6251B">
        <w:instrText xml:space="preserve"> SEQ Gráfica \* ARABIC </w:instrText>
      </w:r>
      <w:r w:rsidR="00B6251B">
        <w:fldChar w:fldCharType="separate"/>
      </w:r>
      <w:r w:rsidR="00B6251B">
        <w:rPr>
          <w:noProof/>
        </w:rPr>
        <w:t>17</w:t>
      </w:r>
      <w:r w:rsidR="00B6251B">
        <w:fldChar w:fldCharType="end"/>
      </w:r>
      <w:r w:rsidR="007A1B63">
        <w:t xml:space="preserve"> </w:t>
      </w:r>
      <w:r w:rsidRPr="007A1B63">
        <w:t>Ejecución Gastos de Comercialización – Seguridad, Comunidades y Medio Ambiente  ANH</w:t>
      </w:r>
      <w:bookmarkEnd w:id="161"/>
    </w:p>
    <w:p w14:paraId="7F624B25" w14:textId="77777777" w:rsidR="00C02282" w:rsidRPr="006A67B4" w:rsidRDefault="00C02282" w:rsidP="00C02282">
      <w:pPr>
        <w:spacing w:after="0"/>
        <w:ind w:left="1416"/>
        <w:jc w:val="center"/>
        <w:rPr>
          <w:rFonts w:ascii="Arial" w:hAnsi="Arial" w:cs="Arial"/>
          <w:b/>
          <w:highlight w:val="yellow"/>
        </w:rPr>
      </w:pPr>
      <w:r w:rsidRPr="006A67B4">
        <w:rPr>
          <w:rFonts w:ascii="Arial" w:hAnsi="Arial" w:cs="Arial"/>
          <w:noProof/>
          <w:highlight w:val="yellow"/>
          <w:lang w:eastAsia="es-CO"/>
        </w:rPr>
        <w:drawing>
          <wp:inline distT="0" distB="0" distL="0" distR="0" wp14:anchorId="0D512268" wp14:editId="597416DA">
            <wp:extent cx="4152900" cy="2095500"/>
            <wp:effectExtent l="0" t="0" r="0" b="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E9B463" w14:textId="77777777" w:rsidR="00C02282" w:rsidRPr="007A1B63" w:rsidRDefault="00C02282" w:rsidP="00C02282">
      <w:pPr>
        <w:spacing w:after="0"/>
        <w:ind w:left="708" w:firstLine="708"/>
        <w:jc w:val="center"/>
        <w:rPr>
          <w:rFonts w:ascii="Arial" w:hAnsi="Arial" w:cs="Arial"/>
          <w:lang w:val="es-ES" w:eastAsia="es-ES"/>
        </w:rPr>
      </w:pPr>
      <w:r w:rsidRPr="007A1B63">
        <w:rPr>
          <w:rFonts w:ascii="Arial" w:hAnsi="Arial" w:cs="Arial"/>
          <w:sz w:val="16"/>
          <w:szCs w:val="16"/>
        </w:rPr>
        <w:t xml:space="preserve">Fuente </w:t>
      </w:r>
      <w:r w:rsidRPr="007A1B63">
        <w:rPr>
          <w:rFonts w:ascii="Arial" w:hAnsi="Arial" w:cs="Arial"/>
          <w:bCs/>
          <w:sz w:val="16"/>
          <w:szCs w:val="16"/>
          <w:lang w:val="es-ES" w:eastAsia="es-ES"/>
        </w:rPr>
        <w:t>Seguridad, Comunidades y Medio Ambiente</w:t>
      </w:r>
    </w:p>
    <w:p w14:paraId="38BA3406" w14:textId="77777777" w:rsidR="00C02282" w:rsidRPr="007A1B63" w:rsidRDefault="00C02282" w:rsidP="00C02282">
      <w:pPr>
        <w:rPr>
          <w:rFonts w:ascii="Arial" w:hAnsi="Arial" w:cs="Arial"/>
          <w:b/>
        </w:rPr>
      </w:pPr>
    </w:p>
    <w:p w14:paraId="5A6A9FF9" w14:textId="77777777" w:rsidR="00C02282" w:rsidRPr="007A1B63" w:rsidRDefault="00C02282" w:rsidP="00C02282">
      <w:pPr>
        <w:rPr>
          <w:rFonts w:ascii="Arial" w:hAnsi="Arial" w:cs="Arial"/>
          <w:b/>
        </w:rPr>
      </w:pPr>
      <w:r w:rsidRPr="007A1B63">
        <w:rPr>
          <w:rFonts w:ascii="Arial" w:hAnsi="Arial" w:cs="Arial"/>
          <w:b/>
        </w:rPr>
        <w:t>Gerencia de Reservas y Operaciones – Vicepresidencia de Operaciones</w:t>
      </w:r>
    </w:p>
    <w:p w14:paraId="2A23019A" w14:textId="77777777" w:rsidR="007A1B63" w:rsidRDefault="007A1B63" w:rsidP="007A1B63">
      <w:pPr>
        <w:suppressAutoHyphens/>
        <w:autoSpaceDE w:val="0"/>
        <w:autoSpaceDN w:val="0"/>
        <w:jc w:val="both"/>
        <w:textAlignment w:val="baseline"/>
        <w:rPr>
          <w:rFonts w:ascii="Arial" w:eastAsia="Calibri" w:hAnsi="Arial" w:cs="Arial"/>
        </w:rPr>
      </w:pPr>
      <w:bookmarkStart w:id="162" w:name="_Hlk511892988"/>
      <w:r>
        <w:rPr>
          <w:rFonts w:ascii="Arial" w:eastAsia="Calibri" w:hAnsi="Arial" w:cs="Arial"/>
        </w:rPr>
        <w:t>Con el fin de atender los compromisos de la gerencia, como son el consolidar el informe de recursos y reservas del país, atender y evaluar las solicitudes de las compañías con respecto a los proyectos de producción incremental, recobro mejorado, certificado de reembolso tributario CERT entre otros; Para el primer trimestre de 2018, la Gerencia de Reservas y Operaciones realizo las siguientes contrataciones para de refuerzo del equipo de trabajo:</w:t>
      </w:r>
    </w:p>
    <w:p w14:paraId="4487AFB4" w14:textId="38BFCB54" w:rsidR="00C02282" w:rsidRPr="006A67B4" w:rsidRDefault="007A1B63" w:rsidP="007A1B63">
      <w:pPr>
        <w:pStyle w:val="Descripcin"/>
        <w:keepNext/>
        <w:jc w:val="center"/>
        <w:rPr>
          <w:highlight w:val="yellow"/>
        </w:rPr>
      </w:pPr>
      <w:r w:rsidRPr="007A1B63">
        <w:lastRenderedPageBreak/>
        <w:t xml:space="preserve"> </w:t>
      </w:r>
      <w:bookmarkStart w:id="163" w:name="_Toc525652528"/>
      <w:r w:rsidR="00C02282" w:rsidRPr="007A1B63">
        <w:t xml:space="preserve">Tabla </w:t>
      </w:r>
      <w:r w:rsidR="00C02282" w:rsidRPr="007A1B63">
        <w:fldChar w:fldCharType="begin"/>
      </w:r>
      <w:r w:rsidR="00C02282" w:rsidRPr="007A1B63">
        <w:instrText xml:space="preserve"> SEQ Tabla \* ARABIC </w:instrText>
      </w:r>
      <w:r w:rsidR="00C02282" w:rsidRPr="007A1B63">
        <w:fldChar w:fldCharType="separate"/>
      </w:r>
      <w:r w:rsidR="008B4625">
        <w:rPr>
          <w:noProof/>
        </w:rPr>
        <w:t>83</w:t>
      </w:r>
      <w:r w:rsidR="00C02282" w:rsidRPr="007A1B63">
        <w:fldChar w:fldCharType="end"/>
      </w:r>
      <w:r w:rsidRPr="007A1B63">
        <w:t xml:space="preserve"> </w:t>
      </w:r>
      <w:r w:rsidR="00C02282" w:rsidRPr="007A1B63">
        <w:t>Gastos de Comercialización y Producción – Gerencia de Reservas y Operaciones – Contratación 3</w:t>
      </w:r>
      <w:r w:rsidRPr="007A1B63">
        <w:t xml:space="preserve">0 de junio de 2018 </w:t>
      </w:r>
      <w:r w:rsidR="00C02282" w:rsidRPr="007A1B63">
        <w:t xml:space="preserve"> ANH</w:t>
      </w:r>
      <w:bookmarkEnd w:id="163"/>
    </w:p>
    <w:tbl>
      <w:tblPr>
        <w:tblW w:w="9349" w:type="dxa"/>
        <w:tblInd w:w="-3" w:type="dxa"/>
        <w:tblCellMar>
          <w:left w:w="0" w:type="dxa"/>
          <w:right w:w="0" w:type="dxa"/>
        </w:tblCellMar>
        <w:tblLook w:val="04A0" w:firstRow="1" w:lastRow="0" w:firstColumn="1" w:lastColumn="0" w:noHBand="0" w:noVBand="1"/>
      </w:tblPr>
      <w:tblGrid>
        <w:gridCol w:w="6230"/>
        <w:gridCol w:w="1560"/>
        <w:gridCol w:w="1559"/>
      </w:tblGrid>
      <w:tr w:rsidR="007A1B63" w14:paraId="2BB4F01F" w14:textId="77777777" w:rsidTr="007A1B63">
        <w:trPr>
          <w:trHeight w:val="287"/>
        </w:trPr>
        <w:tc>
          <w:tcPr>
            <w:tcW w:w="6230" w:type="dxa"/>
            <w:tcBorders>
              <w:top w:val="single" w:sz="8" w:space="0" w:color="auto"/>
              <w:left w:val="single" w:sz="8" w:space="0" w:color="auto"/>
              <w:bottom w:val="single" w:sz="8" w:space="0" w:color="auto"/>
              <w:right w:val="single" w:sz="8" w:space="0" w:color="auto"/>
            </w:tcBorders>
            <w:shd w:val="clear" w:color="auto" w:fill="4F81BD" w:themeFill="accent1"/>
            <w:noWrap/>
            <w:tcMar>
              <w:top w:w="0" w:type="dxa"/>
              <w:left w:w="70" w:type="dxa"/>
              <w:bottom w:w="0" w:type="dxa"/>
              <w:right w:w="70" w:type="dxa"/>
            </w:tcMar>
            <w:vAlign w:val="bottom"/>
            <w:hideMark/>
          </w:tcPr>
          <w:p w14:paraId="21A47A9E" w14:textId="77777777" w:rsidR="007A1B63" w:rsidRDefault="007A1B63">
            <w:pPr>
              <w:jc w:val="center"/>
              <w:rPr>
                <w:rFonts w:ascii="Arial" w:hAnsi="Arial" w:cs="Arial"/>
                <w:color w:val="000000"/>
                <w:sz w:val="20"/>
                <w:szCs w:val="20"/>
              </w:rPr>
            </w:pPr>
            <w:bookmarkStart w:id="164" w:name="_Hlk511893123"/>
            <w:bookmarkEnd w:id="162"/>
            <w:r>
              <w:rPr>
                <w:rFonts w:ascii="Arial" w:hAnsi="Arial" w:cs="Arial"/>
                <w:sz w:val="20"/>
                <w:szCs w:val="20"/>
              </w:rPr>
              <w:t>Descripción</w:t>
            </w:r>
          </w:p>
        </w:tc>
        <w:tc>
          <w:tcPr>
            <w:tcW w:w="1560" w:type="dxa"/>
            <w:tcBorders>
              <w:top w:val="single" w:sz="8" w:space="0" w:color="auto"/>
              <w:left w:val="nil"/>
              <w:bottom w:val="single" w:sz="8" w:space="0" w:color="auto"/>
              <w:right w:val="single" w:sz="8" w:space="0" w:color="auto"/>
            </w:tcBorders>
            <w:shd w:val="clear" w:color="auto" w:fill="4F81BD" w:themeFill="accent1"/>
            <w:noWrap/>
            <w:tcMar>
              <w:top w:w="0" w:type="dxa"/>
              <w:left w:w="70" w:type="dxa"/>
              <w:bottom w:w="0" w:type="dxa"/>
              <w:right w:w="70" w:type="dxa"/>
            </w:tcMar>
            <w:vAlign w:val="bottom"/>
            <w:hideMark/>
          </w:tcPr>
          <w:p w14:paraId="3E00CBFA" w14:textId="77777777" w:rsidR="007A1B63" w:rsidRDefault="007A1B63">
            <w:pPr>
              <w:jc w:val="center"/>
              <w:rPr>
                <w:rFonts w:ascii="Arial" w:hAnsi="Arial" w:cs="Arial"/>
                <w:color w:val="000000"/>
                <w:sz w:val="20"/>
                <w:szCs w:val="20"/>
              </w:rPr>
            </w:pPr>
            <w:r>
              <w:rPr>
                <w:rFonts w:ascii="Arial" w:hAnsi="Arial" w:cs="Arial"/>
                <w:sz w:val="20"/>
                <w:szCs w:val="20"/>
              </w:rPr>
              <w:t>Valor PAA</w:t>
            </w:r>
          </w:p>
        </w:tc>
        <w:tc>
          <w:tcPr>
            <w:tcW w:w="1559" w:type="dxa"/>
            <w:tcBorders>
              <w:top w:val="single" w:sz="8" w:space="0" w:color="auto"/>
              <w:left w:val="nil"/>
              <w:bottom w:val="single" w:sz="8" w:space="0" w:color="auto"/>
              <w:right w:val="single" w:sz="8" w:space="0" w:color="auto"/>
            </w:tcBorders>
            <w:shd w:val="clear" w:color="auto" w:fill="4F81BD" w:themeFill="accent1"/>
            <w:noWrap/>
            <w:tcMar>
              <w:top w:w="0" w:type="dxa"/>
              <w:left w:w="70" w:type="dxa"/>
              <w:bottom w:w="0" w:type="dxa"/>
              <w:right w:w="70" w:type="dxa"/>
            </w:tcMar>
            <w:vAlign w:val="bottom"/>
            <w:hideMark/>
          </w:tcPr>
          <w:p w14:paraId="3F9E01B9" w14:textId="77777777" w:rsidR="007A1B63" w:rsidRDefault="007A1B63">
            <w:pPr>
              <w:jc w:val="center"/>
              <w:rPr>
                <w:rFonts w:ascii="Arial" w:hAnsi="Arial" w:cs="Arial"/>
                <w:color w:val="000000"/>
                <w:sz w:val="20"/>
                <w:szCs w:val="20"/>
              </w:rPr>
            </w:pPr>
            <w:r>
              <w:rPr>
                <w:rFonts w:ascii="Arial" w:hAnsi="Arial" w:cs="Arial"/>
                <w:sz w:val="20"/>
                <w:szCs w:val="20"/>
              </w:rPr>
              <w:t>Ejecución (%)</w:t>
            </w:r>
          </w:p>
        </w:tc>
      </w:tr>
      <w:tr w:rsidR="007A1B63" w14:paraId="49C1F3F0" w14:textId="77777777" w:rsidTr="007A1B63">
        <w:trPr>
          <w:trHeight w:val="766"/>
        </w:trPr>
        <w:tc>
          <w:tcPr>
            <w:tcW w:w="6230" w:type="dxa"/>
            <w:tcBorders>
              <w:top w:val="nil"/>
              <w:left w:val="single" w:sz="8" w:space="0" w:color="auto"/>
              <w:bottom w:val="single" w:sz="4" w:space="0" w:color="auto"/>
              <w:right w:val="single" w:sz="8" w:space="0" w:color="auto"/>
            </w:tcBorders>
            <w:tcMar>
              <w:top w:w="0" w:type="dxa"/>
              <w:left w:w="70" w:type="dxa"/>
              <w:bottom w:w="0" w:type="dxa"/>
              <w:right w:w="70" w:type="dxa"/>
            </w:tcMar>
            <w:vAlign w:val="bottom"/>
            <w:hideMark/>
          </w:tcPr>
          <w:p w14:paraId="576CADE7" w14:textId="77777777" w:rsidR="007A1B63" w:rsidRDefault="007A1B63">
            <w:pPr>
              <w:rPr>
                <w:rFonts w:ascii="Arial" w:hAnsi="Arial" w:cs="Arial"/>
                <w:color w:val="000000"/>
                <w:sz w:val="20"/>
                <w:szCs w:val="20"/>
              </w:rPr>
            </w:pPr>
            <w:r>
              <w:rPr>
                <w:rFonts w:ascii="Arial" w:hAnsi="Arial" w:cs="Arial"/>
                <w:sz w:val="20"/>
                <w:szCs w:val="20"/>
              </w:rPr>
              <w:t>Prestación de servicios profesionales especializados como apoyo a la gestión de la información de recursos y reservas (recurso 1)</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7F584C2F" w14:textId="77777777" w:rsidR="007A1B63" w:rsidRDefault="007A1B63">
            <w:pPr>
              <w:jc w:val="right"/>
              <w:rPr>
                <w:rFonts w:ascii="Arial" w:hAnsi="Arial" w:cs="Arial"/>
                <w:color w:val="000000"/>
                <w:sz w:val="20"/>
                <w:szCs w:val="20"/>
              </w:rPr>
            </w:pPr>
            <w:r>
              <w:rPr>
                <w:rFonts w:ascii="Arial" w:hAnsi="Arial" w:cs="Arial"/>
                <w:sz w:val="20"/>
                <w:szCs w:val="20"/>
              </w:rPr>
              <w:t>$         138</w:t>
            </w:r>
          </w:p>
        </w:tc>
        <w:tc>
          <w:tcPr>
            <w:tcW w:w="1559"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796F9C09" w14:textId="77777777" w:rsidR="007A1B63" w:rsidRDefault="007A1B63">
            <w:pPr>
              <w:jc w:val="right"/>
              <w:rPr>
                <w:rFonts w:ascii="Arial" w:hAnsi="Arial" w:cs="Arial"/>
                <w:color w:val="000000"/>
                <w:sz w:val="20"/>
                <w:szCs w:val="20"/>
              </w:rPr>
            </w:pPr>
            <w:r>
              <w:rPr>
                <w:rFonts w:ascii="Arial" w:hAnsi="Arial" w:cs="Arial"/>
                <w:sz w:val="20"/>
                <w:szCs w:val="20"/>
              </w:rPr>
              <w:t>21%</w:t>
            </w:r>
          </w:p>
        </w:tc>
      </w:tr>
      <w:tr w:rsidR="007A1B63" w14:paraId="1FD5E958" w14:textId="77777777" w:rsidTr="007A1B63">
        <w:trPr>
          <w:trHeight w:val="766"/>
        </w:trPr>
        <w:tc>
          <w:tcPr>
            <w:tcW w:w="62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0B822F8" w14:textId="77777777" w:rsidR="007A1B63" w:rsidRDefault="007A1B63">
            <w:pPr>
              <w:rPr>
                <w:rFonts w:ascii="Arial" w:hAnsi="Arial" w:cs="Arial"/>
                <w:color w:val="000000"/>
                <w:sz w:val="20"/>
                <w:szCs w:val="20"/>
              </w:rPr>
            </w:pPr>
            <w:r>
              <w:rPr>
                <w:rFonts w:ascii="Arial" w:hAnsi="Arial" w:cs="Arial"/>
                <w:sz w:val="20"/>
                <w:szCs w:val="20"/>
              </w:rPr>
              <w:t>Prestación de servicios profesionales especializados como apoyo a la gestión de la información de recursos y reservas (recurso 2)</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224356" w14:textId="77777777" w:rsidR="007A1B63" w:rsidRDefault="007A1B63">
            <w:pPr>
              <w:jc w:val="right"/>
              <w:rPr>
                <w:rFonts w:ascii="Arial" w:hAnsi="Arial" w:cs="Arial"/>
                <w:color w:val="000000"/>
                <w:sz w:val="20"/>
                <w:szCs w:val="20"/>
              </w:rPr>
            </w:pPr>
            <w:r>
              <w:rPr>
                <w:rFonts w:ascii="Arial" w:hAnsi="Arial" w:cs="Arial"/>
                <w:sz w:val="20"/>
                <w:szCs w:val="20"/>
              </w:rPr>
              <w:t>$         138</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7DF967" w14:textId="77777777" w:rsidR="007A1B63" w:rsidRDefault="007A1B63">
            <w:pPr>
              <w:jc w:val="right"/>
              <w:rPr>
                <w:rFonts w:ascii="Arial" w:hAnsi="Arial" w:cs="Arial"/>
                <w:color w:val="000000"/>
                <w:sz w:val="20"/>
                <w:szCs w:val="20"/>
              </w:rPr>
            </w:pPr>
            <w:r>
              <w:rPr>
                <w:rFonts w:ascii="Arial" w:hAnsi="Arial" w:cs="Arial"/>
                <w:sz w:val="20"/>
                <w:szCs w:val="20"/>
              </w:rPr>
              <w:t>21%</w:t>
            </w:r>
          </w:p>
        </w:tc>
      </w:tr>
      <w:tr w:rsidR="007A1B63" w14:paraId="19E4EDC1" w14:textId="77777777" w:rsidTr="007A1B63">
        <w:trPr>
          <w:trHeight w:val="766"/>
        </w:trPr>
        <w:tc>
          <w:tcPr>
            <w:tcW w:w="6230"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vAlign w:val="bottom"/>
            <w:hideMark/>
          </w:tcPr>
          <w:p w14:paraId="6C659149" w14:textId="77777777" w:rsidR="007A1B63" w:rsidRDefault="007A1B63">
            <w:pPr>
              <w:rPr>
                <w:rFonts w:ascii="Arial" w:hAnsi="Arial" w:cs="Arial"/>
                <w:color w:val="000000"/>
                <w:sz w:val="20"/>
                <w:szCs w:val="20"/>
              </w:rPr>
            </w:pPr>
            <w:r>
              <w:rPr>
                <w:rFonts w:ascii="Arial" w:hAnsi="Arial" w:cs="Arial"/>
                <w:sz w:val="20"/>
                <w:szCs w:val="20"/>
              </w:rPr>
              <w:t>Prestación de servicios profesionales especializados como apoyo a la gestión de la información de recursos y reservas (recurso 3)</w:t>
            </w:r>
          </w:p>
        </w:tc>
        <w:tc>
          <w:tcPr>
            <w:tcW w:w="1560"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hideMark/>
          </w:tcPr>
          <w:p w14:paraId="0F837FD4" w14:textId="77777777" w:rsidR="007A1B63" w:rsidRDefault="007A1B63">
            <w:pPr>
              <w:jc w:val="right"/>
              <w:rPr>
                <w:rFonts w:ascii="Arial" w:hAnsi="Arial" w:cs="Arial"/>
                <w:color w:val="000000"/>
                <w:sz w:val="20"/>
                <w:szCs w:val="20"/>
              </w:rPr>
            </w:pPr>
            <w:r>
              <w:rPr>
                <w:rFonts w:ascii="Arial" w:hAnsi="Arial" w:cs="Arial"/>
                <w:sz w:val="20"/>
                <w:szCs w:val="20"/>
              </w:rPr>
              <w:t>$         138</w:t>
            </w:r>
          </w:p>
        </w:tc>
        <w:tc>
          <w:tcPr>
            <w:tcW w:w="1559" w:type="dxa"/>
            <w:tcBorders>
              <w:top w:val="single" w:sz="4" w:space="0" w:color="auto"/>
              <w:left w:val="nil"/>
              <w:bottom w:val="single" w:sz="4" w:space="0" w:color="auto"/>
              <w:right w:val="single" w:sz="8" w:space="0" w:color="auto"/>
            </w:tcBorders>
            <w:noWrap/>
            <w:tcMar>
              <w:top w:w="0" w:type="dxa"/>
              <w:left w:w="70" w:type="dxa"/>
              <w:bottom w:w="0" w:type="dxa"/>
              <w:right w:w="70" w:type="dxa"/>
            </w:tcMar>
            <w:vAlign w:val="center"/>
            <w:hideMark/>
          </w:tcPr>
          <w:p w14:paraId="42CBA77B" w14:textId="77777777" w:rsidR="007A1B63" w:rsidRDefault="007A1B63">
            <w:pPr>
              <w:jc w:val="right"/>
              <w:rPr>
                <w:rFonts w:ascii="Arial" w:hAnsi="Arial" w:cs="Arial"/>
                <w:color w:val="000000"/>
                <w:sz w:val="20"/>
                <w:szCs w:val="20"/>
              </w:rPr>
            </w:pPr>
            <w:r>
              <w:rPr>
                <w:rFonts w:ascii="Arial" w:hAnsi="Arial" w:cs="Arial"/>
                <w:sz w:val="20"/>
                <w:szCs w:val="20"/>
              </w:rPr>
              <w:t>15%</w:t>
            </w:r>
          </w:p>
        </w:tc>
      </w:tr>
      <w:tr w:rsidR="007A1B63" w14:paraId="279941AF" w14:textId="77777777" w:rsidTr="007A1B63">
        <w:trPr>
          <w:trHeight w:val="766"/>
        </w:trPr>
        <w:tc>
          <w:tcPr>
            <w:tcW w:w="62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E81D74E" w14:textId="77777777" w:rsidR="007A1B63" w:rsidRDefault="007A1B63">
            <w:pPr>
              <w:rPr>
                <w:rFonts w:ascii="Arial" w:hAnsi="Arial" w:cs="Arial"/>
                <w:color w:val="000000"/>
                <w:sz w:val="20"/>
                <w:szCs w:val="20"/>
              </w:rPr>
            </w:pPr>
            <w:r>
              <w:rPr>
                <w:rFonts w:ascii="Arial" w:hAnsi="Arial" w:cs="Arial"/>
                <w:sz w:val="20"/>
                <w:szCs w:val="20"/>
              </w:rPr>
              <w:t>Prestación de servicios profesionales especializados como apoyo a la gestión de la información de recursos y reservas (recurso 4)</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2DD581" w14:textId="77777777" w:rsidR="007A1B63" w:rsidRDefault="007A1B63">
            <w:pPr>
              <w:jc w:val="right"/>
              <w:rPr>
                <w:rFonts w:ascii="Arial" w:hAnsi="Arial" w:cs="Arial"/>
                <w:color w:val="000000"/>
                <w:sz w:val="20"/>
                <w:szCs w:val="20"/>
              </w:rPr>
            </w:pPr>
            <w:r>
              <w:rPr>
                <w:rFonts w:ascii="Arial" w:hAnsi="Arial" w:cs="Arial"/>
                <w:sz w:val="20"/>
                <w:szCs w:val="20"/>
              </w:rPr>
              <w:t>$         110</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648D9B" w14:textId="77777777" w:rsidR="007A1B63" w:rsidRDefault="007A1B63">
            <w:pPr>
              <w:jc w:val="right"/>
              <w:rPr>
                <w:rFonts w:ascii="Arial" w:hAnsi="Arial" w:cs="Arial"/>
                <w:color w:val="000000"/>
                <w:sz w:val="20"/>
                <w:szCs w:val="20"/>
              </w:rPr>
            </w:pPr>
            <w:r>
              <w:rPr>
                <w:rFonts w:ascii="Arial" w:hAnsi="Arial" w:cs="Arial"/>
                <w:sz w:val="20"/>
                <w:szCs w:val="20"/>
              </w:rPr>
              <w:t>21%</w:t>
            </w:r>
          </w:p>
        </w:tc>
      </w:tr>
      <w:tr w:rsidR="007A1B63" w14:paraId="7425DD43" w14:textId="77777777" w:rsidTr="007A1B63">
        <w:trPr>
          <w:trHeight w:val="766"/>
        </w:trPr>
        <w:tc>
          <w:tcPr>
            <w:tcW w:w="62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3D79B044" w14:textId="77777777" w:rsidR="007A1B63" w:rsidRDefault="007A1B63">
            <w:pPr>
              <w:rPr>
                <w:rFonts w:ascii="Arial" w:hAnsi="Arial" w:cs="Arial"/>
                <w:color w:val="000000"/>
                <w:sz w:val="20"/>
                <w:szCs w:val="20"/>
              </w:rPr>
            </w:pPr>
            <w:r>
              <w:rPr>
                <w:rFonts w:ascii="Arial" w:hAnsi="Arial" w:cs="Arial"/>
                <w:sz w:val="20"/>
                <w:szCs w:val="20"/>
              </w:rPr>
              <w:t>Prestación de servicios profesionales especializados como apoyo a la gestión de la información de recursos y reservas (recurso 5)</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6BE471" w14:textId="77777777" w:rsidR="007A1B63" w:rsidRDefault="007A1B63">
            <w:pPr>
              <w:jc w:val="right"/>
              <w:rPr>
                <w:rFonts w:ascii="Arial" w:hAnsi="Arial" w:cs="Arial"/>
                <w:color w:val="000000"/>
                <w:sz w:val="20"/>
                <w:szCs w:val="20"/>
              </w:rPr>
            </w:pPr>
            <w:r>
              <w:rPr>
                <w:rFonts w:ascii="Arial" w:hAnsi="Arial" w:cs="Arial"/>
                <w:sz w:val="20"/>
                <w:szCs w:val="20"/>
              </w:rPr>
              <w:t>$         115</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77E52" w14:textId="77777777" w:rsidR="007A1B63" w:rsidRDefault="007A1B63">
            <w:pPr>
              <w:jc w:val="right"/>
              <w:rPr>
                <w:rFonts w:ascii="Arial" w:hAnsi="Arial" w:cs="Arial"/>
                <w:color w:val="000000"/>
                <w:sz w:val="20"/>
                <w:szCs w:val="20"/>
              </w:rPr>
            </w:pPr>
            <w:r>
              <w:rPr>
                <w:rFonts w:ascii="Arial" w:hAnsi="Arial" w:cs="Arial"/>
                <w:sz w:val="20"/>
                <w:szCs w:val="20"/>
              </w:rPr>
              <w:t>21%</w:t>
            </w:r>
          </w:p>
        </w:tc>
      </w:tr>
      <w:tr w:rsidR="007A1B63" w14:paraId="03DBD127" w14:textId="77777777" w:rsidTr="007A1B63">
        <w:trPr>
          <w:trHeight w:val="766"/>
        </w:trPr>
        <w:tc>
          <w:tcPr>
            <w:tcW w:w="62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6BA657F6" w14:textId="77777777" w:rsidR="007A1B63" w:rsidRDefault="007A1B63">
            <w:pPr>
              <w:rPr>
                <w:rFonts w:ascii="Arial" w:hAnsi="Arial" w:cs="Arial"/>
                <w:color w:val="000000"/>
                <w:sz w:val="20"/>
                <w:szCs w:val="20"/>
              </w:rPr>
            </w:pPr>
            <w:r>
              <w:rPr>
                <w:rFonts w:ascii="Arial" w:hAnsi="Arial" w:cs="Arial"/>
                <w:sz w:val="20"/>
                <w:szCs w:val="20"/>
              </w:rPr>
              <w:t>Prestación de servicios profesionales especializados como apoyo a la gestión de la información de recursos y reservas (recurso 6)</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896589" w14:textId="77777777" w:rsidR="007A1B63" w:rsidRDefault="007A1B63">
            <w:pPr>
              <w:jc w:val="right"/>
              <w:rPr>
                <w:rFonts w:ascii="Arial" w:hAnsi="Arial" w:cs="Arial"/>
                <w:color w:val="000000"/>
                <w:sz w:val="20"/>
                <w:szCs w:val="20"/>
              </w:rPr>
            </w:pPr>
            <w:r>
              <w:rPr>
                <w:rFonts w:ascii="Arial" w:hAnsi="Arial" w:cs="Arial"/>
                <w:sz w:val="20"/>
                <w:szCs w:val="20"/>
              </w:rPr>
              <w:t>$         138</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92BA3" w14:textId="77777777" w:rsidR="007A1B63" w:rsidRDefault="007A1B63">
            <w:pPr>
              <w:jc w:val="right"/>
              <w:rPr>
                <w:rFonts w:ascii="Arial" w:hAnsi="Arial" w:cs="Arial"/>
                <w:color w:val="000000"/>
                <w:sz w:val="20"/>
                <w:szCs w:val="20"/>
              </w:rPr>
            </w:pPr>
            <w:r>
              <w:rPr>
                <w:rFonts w:ascii="Arial" w:hAnsi="Arial" w:cs="Arial"/>
                <w:sz w:val="20"/>
                <w:szCs w:val="20"/>
              </w:rPr>
              <w:t>21%</w:t>
            </w:r>
          </w:p>
        </w:tc>
      </w:tr>
      <w:tr w:rsidR="007A1B63" w14:paraId="1FE00A41" w14:textId="77777777" w:rsidTr="007A1B63">
        <w:trPr>
          <w:trHeight w:val="766"/>
        </w:trPr>
        <w:tc>
          <w:tcPr>
            <w:tcW w:w="62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2F37CD7" w14:textId="77777777" w:rsidR="007A1B63" w:rsidRDefault="007A1B63">
            <w:pPr>
              <w:rPr>
                <w:rFonts w:ascii="Arial" w:hAnsi="Arial" w:cs="Arial"/>
                <w:color w:val="000000"/>
                <w:sz w:val="20"/>
                <w:szCs w:val="20"/>
              </w:rPr>
            </w:pPr>
            <w:r>
              <w:rPr>
                <w:rFonts w:ascii="Arial" w:hAnsi="Arial" w:cs="Arial"/>
                <w:sz w:val="20"/>
                <w:szCs w:val="20"/>
              </w:rPr>
              <w:t>contratar la prestación de servicios profesionales especializados como apoyo a la gestión de la información de recursos y reservas (recurso 7)</w:t>
            </w:r>
          </w:p>
        </w:tc>
        <w:tc>
          <w:tcPr>
            <w:tcW w:w="15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91C5E" w14:textId="77777777" w:rsidR="007A1B63" w:rsidRDefault="007A1B63">
            <w:pPr>
              <w:jc w:val="right"/>
              <w:rPr>
                <w:rFonts w:ascii="Arial" w:hAnsi="Arial" w:cs="Arial"/>
                <w:color w:val="000000"/>
                <w:sz w:val="20"/>
                <w:szCs w:val="20"/>
              </w:rPr>
            </w:pPr>
            <w:r>
              <w:rPr>
                <w:rFonts w:ascii="Arial" w:hAnsi="Arial" w:cs="Arial"/>
                <w:sz w:val="20"/>
                <w:szCs w:val="20"/>
              </w:rPr>
              <w:t>$           82</w:t>
            </w:r>
          </w:p>
        </w:tc>
        <w:tc>
          <w:tcPr>
            <w:tcW w:w="155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92414D" w14:textId="77777777" w:rsidR="007A1B63" w:rsidRDefault="007A1B63">
            <w:pPr>
              <w:jc w:val="right"/>
              <w:rPr>
                <w:rFonts w:ascii="Arial" w:hAnsi="Arial" w:cs="Arial"/>
                <w:color w:val="000000"/>
                <w:sz w:val="20"/>
                <w:szCs w:val="20"/>
              </w:rPr>
            </w:pPr>
            <w:r>
              <w:rPr>
                <w:rFonts w:ascii="Arial" w:hAnsi="Arial" w:cs="Arial"/>
                <w:sz w:val="20"/>
                <w:szCs w:val="20"/>
              </w:rPr>
              <w:t>19%</w:t>
            </w:r>
          </w:p>
        </w:tc>
      </w:tr>
    </w:tbl>
    <w:p w14:paraId="42BC07C2" w14:textId="70F62CF0"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42826AA7" w14:textId="77777777" w:rsidR="00C02282" w:rsidRPr="007A1B63" w:rsidRDefault="00C02282" w:rsidP="00C02282">
      <w:pPr>
        <w:jc w:val="center"/>
        <w:rPr>
          <w:rFonts w:ascii="Arial" w:hAnsi="Arial" w:cs="Arial"/>
          <w:bCs/>
          <w:lang w:val="es-MX" w:eastAsia="es-ES"/>
        </w:rPr>
      </w:pPr>
      <w:r w:rsidRPr="007A1B63">
        <w:rPr>
          <w:rFonts w:ascii="Calibri" w:hAnsi="Calibri" w:cs="Calibri"/>
          <w:sz w:val="18"/>
          <w:szCs w:val="18"/>
        </w:rPr>
        <w:t>Fuente SIIF</w:t>
      </w:r>
    </w:p>
    <w:p w14:paraId="204265F5" w14:textId="60DBD6C5" w:rsidR="00C02282" w:rsidRPr="007A1B63" w:rsidRDefault="00C02282" w:rsidP="00C02282">
      <w:pPr>
        <w:pStyle w:val="Descripcin"/>
        <w:keepNext/>
      </w:pPr>
      <w:bookmarkStart w:id="165" w:name="_Toc525652529"/>
      <w:r w:rsidRPr="007A1B63">
        <w:t xml:space="preserve">Tabla </w:t>
      </w:r>
      <w:r w:rsidRPr="007A1B63">
        <w:fldChar w:fldCharType="begin"/>
      </w:r>
      <w:r w:rsidRPr="007A1B63">
        <w:instrText xml:space="preserve"> SEQ Tabla \* ARABIC </w:instrText>
      </w:r>
      <w:r w:rsidRPr="007A1B63">
        <w:fldChar w:fldCharType="separate"/>
      </w:r>
      <w:r w:rsidR="008B4625">
        <w:rPr>
          <w:noProof/>
        </w:rPr>
        <w:t>84</w:t>
      </w:r>
      <w:r w:rsidRPr="007A1B63">
        <w:fldChar w:fldCharType="end"/>
      </w:r>
      <w:r w:rsidRPr="007A1B63">
        <w:t>Ejecución Gastos de Comercialización y Producción – Gerencia de Reservas y Operaciones 3</w:t>
      </w:r>
      <w:r w:rsidR="007A1B63">
        <w:t xml:space="preserve">0 de junio de 2018 </w:t>
      </w:r>
      <w:r w:rsidRPr="007A1B63">
        <w:t xml:space="preserve"> ANH</w:t>
      </w:r>
      <w:bookmarkEnd w:id="165"/>
    </w:p>
    <w:tbl>
      <w:tblPr>
        <w:tblW w:w="9562" w:type="dxa"/>
        <w:jc w:val="center"/>
        <w:tblCellMar>
          <w:left w:w="70" w:type="dxa"/>
          <w:right w:w="70" w:type="dxa"/>
        </w:tblCellMar>
        <w:tblLook w:val="04A0" w:firstRow="1" w:lastRow="0" w:firstColumn="1" w:lastColumn="0" w:noHBand="0" w:noVBand="1"/>
      </w:tblPr>
      <w:tblGrid>
        <w:gridCol w:w="2210"/>
        <w:gridCol w:w="1422"/>
        <w:gridCol w:w="1545"/>
        <w:gridCol w:w="1599"/>
        <w:gridCol w:w="1503"/>
        <w:gridCol w:w="1283"/>
      </w:tblGrid>
      <w:tr w:rsidR="007A1B63" w14:paraId="36C02E99" w14:textId="77777777" w:rsidTr="007A1B63">
        <w:trPr>
          <w:trHeight w:val="421"/>
          <w:jc w:val="center"/>
        </w:trPr>
        <w:tc>
          <w:tcPr>
            <w:tcW w:w="2210" w:type="dxa"/>
            <w:tcBorders>
              <w:top w:val="single" w:sz="6" w:space="0" w:color="auto"/>
              <w:left w:val="single" w:sz="6" w:space="0" w:color="auto"/>
              <w:bottom w:val="single" w:sz="6" w:space="0" w:color="auto"/>
              <w:right w:val="single" w:sz="6" w:space="0" w:color="auto"/>
            </w:tcBorders>
            <w:shd w:val="clear" w:color="auto" w:fill="4F81BD" w:themeFill="accent1"/>
            <w:noWrap/>
            <w:hideMark/>
          </w:tcPr>
          <w:bookmarkEnd w:id="164"/>
          <w:p w14:paraId="38D69EDE" w14:textId="77777777" w:rsidR="007A1B63" w:rsidRDefault="007A1B63">
            <w:pPr>
              <w:jc w:val="center"/>
              <w:rPr>
                <w:rFonts w:ascii="Arial" w:hAnsi="Arial" w:cs="Arial"/>
                <w:b/>
                <w:bCs/>
                <w:color w:val="000000"/>
                <w:sz w:val="16"/>
                <w:szCs w:val="16"/>
              </w:rPr>
            </w:pPr>
            <w:r>
              <w:rPr>
                <w:rFonts w:ascii="Arial" w:hAnsi="Arial" w:cs="Arial"/>
                <w:b/>
                <w:bCs/>
                <w:sz w:val="16"/>
                <w:szCs w:val="16"/>
              </w:rPr>
              <w:t>Descripción</w:t>
            </w:r>
          </w:p>
        </w:tc>
        <w:tc>
          <w:tcPr>
            <w:tcW w:w="1422" w:type="dxa"/>
            <w:tcBorders>
              <w:top w:val="single" w:sz="6" w:space="0" w:color="auto"/>
              <w:left w:val="single" w:sz="6" w:space="0" w:color="auto"/>
              <w:bottom w:val="single" w:sz="6" w:space="0" w:color="auto"/>
              <w:right w:val="single" w:sz="6" w:space="0" w:color="auto"/>
            </w:tcBorders>
            <w:shd w:val="clear" w:color="auto" w:fill="4F81BD" w:themeFill="accent1"/>
            <w:noWrap/>
            <w:hideMark/>
          </w:tcPr>
          <w:p w14:paraId="1C9982FE" w14:textId="77777777" w:rsidR="007A1B63" w:rsidRDefault="007A1B63">
            <w:pPr>
              <w:jc w:val="center"/>
              <w:rPr>
                <w:rFonts w:ascii="Arial" w:hAnsi="Arial" w:cs="Arial"/>
                <w:b/>
                <w:bCs/>
                <w:color w:val="000000"/>
                <w:sz w:val="16"/>
                <w:szCs w:val="16"/>
              </w:rPr>
            </w:pPr>
            <w:r>
              <w:rPr>
                <w:rFonts w:ascii="Arial" w:hAnsi="Arial" w:cs="Arial"/>
                <w:b/>
                <w:bCs/>
                <w:sz w:val="16"/>
                <w:szCs w:val="16"/>
              </w:rPr>
              <w:t xml:space="preserve"> Apropiación </w:t>
            </w:r>
          </w:p>
        </w:tc>
        <w:tc>
          <w:tcPr>
            <w:tcW w:w="1545" w:type="dxa"/>
            <w:tcBorders>
              <w:top w:val="single" w:sz="6" w:space="0" w:color="auto"/>
              <w:left w:val="single" w:sz="6" w:space="0" w:color="auto"/>
              <w:bottom w:val="single" w:sz="6" w:space="0" w:color="auto"/>
              <w:right w:val="single" w:sz="6" w:space="0" w:color="auto"/>
            </w:tcBorders>
            <w:shd w:val="clear" w:color="auto" w:fill="4F81BD" w:themeFill="accent1"/>
            <w:noWrap/>
            <w:hideMark/>
          </w:tcPr>
          <w:p w14:paraId="484303AB" w14:textId="77777777" w:rsidR="007A1B63" w:rsidRDefault="007A1B63">
            <w:pPr>
              <w:jc w:val="center"/>
              <w:rPr>
                <w:rFonts w:ascii="Arial" w:hAnsi="Arial" w:cs="Arial"/>
                <w:b/>
                <w:bCs/>
                <w:color w:val="000000"/>
                <w:sz w:val="16"/>
                <w:szCs w:val="16"/>
              </w:rPr>
            </w:pPr>
            <w:r>
              <w:rPr>
                <w:rFonts w:ascii="Arial" w:hAnsi="Arial" w:cs="Arial"/>
                <w:b/>
                <w:bCs/>
                <w:sz w:val="16"/>
                <w:szCs w:val="16"/>
              </w:rPr>
              <w:t xml:space="preserve"> </w:t>
            </w:r>
            <w:proofErr w:type="spellStart"/>
            <w:r>
              <w:rPr>
                <w:rFonts w:ascii="Arial" w:hAnsi="Arial" w:cs="Arial"/>
                <w:b/>
                <w:bCs/>
                <w:sz w:val="16"/>
                <w:szCs w:val="16"/>
              </w:rPr>
              <w:t>Acum</w:t>
            </w:r>
            <w:proofErr w:type="spellEnd"/>
            <w:r>
              <w:rPr>
                <w:rFonts w:ascii="Arial" w:hAnsi="Arial" w:cs="Arial"/>
                <w:b/>
                <w:bCs/>
                <w:sz w:val="16"/>
                <w:szCs w:val="16"/>
              </w:rPr>
              <w:t xml:space="preserve"> CDP</w:t>
            </w:r>
          </w:p>
        </w:tc>
        <w:tc>
          <w:tcPr>
            <w:tcW w:w="1599" w:type="dxa"/>
            <w:tcBorders>
              <w:top w:val="single" w:sz="6" w:space="0" w:color="auto"/>
              <w:left w:val="single" w:sz="6" w:space="0" w:color="auto"/>
              <w:bottom w:val="single" w:sz="6" w:space="0" w:color="auto"/>
              <w:right w:val="single" w:sz="6" w:space="0" w:color="auto"/>
            </w:tcBorders>
            <w:shd w:val="clear" w:color="auto" w:fill="4F81BD" w:themeFill="accent1"/>
            <w:noWrap/>
            <w:hideMark/>
          </w:tcPr>
          <w:p w14:paraId="4DF09634" w14:textId="77777777" w:rsidR="007A1B63" w:rsidRDefault="007A1B63">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Compromisos </w:t>
            </w:r>
          </w:p>
        </w:tc>
        <w:tc>
          <w:tcPr>
            <w:tcW w:w="1503" w:type="dxa"/>
            <w:tcBorders>
              <w:top w:val="single" w:sz="6" w:space="0" w:color="auto"/>
              <w:left w:val="single" w:sz="6" w:space="0" w:color="auto"/>
              <w:bottom w:val="single" w:sz="6" w:space="0" w:color="auto"/>
              <w:right w:val="single" w:sz="6" w:space="0" w:color="auto"/>
            </w:tcBorders>
            <w:shd w:val="clear" w:color="auto" w:fill="4F81BD" w:themeFill="accent1"/>
            <w:noWrap/>
            <w:hideMark/>
          </w:tcPr>
          <w:p w14:paraId="21BF35FD" w14:textId="77777777" w:rsidR="007A1B63" w:rsidRDefault="007A1B63">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Obligaciones </w:t>
            </w:r>
          </w:p>
        </w:tc>
        <w:tc>
          <w:tcPr>
            <w:tcW w:w="1283" w:type="dxa"/>
            <w:tcBorders>
              <w:top w:val="single" w:sz="6" w:space="0" w:color="auto"/>
              <w:left w:val="single" w:sz="6" w:space="0" w:color="auto"/>
              <w:bottom w:val="single" w:sz="6" w:space="0" w:color="auto"/>
              <w:right w:val="single" w:sz="6" w:space="0" w:color="auto"/>
            </w:tcBorders>
            <w:shd w:val="clear" w:color="auto" w:fill="4F81BD" w:themeFill="accent1"/>
            <w:noWrap/>
            <w:hideMark/>
          </w:tcPr>
          <w:p w14:paraId="3F86F05E" w14:textId="77777777" w:rsidR="007A1B63" w:rsidRDefault="007A1B63">
            <w:pPr>
              <w:jc w:val="center"/>
              <w:rPr>
                <w:rFonts w:ascii="Arial" w:hAnsi="Arial" w:cs="Arial"/>
                <w:b/>
                <w:bCs/>
                <w:color w:val="000000"/>
                <w:sz w:val="16"/>
                <w:szCs w:val="16"/>
              </w:rPr>
            </w:pPr>
            <w:proofErr w:type="spellStart"/>
            <w:r>
              <w:rPr>
                <w:rFonts w:ascii="Arial" w:hAnsi="Arial" w:cs="Arial"/>
                <w:b/>
                <w:bCs/>
                <w:sz w:val="16"/>
                <w:szCs w:val="16"/>
              </w:rPr>
              <w:t>Acum</w:t>
            </w:r>
            <w:proofErr w:type="spellEnd"/>
            <w:r>
              <w:rPr>
                <w:rFonts w:ascii="Arial" w:hAnsi="Arial" w:cs="Arial"/>
                <w:b/>
                <w:bCs/>
                <w:sz w:val="16"/>
                <w:szCs w:val="16"/>
              </w:rPr>
              <w:t xml:space="preserve"> Pagos </w:t>
            </w:r>
          </w:p>
        </w:tc>
      </w:tr>
      <w:tr w:rsidR="007A1B63" w14:paraId="554EE85E" w14:textId="77777777" w:rsidTr="007A1B63">
        <w:trPr>
          <w:trHeight w:val="429"/>
          <w:jc w:val="center"/>
        </w:trPr>
        <w:tc>
          <w:tcPr>
            <w:tcW w:w="2210" w:type="dxa"/>
            <w:tcBorders>
              <w:top w:val="single" w:sz="6" w:space="0" w:color="auto"/>
              <w:left w:val="single" w:sz="6" w:space="0" w:color="auto"/>
              <w:bottom w:val="single" w:sz="6" w:space="0" w:color="auto"/>
              <w:right w:val="single" w:sz="6" w:space="0" w:color="auto"/>
            </w:tcBorders>
            <w:noWrap/>
            <w:vAlign w:val="bottom"/>
            <w:hideMark/>
          </w:tcPr>
          <w:p w14:paraId="05C8855E" w14:textId="77777777" w:rsidR="007A1B63" w:rsidRDefault="007A1B63">
            <w:pPr>
              <w:rPr>
                <w:rFonts w:ascii="Arial" w:hAnsi="Arial" w:cs="Arial"/>
                <w:b/>
                <w:bCs/>
                <w:color w:val="000000"/>
                <w:sz w:val="16"/>
                <w:szCs w:val="16"/>
              </w:rPr>
            </w:pPr>
            <w:r>
              <w:rPr>
                <w:rFonts w:ascii="Arial" w:hAnsi="Arial" w:cs="Arial"/>
                <w:b/>
                <w:bCs/>
                <w:sz w:val="16"/>
                <w:szCs w:val="16"/>
              </w:rPr>
              <w:t>Gastos de Comercialización</w:t>
            </w:r>
          </w:p>
        </w:tc>
        <w:tc>
          <w:tcPr>
            <w:tcW w:w="1422" w:type="dxa"/>
            <w:tcBorders>
              <w:top w:val="single" w:sz="6" w:space="0" w:color="auto"/>
              <w:left w:val="single" w:sz="6" w:space="0" w:color="auto"/>
              <w:bottom w:val="single" w:sz="6" w:space="0" w:color="auto"/>
              <w:right w:val="single" w:sz="6" w:space="0" w:color="auto"/>
            </w:tcBorders>
            <w:noWrap/>
            <w:vAlign w:val="center"/>
            <w:hideMark/>
          </w:tcPr>
          <w:p w14:paraId="78B11C32" w14:textId="77777777" w:rsidR="007A1B63" w:rsidRDefault="007A1B63">
            <w:pPr>
              <w:jc w:val="right"/>
              <w:rPr>
                <w:rFonts w:ascii="Arial" w:hAnsi="Arial" w:cs="Arial"/>
                <w:color w:val="000000"/>
                <w:sz w:val="16"/>
                <w:szCs w:val="16"/>
              </w:rPr>
            </w:pPr>
            <w:r>
              <w:rPr>
                <w:rFonts w:ascii="Arial" w:hAnsi="Arial" w:cs="Arial"/>
                <w:sz w:val="16"/>
                <w:szCs w:val="16"/>
              </w:rPr>
              <w:t>$ 2.573</w:t>
            </w:r>
          </w:p>
        </w:tc>
        <w:tc>
          <w:tcPr>
            <w:tcW w:w="1545" w:type="dxa"/>
            <w:tcBorders>
              <w:top w:val="single" w:sz="6" w:space="0" w:color="auto"/>
              <w:left w:val="single" w:sz="6" w:space="0" w:color="auto"/>
              <w:bottom w:val="single" w:sz="6" w:space="0" w:color="auto"/>
              <w:right w:val="single" w:sz="6" w:space="0" w:color="auto"/>
            </w:tcBorders>
            <w:noWrap/>
            <w:vAlign w:val="center"/>
            <w:hideMark/>
          </w:tcPr>
          <w:p w14:paraId="3D939B15" w14:textId="77777777" w:rsidR="007A1B63" w:rsidRDefault="007A1B63">
            <w:pPr>
              <w:jc w:val="right"/>
              <w:rPr>
                <w:rFonts w:ascii="Arial" w:hAnsi="Arial" w:cs="Arial"/>
                <w:color w:val="000000"/>
                <w:sz w:val="16"/>
                <w:szCs w:val="16"/>
              </w:rPr>
            </w:pPr>
            <w:r>
              <w:rPr>
                <w:rFonts w:ascii="Arial" w:hAnsi="Arial" w:cs="Arial"/>
                <w:sz w:val="16"/>
                <w:szCs w:val="16"/>
              </w:rPr>
              <w:t>$ 852</w:t>
            </w:r>
          </w:p>
        </w:tc>
        <w:tc>
          <w:tcPr>
            <w:tcW w:w="1599" w:type="dxa"/>
            <w:tcBorders>
              <w:top w:val="single" w:sz="6" w:space="0" w:color="auto"/>
              <w:left w:val="single" w:sz="6" w:space="0" w:color="auto"/>
              <w:bottom w:val="single" w:sz="6" w:space="0" w:color="auto"/>
              <w:right w:val="single" w:sz="6" w:space="0" w:color="auto"/>
            </w:tcBorders>
            <w:noWrap/>
            <w:vAlign w:val="center"/>
            <w:hideMark/>
          </w:tcPr>
          <w:p w14:paraId="62B14447" w14:textId="77777777" w:rsidR="007A1B63" w:rsidRDefault="007A1B63">
            <w:pPr>
              <w:jc w:val="right"/>
              <w:rPr>
                <w:rFonts w:ascii="Arial" w:hAnsi="Arial" w:cs="Arial"/>
                <w:color w:val="000000"/>
                <w:sz w:val="16"/>
                <w:szCs w:val="16"/>
              </w:rPr>
            </w:pPr>
            <w:r>
              <w:rPr>
                <w:rFonts w:ascii="Arial" w:hAnsi="Arial" w:cs="Arial"/>
                <w:sz w:val="16"/>
                <w:szCs w:val="16"/>
              </w:rPr>
              <w:t>$ 819</w:t>
            </w:r>
          </w:p>
        </w:tc>
        <w:tc>
          <w:tcPr>
            <w:tcW w:w="1503" w:type="dxa"/>
            <w:tcBorders>
              <w:top w:val="single" w:sz="6" w:space="0" w:color="auto"/>
              <w:left w:val="single" w:sz="6" w:space="0" w:color="auto"/>
              <w:bottom w:val="single" w:sz="6" w:space="0" w:color="auto"/>
              <w:right w:val="single" w:sz="6" w:space="0" w:color="auto"/>
            </w:tcBorders>
            <w:noWrap/>
            <w:vAlign w:val="center"/>
            <w:hideMark/>
          </w:tcPr>
          <w:p w14:paraId="459534DB" w14:textId="77777777" w:rsidR="007A1B63" w:rsidRDefault="007A1B63">
            <w:pPr>
              <w:jc w:val="right"/>
              <w:rPr>
                <w:rFonts w:ascii="Arial" w:hAnsi="Arial" w:cs="Arial"/>
                <w:color w:val="000000"/>
                <w:sz w:val="16"/>
                <w:szCs w:val="16"/>
              </w:rPr>
            </w:pPr>
            <w:r>
              <w:rPr>
                <w:rFonts w:ascii="Arial" w:hAnsi="Arial" w:cs="Arial"/>
                <w:sz w:val="16"/>
                <w:szCs w:val="16"/>
              </w:rPr>
              <w:t>$ 340</w:t>
            </w:r>
          </w:p>
        </w:tc>
        <w:tc>
          <w:tcPr>
            <w:tcW w:w="1283" w:type="dxa"/>
            <w:tcBorders>
              <w:top w:val="single" w:sz="6" w:space="0" w:color="auto"/>
              <w:left w:val="single" w:sz="6" w:space="0" w:color="auto"/>
              <w:bottom w:val="single" w:sz="6" w:space="0" w:color="auto"/>
              <w:right w:val="single" w:sz="6" w:space="0" w:color="auto"/>
            </w:tcBorders>
            <w:noWrap/>
            <w:vAlign w:val="center"/>
            <w:hideMark/>
          </w:tcPr>
          <w:p w14:paraId="08197FF7" w14:textId="77777777" w:rsidR="007A1B63" w:rsidRDefault="007A1B63">
            <w:pPr>
              <w:jc w:val="right"/>
              <w:rPr>
                <w:rFonts w:ascii="Arial" w:hAnsi="Arial" w:cs="Arial"/>
                <w:color w:val="000000"/>
                <w:sz w:val="16"/>
                <w:szCs w:val="16"/>
              </w:rPr>
            </w:pPr>
            <w:r>
              <w:rPr>
                <w:rFonts w:ascii="Arial" w:hAnsi="Arial" w:cs="Arial"/>
                <w:sz w:val="16"/>
                <w:szCs w:val="16"/>
              </w:rPr>
              <w:t>$ 340</w:t>
            </w:r>
          </w:p>
        </w:tc>
      </w:tr>
      <w:tr w:rsidR="007A1B63" w14:paraId="0C479B15" w14:textId="77777777" w:rsidTr="007A1B63">
        <w:trPr>
          <w:trHeight w:val="300"/>
          <w:jc w:val="center"/>
        </w:trPr>
        <w:tc>
          <w:tcPr>
            <w:tcW w:w="3632"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0C15F8B" w14:textId="77777777" w:rsidR="007A1B63" w:rsidRDefault="007A1B63">
            <w:pPr>
              <w:jc w:val="center"/>
              <w:rPr>
                <w:rFonts w:ascii="Arial" w:hAnsi="Arial" w:cs="Arial"/>
                <w:b/>
                <w:bCs/>
                <w:color w:val="000000"/>
                <w:sz w:val="16"/>
                <w:szCs w:val="16"/>
              </w:rPr>
            </w:pPr>
            <w:r>
              <w:rPr>
                <w:rFonts w:ascii="Arial" w:hAnsi="Arial" w:cs="Arial"/>
                <w:b/>
                <w:bCs/>
                <w:sz w:val="16"/>
                <w:szCs w:val="16"/>
              </w:rPr>
              <w:t>Porcentaje de ejecución</w:t>
            </w:r>
          </w:p>
        </w:tc>
        <w:tc>
          <w:tcPr>
            <w:tcW w:w="1545"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757B4E68" w14:textId="77777777" w:rsidR="007A1B63" w:rsidRDefault="007A1B63">
            <w:pPr>
              <w:jc w:val="right"/>
              <w:rPr>
                <w:rFonts w:ascii="Arial" w:hAnsi="Arial" w:cs="Arial"/>
                <w:b/>
                <w:bCs/>
                <w:color w:val="000000"/>
                <w:sz w:val="16"/>
                <w:szCs w:val="16"/>
              </w:rPr>
            </w:pPr>
            <w:r>
              <w:rPr>
                <w:rFonts w:ascii="Arial" w:hAnsi="Arial" w:cs="Arial"/>
                <w:b/>
                <w:bCs/>
                <w:sz w:val="16"/>
                <w:szCs w:val="16"/>
              </w:rPr>
              <w:t>33%</w:t>
            </w:r>
          </w:p>
        </w:tc>
        <w:tc>
          <w:tcPr>
            <w:tcW w:w="1599"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67BCFBD" w14:textId="77777777" w:rsidR="007A1B63" w:rsidRDefault="007A1B63">
            <w:pPr>
              <w:jc w:val="right"/>
              <w:rPr>
                <w:rFonts w:ascii="Arial" w:hAnsi="Arial" w:cs="Arial"/>
                <w:b/>
                <w:bCs/>
                <w:color w:val="000000"/>
                <w:sz w:val="16"/>
                <w:szCs w:val="16"/>
              </w:rPr>
            </w:pPr>
            <w:r>
              <w:rPr>
                <w:rFonts w:ascii="Arial" w:hAnsi="Arial" w:cs="Arial"/>
                <w:b/>
                <w:bCs/>
                <w:sz w:val="16"/>
                <w:szCs w:val="16"/>
              </w:rPr>
              <w:t>32%</w:t>
            </w:r>
          </w:p>
        </w:tc>
        <w:tc>
          <w:tcPr>
            <w:tcW w:w="150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26DD44FA" w14:textId="77777777" w:rsidR="007A1B63" w:rsidRDefault="007A1B63">
            <w:pPr>
              <w:jc w:val="right"/>
              <w:rPr>
                <w:rFonts w:ascii="Arial" w:hAnsi="Arial" w:cs="Arial"/>
                <w:b/>
                <w:bCs/>
                <w:color w:val="000000"/>
                <w:sz w:val="16"/>
                <w:szCs w:val="16"/>
              </w:rPr>
            </w:pPr>
            <w:r>
              <w:rPr>
                <w:rFonts w:ascii="Arial" w:hAnsi="Arial" w:cs="Arial"/>
                <w:b/>
                <w:bCs/>
                <w:sz w:val="16"/>
                <w:szCs w:val="16"/>
              </w:rPr>
              <w:t>13%</w:t>
            </w:r>
          </w:p>
        </w:tc>
        <w:tc>
          <w:tcPr>
            <w:tcW w:w="1283" w:type="dxa"/>
            <w:tcBorders>
              <w:top w:val="single" w:sz="4" w:space="0" w:color="auto"/>
              <w:left w:val="nil"/>
              <w:bottom w:val="single" w:sz="4" w:space="0" w:color="auto"/>
              <w:right w:val="single" w:sz="4" w:space="0" w:color="auto"/>
            </w:tcBorders>
            <w:shd w:val="clear" w:color="auto" w:fill="4F81BD" w:themeFill="accent1"/>
            <w:noWrap/>
            <w:vAlign w:val="center"/>
            <w:hideMark/>
          </w:tcPr>
          <w:p w14:paraId="11ABF0F5" w14:textId="77777777" w:rsidR="007A1B63" w:rsidRDefault="007A1B63">
            <w:pPr>
              <w:jc w:val="right"/>
              <w:rPr>
                <w:rFonts w:ascii="Arial" w:hAnsi="Arial" w:cs="Arial"/>
                <w:b/>
                <w:bCs/>
                <w:color w:val="000000"/>
                <w:sz w:val="16"/>
                <w:szCs w:val="16"/>
              </w:rPr>
            </w:pPr>
            <w:r>
              <w:rPr>
                <w:rFonts w:ascii="Arial" w:hAnsi="Arial" w:cs="Arial"/>
                <w:b/>
                <w:bCs/>
                <w:sz w:val="16"/>
                <w:szCs w:val="16"/>
              </w:rPr>
              <w:t>13%</w:t>
            </w:r>
          </w:p>
        </w:tc>
      </w:tr>
    </w:tbl>
    <w:p w14:paraId="75DFC140" w14:textId="32153152"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2405ABC3" w14:textId="77777777" w:rsidR="00C02282" w:rsidRPr="007A1B63" w:rsidRDefault="00C02282" w:rsidP="00C02282">
      <w:pPr>
        <w:jc w:val="center"/>
        <w:rPr>
          <w:rFonts w:ascii="Arial" w:hAnsi="Arial" w:cs="Arial"/>
          <w:bCs/>
          <w:lang w:val="es-MX" w:eastAsia="es-ES"/>
        </w:rPr>
      </w:pPr>
      <w:r w:rsidRPr="007A1B63">
        <w:rPr>
          <w:rFonts w:ascii="Calibri" w:hAnsi="Calibri" w:cs="Calibri"/>
          <w:sz w:val="18"/>
          <w:szCs w:val="18"/>
        </w:rPr>
        <w:t>Fuente SIIF</w:t>
      </w:r>
    </w:p>
    <w:p w14:paraId="089B26E5" w14:textId="77777777" w:rsidR="00C02282" w:rsidRPr="007A1B63" w:rsidRDefault="00C02282" w:rsidP="00C02282">
      <w:pPr>
        <w:rPr>
          <w:rFonts w:ascii="Arial" w:hAnsi="Arial" w:cs="Arial"/>
          <w:b/>
        </w:rPr>
      </w:pPr>
      <w:r w:rsidRPr="007A1B63">
        <w:rPr>
          <w:rFonts w:ascii="Arial" w:hAnsi="Arial" w:cs="Arial"/>
          <w:b/>
        </w:rPr>
        <w:t>Gerencia de Regalías y Derechos Económicos – Vicepresidencia de Operaciones</w:t>
      </w:r>
    </w:p>
    <w:p w14:paraId="3D7935E2" w14:textId="793115B3" w:rsidR="007A1B63" w:rsidRDefault="007A1B63" w:rsidP="007A1B63">
      <w:pPr>
        <w:autoSpaceDN w:val="0"/>
        <w:jc w:val="both"/>
        <w:rPr>
          <w:rFonts w:ascii="Arial" w:eastAsia="Calibri" w:hAnsi="Arial" w:cs="Arial"/>
        </w:rPr>
      </w:pPr>
      <w:r>
        <w:rPr>
          <w:rFonts w:ascii="Arial" w:eastAsia="Calibri" w:hAnsi="Arial" w:cs="Arial"/>
        </w:rPr>
        <w:t xml:space="preserve">Durante el segundo trimestre de 2018 se continuó la ejecución de la contratación de prestación de servicios personales, para apoyo en la Gestión del ciclo de Regalías en especial la liquidación de éstas, la liquidación de Derechos Económicos y en conceptos jurídicos en los temas de </w:t>
      </w:r>
      <w:r>
        <w:rPr>
          <w:rFonts w:ascii="Arial" w:eastAsia="Calibri" w:hAnsi="Arial" w:cs="Arial"/>
        </w:rPr>
        <w:lastRenderedPageBreak/>
        <w:t xml:space="preserve">Reservas, Regalías y Derechos Económicos, con excepción de dos (2) contratos, que se dieron por terminados por mutuo acuerdo, quedando en ejecución un total de 15 contratos de prestación de servicios profesionales. La terminación de dos contratos, el 196 de 2018 y el 319 de 2018 </w:t>
      </w:r>
      <w:r>
        <w:rPr>
          <w:rFonts w:ascii="Arial" w:hAnsi="Arial" w:cs="Arial"/>
        </w:rPr>
        <w:t>el 8 de marzo de 2018 y el 2 de abril de 2018</w:t>
      </w:r>
      <w:r>
        <w:rPr>
          <w:rFonts w:ascii="Arial" w:eastAsia="Calibri" w:hAnsi="Arial" w:cs="Arial"/>
        </w:rPr>
        <w:t xml:space="preserve"> respectivamente, implicó que durante el segundo Trimestre de 2018 no se acumularan ni Obligaciones, ni Pagos; el saldo a</w:t>
      </w:r>
      <w:r w:rsidR="00206A80">
        <w:rPr>
          <w:rFonts w:ascii="Arial" w:eastAsia="Calibri" w:hAnsi="Arial" w:cs="Arial"/>
        </w:rPr>
        <w:t xml:space="preserve"> liberar de estos contratos es: </w:t>
      </w:r>
      <w:r>
        <w:rPr>
          <w:rFonts w:ascii="Arial" w:eastAsia="Calibri" w:hAnsi="Arial" w:cs="Arial"/>
        </w:rPr>
        <w:t xml:space="preserve">$69 millones del Contrato 196 y $69 millones del Contrato 319 de 2018, cada uno iba hasta el 31 de diciembre de 2018 </w:t>
      </w:r>
    </w:p>
    <w:p w14:paraId="1A92743D" w14:textId="3F3CC247" w:rsidR="00C02282" w:rsidRPr="007A1B63" w:rsidRDefault="007A1B63" w:rsidP="007A1B63">
      <w:pPr>
        <w:pStyle w:val="Descripcin"/>
        <w:keepNext/>
      </w:pPr>
      <w:r w:rsidRPr="007A1B63">
        <w:t xml:space="preserve"> </w:t>
      </w:r>
      <w:bookmarkStart w:id="166" w:name="_Toc525652530"/>
      <w:r w:rsidR="00C02282" w:rsidRPr="007A1B63">
        <w:t xml:space="preserve">Tabla </w:t>
      </w:r>
      <w:r w:rsidR="00C02282" w:rsidRPr="007A1B63">
        <w:fldChar w:fldCharType="begin"/>
      </w:r>
      <w:r w:rsidR="00C02282" w:rsidRPr="007A1B63">
        <w:instrText xml:space="preserve"> SEQ Tabla \* ARABIC </w:instrText>
      </w:r>
      <w:r w:rsidR="00C02282" w:rsidRPr="007A1B63">
        <w:fldChar w:fldCharType="separate"/>
      </w:r>
      <w:r w:rsidR="008B4625">
        <w:rPr>
          <w:noProof/>
        </w:rPr>
        <w:t>85</w:t>
      </w:r>
      <w:r w:rsidR="00C02282" w:rsidRPr="007A1B63">
        <w:fldChar w:fldCharType="end"/>
      </w:r>
      <w:r w:rsidR="00C02282" w:rsidRPr="007A1B63">
        <w:t xml:space="preserve"> Ejecución Gastos de Comercialización y Producción – Gerencia de Reservas y Operaciones 3</w:t>
      </w:r>
      <w:r w:rsidRPr="007A1B63">
        <w:t xml:space="preserve">0 de junio de 2018 </w:t>
      </w:r>
      <w:r w:rsidR="00C02282" w:rsidRPr="007A1B63">
        <w:t xml:space="preserve"> ANH</w:t>
      </w:r>
      <w:bookmarkEnd w:id="166"/>
    </w:p>
    <w:tbl>
      <w:tblPr>
        <w:tblStyle w:val="Tablaconcuadrcula"/>
        <w:tblW w:w="0" w:type="auto"/>
        <w:tblLook w:val="04A0" w:firstRow="1" w:lastRow="0" w:firstColumn="1" w:lastColumn="0" w:noHBand="0" w:noVBand="1"/>
      </w:tblPr>
      <w:tblGrid>
        <w:gridCol w:w="1739"/>
        <w:gridCol w:w="1543"/>
        <w:gridCol w:w="1426"/>
        <w:gridCol w:w="1683"/>
        <w:gridCol w:w="1586"/>
        <w:gridCol w:w="1232"/>
      </w:tblGrid>
      <w:tr w:rsidR="007A1B63" w:rsidRPr="007A1B63" w14:paraId="218D5E75" w14:textId="77777777" w:rsidTr="007A1B63">
        <w:tc>
          <w:tcPr>
            <w:tcW w:w="1739"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F7F3228" w14:textId="77777777" w:rsidR="007A1B63" w:rsidRPr="007A1B63" w:rsidRDefault="007A1B63">
            <w:pPr>
              <w:autoSpaceDN w:val="0"/>
              <w:jc w:val="center"/>
              <w:rPr>
                <w:rFonts w:ascii="Arial" w:eastAsia="Calibri" w:hAnsi="Arial" w:cs="Arial"/>
                <w:b/>
                <w:sz w:val="16"/>
                <w:szCs w:val="16"/>
              </w:rPr>
            </w:pPr>
            <w:r w:rsidRPr="007A1B63">
              <w:rPr>
                <w:rFonts w:ascii="Arial" w:eastAsia="Calibri" w:hAnsi="Arial" w:cs="Arial"/>
                <w:b/>
                <w:sz w:val="16"/>
                <w:szCs w:val="16"/>
              </w:rPr>
              <w:t>Descripción</w:t>
            </w:r>
          </w:p>
        </w:tc>
        <w:tc>
          <w:tcPr>
            <w:tcW w:w="1543"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DB41D7E" w14:textId="77777777" w:rsidR="007A1B63" w:rsidRPr="007A1B63" w:rsidRDefault="007A1B63">
            <w:pPr>
              <w:autoSpaceDN w:val="0"/>
              <w:jc w:val="center"/>
              <w:rPr>
                <w:rFonts w:ascii="Arial" w:eastAsia="Calibri" w:hAnsi="Arial" w:cs="Arial"/>
                <w:b/>
                <w:sz w:val="16"/>
                <w:szCs w:val="16"/>
              </w:rPr>
            </w:pPr>
            <w:r w:rsidRPr="007A1B63">
              <w:rPr>
                <w:rFonts w:ascii="Arial" w:eastAsia="Calibri" w:hAnsi="Arial" w:cs="Arial"/>
                <w:b/>
                <w:sz w:val="16"/>
                <w:szCs w:val="16"/>
              </w:rPr>
              <w:t>Apropiación</w:t>
            </w:r>
          </w:p>
        </w:tc>
        <w:tc>
          <w:tcPr>
            <w:tcW w:w="1426"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11DC5972" w14:textId="77777777" w:rsidR="007A1B63" w:rsidRPr="007A1B63" w:rsidRDefault="007A1B63">
            <w:pPr>
              <w:autoSpaceDN w:val="0"/>
              <w:jc w:val="center"/>
              <w:rPr>
                <w:rFonts w:ascii="Arial" w:eastAsia="Calibri" w:hAnsi="Arial" w:cs="Arial"/>
                <w:b/>
                <w:sz w:val="16"/>
                <w:szCs w:val="16"/>
              </w:rPr>
            </w:pPr>
            <w:proofErr w:type="spellStart"/>
            <w:r w:rsidRPr="007A1B63">
              <w:rPr>
                <w:rFonts w:ascii="Arial" w:eastAsia="Calibri" w:hAnsi="Arial" w:cs="Arial"/>
                <w:b/>
                <w:sz w:val="16"/>
                <w:szCs w:val="16"/>
              </w:rPr>
              <w:t>Acum</w:t>
            </w:r>
            <w:proofErr w:type="spellEnd"/>
            <w:r w:rsidRPr="007A1B63">
              <w:rPr>
                <w:rFonts w:ascii="Arial" w:eastAsia="Calibri" w:hAnsi="Arial" w:cs="Arial"/>
                <w:b/>
                <w:sz w:val="16"/>
                <w:szCs w:val="16"/>
              </w:rPr>
              <w:t xml:space="preserve"> CDP</w:t>
            </w:r>
          </w:p>
        </w:tc>
        <w:tc>
          <w:tcPr>
            <w:tcW w:w="1683"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D6028C1" w14:textId="77777777" w:rsidR="007A1B63" w:rsidRPr="007A1B63" w:rsidRDefault="007A1B63">
            <w:pPr>
              <w:autoSpaceDN w:val="0"/>
              <w:jc w:val="center"/>
              <w:rPr>
                <w:rFonts w:ascii="Arial" w:eastAsia="Calibri" w:hAnsi="Arial" w:cs="Arial"/>
                <w:b/>
                <w:sz w:val="16"/>
                <w:szCs w:val="16"/>
              </w:rPr>
            </w:pPr>
            <w:proofErr w:type="spellStart"/>
            <w:r w:rsidRPr="007A1B63">
              <w:rPr>
                <w:rFonts w:ascii="Arial" w:eastAsia="Calibri" w:hAnsi="Arial" w:cs="Arial"/>
                <w:b/>
                <w:sz w:val="16"/>
                <w:szCs w:val="16"/>
              </w:rPr>
              <w:t>Acum</w:t>
            </w:r>
            <w:proofErr w:type="spellEnd"/>
            <w:r w:rsidRPr="007A1B63">
              <w:rPr>
                <w:rFonts w:ascii="Arial" w:eastAsia="Calibri" w:hAnsi="Arial" w:cs="Arial"/>
                <w:b/>
                <w:sz w:val="16"/>
                <w:szCs w:val="16"/>
              </w:rPr>
              <w:t xml:space="preserve"> Compromisos</w:t>
            </w:r>
          </w:p>
        </w:tc>
        <w:tc>
          <w:tcPr>
            <w:tcW w:w="1586"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D0852BF" w14:textId="77777777" w:rsidR="007A1B63" w:rsidRPr="007A1B63" w:rsidRDefault="007A1B63">
            <w:pPr>
              <w:autoSpaceDN w:val="0"/>
              <w:jc w:val="center"/>
              <w:rPr>
                <w:rFonts w:ascii="Arial" w:eastAsia="Calibri" w:hAnsi="Arial" w:cs="Arial"/>
                <w:b/>
                <w:sz w:val="16"/>
                <w:szCs w:val="16"/>
              </w:rPr>
            </w:pPr>
            <w:proofErr w:type="spellStart"/>
            <w:r w:rsidRPr="007A1B63">
              <w:rPr>
                <w:rFonts w:ascii="Arial" w:eastAsia="Calibri" w:hAnsi="Arial" w:cs="Arial"/>
                <w:b/>
                <w:sz w:val="16"/>
                <w:szCs w:val="16"/>
              </w:rPr>
              <w:t>Acum</w:t>
            </w:r>
            <w:proofErr w:type="spellEnd"/>
            <w:r w:rsidRPr="007A1B63">
              <w:rPr>
                <w:rFonts w:ascii="Arial" w:eastAsia="Calibri" w:hAnsi="Arial" w:cs="Arial"/>
                <w:b/>
                <w:sz w:val="16"/>
                <w:szCs w:val="16"/>
              </w:rPr>
              <w:t xml:space="preserve"> Obligaciones</w:t>
            </w:r>
          </w:p>
        </w:tc>
        <w:tc>
          <w:tcPr>
            <w:tcW w:w="1232"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35B5309" w14:textId="77777777" w:rsidR="007A1B63" w:rsidRPr="007A1B63" w:rsidRDefault="007A1B63">
            <w:pPr>
              <w:autoSpaceDN w:val="0"/>
              <w:jc w:val="center"/>
              <w:rPr>
                <w:rFonts w:ascii="Arial" w:eastAsia="Calibri" w:hAnsi="Arial" w:cs="Arial"/>
                <w:b/>
                <w:sz w:val="16"/>
                <w:szCs w:val="16"/>
              </w:rPr>
            </w:pPr>
            <w:proofErr w:type="spellStart"/>
            <w:r w:rsidRPr="007A1B63">
              <w:rPr>
                <w:rFonts w:ascii="Arial" w:eastAsia="Calibri" w:hAnsi="Arial" w:cs="Arial"/>
                <w:b/>
                <w:sz w:val="16"/>
                <w:szCs w:val="16"/>
              </w:rPr>
              <w:t>Acum</w:t>
            </w:r>
            <w:proofErr w:type="spellEnd"/>
            <w:r w:rsidRPr="007A1B63">
              <w:rPr>
                <w:rFonts w:ascii="Arial" w:eastAsia="Calibri" w:hAnsi="Arial" w:cs="Arial"/>
                <w:b/>
                <w:sz w:val="16"/>
                <w:szCs w:val="16"/>
              </w:rPr>
              <w:t xml:space="preserve"> Pagos</w:t>
            </w:r>
          </w:p>
        </w:tc>
      </w:tr>
      <w:tr w:rsidR="007A1B63" w:rsidRPr="007A1B63" w14:paraId="44E46351" w14:textId="77777777" w:rsidTr="007A1B63">
        <w:tc>
          <w:tcPr>
            <w:tcW w:w="1739" w:type="dxa"/>
            <w:tcBorders>
              <w:top w:val="single" w:sz="4" w:space="0" w:color="000000"/>
              <w:left w:val="single" w:sz="4" w:space="0" w:color="000000"/>
              <w:bottom w:val="single" w:sz="4" w:space="0" w:color="000000"/>
              <w:right w:val="single" w:sz="4" w:space="0" w:color="000000"/>
            </w:tcBorders>
            <w:hideMark/>
          </w:tcPr>
          <w:p w14:paraId="476D6E58" w14:textId="77777777" w:rsidR="007A1B63" w:rsidRPr="007A1B63" w:rsidRDefault="007A1B63">
            <w:pPr>
              <w:autoSpaceDN w:val="0"/>
              <w:rPr>
                <w:rFonts w:ascii="Arial" w:eastAsia="Calibri" w:hAnsi="Arial" w:cs="Arial"/>
                <w:sz w:val="16"/>
                <w:szCs w:val="16"/>
              </w:rPr>
            </w:pPr>
            <w:r w:rsidRPr="007A1B63">
              <w:rPr>
                <w:rFonts w:ascii="Arial" w:eastAsia="Calibri" w:hAnsi="Arial" w:cs="Arial"/>
                <w:sz w:val="16"/>
                <w:szCs w:val="16"/>
              </w:rPr>
              <w:t>Gastos de Comercialización</w:t>
            </w:r>
          </w:p>
        </w:tc>
        <w:tc>
          <w:tcPr>
            <w:tcW w:w="1543" w:type="dxa"/>
            <w:tcBorders>
              <w:top w:val="single" w:sz="4" w:space="0" w:color="000000"/>
              <w:left w:val="single" w:sz="4" w:space="0" w:color="000000"/>
              <w:bottom w:val="single" w:sz="4" w:space="0" w:color="000000"/>
              <w:right w:val="single" w:sz="4" w:space="0" w:color="000000"/>
            </w:tcBorders>
            <w:vAlign w:val="center"/>
            <w:hideMark/>
          </w:tcPr>
          <w:p w14:paraId="4C2EF684" w14:textId="77777777" w:rsidR="007A1B63" w:rsidRPr="007A1B63" w:rsidRDefault="007A1B63">
            <w:pPr>
              <w:jc w:val="right"/>
              <w:rPr>
                <w:rFonts w:ascii="Arial" w:hAnsi="Arial" w:cs="Arial"/>
                <w:color w:val="000000"/>
                <w:sz w:val="16"/>
                <w:szCs w:val="16"/>
              </w:rPr>
            </w:pPr>
            <w:r w:rsidRPr="007A1B63">
              <w:rPr>
                <w:rFonts w:ascii="Arial" w:hAnsi="Arial" w:cs="Arial"/>
                <w:sz w:val="16"/>
                <w:szCs w:val="16"/>
              </w:rPr>
              <w:t>$ 1.474</w:t>
            </w:r>
          </w:p>
        </w:tc>
        <w:tc>
          <w:tcPr>
            <w:tcW w:w="1426" w:type="dxa"/>
            <w:tcBorders>
              <w:top w:val="single" w:sz="4" w:space="0" w:color="000000"/>
              <w:left w:val="single" w:sz="4" w:space="0" w:color="000000"/>
              <w:bottom w:val="single" w:sz="4" w:space="0" w:color="000000"/>
              <w:right w:val="single" w:sz="4" w:space="0" w:color="000000"/>
            </w:tcBorders>
            <w:vAlign w:val="center"/>
            <w:hideMark/>
          </w:tcPr>
          <w:p w14:paraId="40B409E8" w14:textId="77777777" w:rsidR="007A1B63" w:rsidRPr="007A1B63" w:rsidRDefault="007A1B63">
            <w:pPr>
              <w:jc w:val="right"/>
              <w:rPr>
                <w:rFonts w:ascii="Arial" w:hAnsi="Arial" w:cs="Arial"/>
                <w:color w:val="000000"/>
                <w:sz w:val="16"/>
                <w:szCs w:val="16"/>
              </w:rPr>
            </w:pPr>
            <w:r w:rsidRPr="007A1B63">
              <w:rPr>
                <w:rFonts w:ascii="Arial" w:hAnsi="Arial" w:cs="Arial"/>
                <w:sz w:val="16"/>
                <w:szCs w:val="16"/>
              </w:rPr>
              <w:t>$ 1.238</w:t>
            </w:r>
          </w:p>
        </w:tc>
        <w:tc>
          <w:tcPr>
            <w:tcW w:w="1683" w:type="dxa"/>
            <w:tcBorders>
              <w:top w:val="single" w:sz="4" w:space="0" w:color="000000"/>
              <w:left w:val="single" w:sz="4" w:space="0" w:color="000000"/>
              <w:bottom w:val="single" w:sz="4" w:space="0" w:color="000000"/>
              <w:right w:val="single" w:sz="4" w:space="0" w:color="000000"/>
            </w:tcBorders>
            <w:vAlign w:val="center"/>
            <w:hideMark/>
          </w:tcPr>
          <w:p w14:paraId="55ECEEF5" w14:textId="77777777" w:rsidR="007A1B63" w:rsidRPr="007A1B63" w:rsidRDefault="007A1B63">
            <w:pPr>
              <w:jc w:val="right"/>
              <w:rPr>
                <w:rFonts w:ascii="Arial" w:hAnsi="Arial" w:cs="Arial"/>
                <w:color w:val="000000"/>
                <w:sz w:val="16"/>
                <w:szCs w:val="16"/>
              </w:rPr>
            </w:pPr>
            <w:r w:rsidRPr="007A1B63">
              <w:rPr>
                <w:rFonts w:ascii="Arial" w:hAnsi="Arial" w:cs="Arial"/>
                <w:sz w:val="16"/>
                <w:szCs w:val="16"/>
              </w:rPr>
              <w:t>$ 1.229</w:t>
            </w:r>
          </w:p>
        </w:tc>
        <w:tc>
          <w:tcPr>
            <w:tcW w:w="1586" w:type="dxa"/>
            <w:tcBorders>
              <w:top w:val="single" w:sz="4" w:space="0" w:color="000000"/>
              <w:left w:val="single" w:sz="4" w:space="0" w:color="000000"/>
              <w:bottom w:val="single" w:sz="4" w:space="0" w:color="000000"/>
              <w:right w:val="single" w:sz="4" w:space="0" w:color="000000"/>
            </w:tcBorders>
            <w:vAlign w:val="center"/>
            <w:hideMark/>
          </w:tcPr>
          <w:p w14:paraId="7D98197F" w14:textId="77777777" w:rsidR="007A1B63" w:rsidRPr="007A1B63" w:rsidRDefault="007A1B63">
            <w:pPr>
              <w:jc w:val="right"/>
              <w:rPr>
                <w:rFonts w:ascii="Arial" w:hAnsi="Arial" w:cs="Arial"/>
                <w:color w:val="000000"/>
                <w:sz w:val="16"/>
                <w:szCs w:val="16"/>
              </w:rPr>
            </w:pPr>
            <w:r w:rsidRPr="007A1B63">
              <w:rPr>
                <w:rFonts w:ascii="Arial" w:hAnsi="Arial" w:cs="Arial"/>
                <w:sz w:val="16"/>
                <w:szCs w:val="16"/>
              </w:rPr>
              <w:t>$ 491</w:t>
            </w:r>
          </w:p>
        </w:tc>
        <w:tc>
          <w:tcPr>
            <w:tcW w:w="1232" w:type="dxa"/>
            <w:tcBorders>
              <w:top w:val="single" w:sz="4" w:space="0" w:color="000000"/>
              <w:left w:val="single" w:sz="4" w:space="0" w:color="000000"/>
              <w:bottom w:val="single" w:sz="4" w:space="0" w:color="000000"/>
              <w:right w:val="single" w:sz="4" w:space="0" w:color="000000"/>
            </w:tcBorders>
            <w:vAlign w:val="center"/>
            <w:hideMark/>
          </w:tcPr>
          <w:p w14:paraId="4F171DF0" w14:textId="77777777" w:rsidR="007A1B63" w:rsidRPr="007A1B63" w:rsidRDefault="007A1B63">
            <w:pPr>
              <w:jc w:val="right"/>
              <w:rPr>
                <w:rFonts w:ascii="Arial" w:hAnsi="Arial" w:cs="Arial"/>
                <w:color w:val="000000"/>
                <w:sz w:val="16"/>
                <w:szCs w:val="16"/>
              </w:rPr>
            </w:pPr>
            <w:r w:rsidRPr="007A1B63">
              <w:rPr>
                <w:rFonts w:ascii="Arial" w:hAnsi="Arial" w:cs="Arial"/>
                <w:sz w:val="16"/>
                <w:szCs w:val="16"/>
              </w:rPr>
              <w:t>$ 491</w:t>
            </w:r>
          </w:p>
        </w:tc>
      </w:tr>
      <w:tr w:rsidR="007A1B63" w:rsidRPr="007A1B63" w14:paraId="66F59614" w14:textId="77777777" w:rsidTr="007A1B63">
        <w:trPr>
          <w:trHeight w:val="405"/>
        </w:trPr>
        <w:tc>
          <w:tcPr>
            <w:tcW w:w="3282" w:type="dxa"/>
            <w:gridSpan w:val="2"/>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08C3002F" w14:textId="77777777" w:rsidR="007A1B63" w:rsidRPr="007A1B63" w:rsidRDefault="007A1B63">
            <w:pPr>
              <w:autoSpaceDN w:val="0"/>
              <w:jc w:val="center"/>
              <w:rPr>
                <w:rFonts w:ascii="Arial" w:eastAsia="Calibri" w:hAnsi="Arial" w:cs="Arial"/>
                <w:b/>
                <w:sz w:val="16"/>
                <w:szCs w:val="16"/>
              </w:rPr>
            </w:pPr>
            <w:r w:rsidRPr="007A1B63">
              <w:rPr>
                <w:rFonts w:ascii="Arial" w:eastAsia="Calibri" w:hAnsi="Arial" w:cs="Arial"/>
                <w:b/>
                <w:sz w:val="16"/>
                <w:szCs w:val="16"/>
              </w:rPr>
              <w:t>Porcentaje de Ejecución</w:t>
            </w:r>
          </w:p>
        </w:tc>
        <w:tc>
          <w:tcPr>
            <w:tcW w:w="1426"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3BEAB1D0" w14:textId="77777777" w:rsidR="007A1B63" w:rsidRPr="007A1B63" w:rsidRDefault="007A1B63">
            <w:pPr>
              <w:jc w:val="right"/>
              <w:rPr>
                <w:rFonts w:ascii="Arial" w:hAnsi="Arial" w:cs="Arial"/>
                <w:b/>
                <w:bCs/>
                <w:color w:val="000000"/>
                <w:sz w:val="16"/>
                <w:szCs w:val="16"/>
              </w:rPr>
            </w:pPr>
            <w:r w:rsidRPr="007A1B63">
              <w:rPr>
                <w:rFonts w:ascii="Arial" w:hAnsi="Arial" w:cs="Arial"/>
                <w:b/>
                <w:bCs/>
                <w:sz w:val="16"/>
                <w:szCs w:val="16"/>
              </w:rPr>
              <w:t>84%</w:t>
            </w:r>
          </w:p>
        </w:tc>
        <w:tc>
          <w:tcPr>
            <w:tcW w:w="1683"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35B44EE1" w14:textId="77777777" w:rsidR="007A1B63" w:rsidRPr="007A1B63" w:rsidRDefault="007A1B63">
            <w:pPr>
              <w:jc w:val="right"/>
              <w:rPr>
                <w:rFonts w:ascii="Arial" w:hAnsi="Arial" w:cs="Arial"/>
                <w:b/>
                <w:bCs/>
                <w:color w:val="000000"/>
                <w:sz w:val="16"/>
                <w:szCs w:val="16"/>
              </w:rPr>
            </w:pPr>
            <w:r w:rsidRPr="007A1B63">
              <w:rPr>
                <w:rFonts w:ascii="Arial" w:hAnsi="Arial" w:cs="Arial"/>
                <w:b/>
                <w:bCs/>
                <w:sz w:val="16"/>
                <w:szCs w:val="16"/>
              </w:rPr>
              <w:t>83%</w:t>
            </w:r>
          </w:p>
        </w:tc>
        <w:tc>
          <w:tcPr>
            <w:tcW w:w="1586"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142F12B" w14:textId="77777777" w:rsidR="007A1B63" w:rsidRPr="007A1B63" w:rsidRDefault="007A1B63">
            <w:pPr>
              <w:jc w:val="right"/>
              <w:rPr>
                <w:rFonts w:ascii="Arial" w:hAnsi="Arial" w:cs="Arial"/>
                <w:b/>
                <w:bCs/>
                <w:color w:val="000000"/>
                <w:sz w:val="16"/>
                <w:szCs w:val="16"/>
              </w:rPr>
            </w:pPr>
            <w:r w:rsidRPr="007A1B63">
              <w:rPr>
                <w:rFonts w:ascii="Arial" w:hAnsi="Arial" w:cs="Arial"/>
                <w:b/>
                <w:bCs/>
                <w:sz w:val="16"/>
                <w:szCs w:val="16"/>
              </w:rPr>
              <w:t>33%</w:t>
            </w:r>
          </w:p>
        </w:tc>
        <w:tc>
          <w:tcPr>
            <w:tcW w:w="1232"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hideMark/>
          </w:tcPr>
          <w:p w14:paraId="602AD9E2" w14:textId="77777777" w:rsidR="007A1B63" w:rsidRPr="007A1B63" w:rsidRDefault="007A1B63">
            <w:pPr>
              <w:jc w:val="right"/>
              <w:rPr>
                <w:rFonts w:ascii="Arial" w:hAnsi="Arial" w:cs="Arial"/>
                <w:b/>
                <w:bCs/>
                <w:color w:val="000000"/>
                <w:sz w:val="16"/>
                <w:szCs w:val="16"/>
              </w:rPr>
            </w:pPr>
            <w:r w:rsidRPr="007A1B63">
              <w:rPr>
                <w:rFonts w:ascii="Arial" w:hAnsi="Arial" w:cs="Arial"/>
                <w:b/>
                <w:bCs/>
                <w:sz w:val="16"/>
                <w:szCs w:val="16"/>
              </w:rPr>
              <w:t>33%</w:t>
            </w:r>
          </w:p>
        </w:tc>
      </w:tr>
    </w:tbl>
    <w:p w14:paraId="57E4FB0D" w14:textId="768B7B71"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067FF739" w14:textId="39F44054" w:rsidR="00C02282" w:rsidRDefault="00C02282" w:rsidP="00C02282">
      <w:pPr>
        <w:jc w:val="center"/>
        <w:rPr>
          <w:rFonts w:ascii="Calibri" w:hAnsi="Calibri" w:cs="Calibri"/>
          <w:sz w:val="18"/>
          <w:szCs w:val="18"/>
        </w:rPr>
      </w:pPr>
      <w:r w:rsidRPr="007A1B63">
        <w:rPr>
          <w:rFonts w:ascii="Calibri" w:hAnsi="Calibri" w:cs="Calibri"/>
          <w:sz w:val="18"/>
          <w:szCs w:val="18"/>
        </w:rPr>
        <w:t>Fuente SIIF</w:t>
      </w:r>
    </w:p>
    <w:p w14:paraId="6A54A62A" w14:textId="77777777" w:rsidR="00A3028C" w:rsidRPr="007A1B63" w:rsidRDefault="00A3028C" w:rsidP="00C02282">
      <w:pPr>
        <w:jc w:val="center"/>
        <w:rPr>
          <w:rFonts w:ascii="Arial" w:hAnsi="Arial" w:cs="Arial"/>
          <w:bCs/>
          <w:lang w:val="es-MX" w:eastAsia="es-ES"/>
        </w:rPr>
      </w:pPr>
    </w:p>
    <w:p w14:paraId="763BF37C" w14:textId="77777777" w:rsidR="00C02282" w:rsidRPr="007A1B63" w:rsidRDefault="00C02282" w:rsidP="00055F7C">
      <w:pPr>
        <w:pStyle w:val="Ttulo3"/>
        <w:numPr>
          <w:ilvl w:val="2"/>
          <w:numId w:val="11"/>
        </w:numPr>
        <w:rPr>
          <w:rFonts w:ascii="Arial" w:eastAsia="Calibri" w:hAnsi="Arial" w:cs="Arial"/>
          <w:b w:val="0"/>
          <w:color w:val="auto"/>
        </w:rPr>
      </w:pPr>
      <w:bookmarkStart w:id="167" w:name="_Toc515261753"/>
      <w:bookmarkStart w:id="168" w:name="_Toc515270533"/>
      <w:bookmarkStart w:id="169" w:name="_Toc525652044"/>
      <w:r w:rsidRPr="007A1B63">
        <w:rPr>
          <w:rFonts w:ascii="Arial" w:eastAsia="Calibri" w:hAnsi="Arial" w:cs="Arial"/>
          <w:color w:val="auto"/>
        </w:rPr>
        <w:t>Ejecución presupuestal Gastos de Inversión</w:t>
      </w:r>
      <w:bookmarkEnd w:id="167"/>
      <w:bookmarkEnd w:id="168"/>
      <w:r w:rsidRPr="007A1B63">
        <w:rPr>
          <w:rFonts w:ascii="Arial" w:eastAsia="Calibri" w:hAnsi="Arial" w:cs="Arial"/>
          <w:color w:val="auto"/>
        </w:rPr>
        <w:t xml:space="preserve"> ANH</w:t>
      </w:r>
      <w:bookmarkEnd w:id="169"/>
    </w:p>
    <w:p w14:paraId="74F8DB92" w14:textId="77777777" w:rsidR="00C02282" w:rsidRPr="007A1B63" w:rsidRDefault="00C02282" w:rsidP="00C02282">
      <w:pPr>
        <w:rPr>
          <w:rFonts w:ascii="Arial" w:hAnsi="Arial" w:cs="Arial"/>
          <w:bCs/>
          <w:lang w:val="es-MX" w:eastAsia="es-ES"/>
        </w:rPr>
      </w:pPr>
    </w:p>
    <w:p w14:paraId="0A0C7617" w14:textId="77777777" w:rsidR="00C02282" w:rsidRPr="007A1B63" w:rsidRDefault="00C02282" w:rsidP="00C02282">
      <w:pPr>
        <w:jc w:val="both"/>
        <w:rPr>
          <w:rFonts w:ascii="Arial" w:hAnsi="Arial" w:cs="Arial"/>
          <w:b/>
          <w:lang w:val="es-MX"/>
        </w:rPr>
      </w:pPr>
      <w:r w:rsidRPr="007A1B63">
        <w:rPr>
          <w:rFonts w:ascii="Arial" w:hAnsi="Arial" w:cs="Arial"/>
          <w:b/>
          <w:lang w:val="es-MX"/>
        </w:rPr>
        <w:t>Gastos de Inversión ANH</w:t>
      </w:r>
    </w:p>
    <w:p w14:paraId="762F96E5" w14:textId="27BFB1C1" w:rsidR="00C02282" w:rsidRPr="006A67B4" w:rsidRDefault="007A1B63" w:rsidP="007A1B63">
      <w:pPr>
        <w:jc w:val="both"/>
        <w:rPr>
          <w:rFonts w:ascii="Arial" w:hAnsi="Arial" w:cs="Arial"/>
          <w:b/>
          <w:bCs/>
          <w:sz w:val="16"/>
          <w:szCs w:val="16"/>
          <w:highlight w:val="yellow"/>
          <w:lang w:val="es-ES" w:eastAsia="es-ES"/>
        </w:rPr>
      </w:pPr>
      <w:r w:rsidRPr="007A1B63">
        <w:rPr>
          <w:rFonts w:ascii="Arial" w:hAnsi="Arial" w:cs="Arial"/>
          <w:lang w:val="es-ES" w:eastAsia="es-ES"/>
        </w:rPr>
        <w:t>Al cierre del segundo trimestre de la vigencia 2018, los gastos de inversión reflejaron una ejecución en Certificados de disponibilidad de 92% y compromisos de un 45%. El siguiente cuadro refleja el comportamiento presupuestal de los gastos de inversión en lo corrido de la vigencia 2018.</w:t>
      </w:r>
    </w:p>
    <w:p w14:paraId="1ABCB685" w14:textId="611CC508" w:rsidR="00C02282" w:rsidRPr="007A1B63" w:rsidRDefault="00C02282" w:rsidP="00C02282">
      <w:pPr>
        <w:pStyle w:val="Descripcin"/>
        <w:keepNext/>
        <w:jc w:val="center"/>
      </w:pPr>
      <w:bookmarkStart w:id="170" w:name="_Toc525652531"/>
      <w:r w:rsidRPr="007A1B63">
        <w:t xml:space="preserve">Tabla </w:t>
      </w:r>
      <w:r w:rsidRPr="007A1B63">
        <w:fldChar w:fldCharType="begin"/>
      </w:r>
      <w:r w:rsidRPr="007A1B63">
        <w:instrText xml:space="preserve"> SEQ Tabla \* ARABIC </w:instrText>
      </w:r>
      <w:r w:rsidRPr="007A1B63">
        <w:fldChar w:fldCharType="separate"/>
      </w:r>
      <w:r w:rsidR="008B4625">
        <w:rPr>
          <w:noProof/>
        </w:rPr>
        <w:t>86</w:t>
      </w:r>
      <w:r w:rsidRPr="007A1B63">
        <w:fldChar w:fldCharType="end"/>
      </w:r>
      <w:r w:rsidR="007A1B63">
        <w:t xml:space="preserve"> </w:t>
      </w:r>
      <w:r w:rsidRPr="007A1B63">
        <w:t>Ejecución Inversión a 3</w:t>
      </w:r>
      <w:r w:rsidR="007A1B63" w:rsidRPr="007A1B63">
        <w:t>0 de junio de 2018</w:t>
      </w:r>
      <w:r w:rsidRPr="007A1B63">
        <w:t xml:space="preserve"> ANH</w:t>
      </w:r>
      <w:bookmarkEnd w:id="170"/>
    </w:p>
    <w:tbl>
      <w:tblPr>
        <w:tblW w:w="4818" w:type="pct"/>
        <w:tblCellMar>
          <w:left w:w="70" w:type="dxa"/>
          <w:right w:w="70" w:type="dxa"/>
        </w:tblCellMar>
        <w:tblLook w:val="04A0" w:firstRow="1" w:lastRow="0" w:firstColumn="1" w:lastColumn="0" w:noHBand="0" w:noVBand="1"/>
      </w:tblPr>
      <w:tblGrid>
        <w:gridCol w:w="1981"/>
        <w:gridCol w:w="1269"/>
        <w:gridCol w:w="1163"/>
        <w:gridCol w:w="1269"/>
        <w:gridCol w:w="1056"/>
        <w:gridCol w:w="866"/>
        <w:gridCol w:w="719"/>
        <w:gridCol w:w="719"/>
      </w:tblGrid>
      <w:tr w:rsidR="007A1B63" w14:paraId="14DFFEA4" w14:textId="77777777" w:rsidTr="008B5E15">
        <w:trPr>
          <w:trHeight w:val="461"/>
          <w:tblHeader/>
        </w:trPr>
        <w:tc>
          <w:tcPr>
            <w:tcW w:w="1056" w:type="pct"/>
            <w:tcBorders>
              <w:top w:val="single" w:sz="8" w:space="0" w:color="auto"/>
              <w:left w:val="single" w:sz="8" w:space="0" w:color="auto"/>
              <w:bottom w:val="nil"/>
              <w:right w:val="single" w:sz="8" w:space="0" w:color="auto"/>
            </w:tcBorders>
            <w:shd w:val="clear" w:color="auto" w:fill="4F81BD" w:themeFill="accent1"/>
            <w:vAlign w:val="center"/>
            <w:hideMark/>
          </w:tcPr>
          <w:p w14:paraId="1326D2A8" w14:textId="77777777" w:rsidR="007A1B63" w:rsidRDefault="007A1B63">
            <w:pPr>
              <w:jc w:val="center"/>
              <w:rPr>
                <w:rFonts w:ascii="Arial" w:hAnsi="Arial" w:cs="Arial"/>
                <w:b/>
                <w:bCs/>
                <w:color w:val="000000"/>
                <w:sz w:val="16"/>
                <w:szCs w:val="16"/>
              </w:rPr>
            </w:pPr>
            <w:r>
              <w:rPr>
                <w:rFonts w:ascii="Arial" w:hAnsi="Arial" w:cs="Arial"/>
                <w:b/>
                <w:bCs/>
                <w:sz w:val="16"/>
                <w:szCs w:val="16"/>
              </w:rPr>
              <w:t>DESCRIPCIÓN</w:t>
            </w:r>
          </w:p>
        </w:tc>
        <w:tc>
          <w:tcPr>
            <w:tcW w:w="676" w:type="pct"/>
            <w:vMerge w:val="restart"/>
            <w:tcBorders>
              <w:top w:val="single" w:sz="8" w:space="0" w:color="auto"/>
              <w:left w:val="single" w:sz="8" w:space="0" w:color="auto"/>
              <w:bottom w:val="single" w:sz="4" w:space="0" w:color="auto"/>
              <w:right w:val="single" w:sz="8" w:space="0" w:color="auto"/>
            </w:tcBorders>
            <w:shd w:val="clear" w:color="auto" w:fill="4F81BD" w:themeFill="accent1"/>
            <w:vAlign w:val="center"/>
            <w:hideMark/>
          </w:tcPr>
          <w:p w14:paraId="536C2A48" w14:textId="77777777" w:rsidR="007A1B63" w:rsidRDefault="007A1B63">
            <w:pPr>
              <w:jc w:val="center"/>
              <w:rPr>
                <w:rFonts w:ascii="Arial" w:hAnsi="Arial" w:cs="Arial"/>
                <w:b/>
                <w:bCs/>
                <w:color w:val="000000"/>
                <w:sz w:val="16"/>
                <w:szCs w:val="16"/>
              </w:rPr>
            </w:pPr>
            <w:r>
              <w:rPr>
                <w:rFonts w:ascii="Arial" w:hAnsi="Arial" w:cs="Arial"/>
                <w:b/>
                <w:bCs/>
                <w:sz w:val="16"/>
                <w:szCs w:val="16"/>
              </w:rPr>
              <w:t>APROPIACION INICIAL</w:t>
            </w:r>
          </w:p>
        </w:tc>
        <w:tc>
          <w:tcPr>
            <w:tcW w:w="619" w:type="pct"/>
            <w:vMerge w:val="restart"/>
            <w:tcBorders>
              <w:top w:val="single" w:sz="8" w:space="0" w:color="auto"/>
              <w:left w:val="single" w:sz="8" w:space="0" w:color="auto"/>
              <w:bottom w:val="single" w:sz="4" w:space="0" w:color="auto"/>
              <w:right w:val="single" w:sz="8" w:space="0" w:color="auto"/>
            </w:tcBorders>
            <w:shd w:val="clear" w:color="auto" w:fill="4F81BD" w:themeFill="accent1"/>
            <w:vAlign w:val="center"/>
            <w:hideMark/>
          </w:tcPr>
          <w:p w14:paraId="779EEF49" w14:textId="77777777" w:rsidR="007A1B63" w:rsidRDefault="007A1B63">
            <w:pPr>
              <w:jc w:val="center"/>
              <w:rPr>
                <w:rFonts w:ascii="Arial" w:hAnsi="Arial" w:cs="Arial"/>
                <w:b/>
                <w:bCs/>
                <w:color w:val="000000"/>
                <w:sz w:val="16"/>
                <w:szCs w:val="16"/>
              </w:rPr>
            </w:pPr>
            <w:r>
              <w:rPr>
                <w:rFonts w:ascii="Arial" w:hAnsi="Arial" w:cs="Arial"/>
                <w:b/>
                <w:bCs/>
                <w:sz w:val="16"/>
                <w:szCs w:val="16"/>
              </w:rPr>
              <w:t>ADICIONADA</w:t>
            </w:r>
          </w:p>
        </w:tc>
        <w:tc>
          <w:tcPr>
            <w:tcW w:w="676" w:type="pct"/>
            <w:vMerge w:val="restart"/>
            <w:tcBorders>
              <w:top w:val="single" w:sz="8" w:space="0" w:color="auto"/>
              <w:left w:val="single" w:sz="8" w:space="0" w:color="auto"/>
              <w:bottom w:val="single" w:sz="4" w:space="0" w:color="auto"/>
              <w:right w:val="single" w:sz="8" w:space="0" w:color="auto"/>
            </w:tcBorders>
            <w:shd w:val="clear" w:color="auto" w:fill="4F81BD" w:themeFill="accent1"/>
            <w:vAlign w:val="center"/>
            <w:hideMark/>
          </w:tcPr>
          <w:p w14:paraId="274EA946" w14:textId="77777777" w:rsidR="007A1B63" w:rsidRDefault="007A1B63">
            <w:pPr>
              <w:jc w:val="center"/>
              <w:rPr>
                <w:rFonts w:ascii="Arial" w:hAnsi="Arial" w:cs="Arial"/>
                <w:b/>
                <w:bCs/>
                <w:color w:val="000000"/>
                <w:sz w:val="16"/>
                <w:szCs w:val="16"/>
              </w:rPr>
            </w:pPr>
            <w:r>
              <w:rPr>
                <w:rFonts w:ascii="Arial" w:hAnsi="Arial" w:cs="Arial"/>
                <w:b/>
                <w:bCs/>
                <w:sz w:val="16"/>
                <w:szCs w:val="16"/>
              </w:rPr>
              <w:t>APROPIACIÓN DISPONIBLE</w:t>
            </w:r>
          </w:p>
        </w:tc>
        <w:tc>
          <w:tcPr>
            <w:tcW w:w="1207" w:type="pct"/>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0FC0AF89" w14:textId="77777777" w:rsidR="007A1B63" w:rsidRDefault="007A1B63">
            <w:pPr>
              <w:jc w:val="center"/>
              <w:rPr>
                <w:rFonts w:ascii="Arial" w:hAnsi="Arial" w:cs="Arial"/>
                <w:b/>
                <w:bCs/>
                <w:color w:val="000000"/>
                <w:sz w:val="16"/>
                <w:szCs w:val="16"/>
              </w:rPr>
            </w:pPr>
            <w:r>
              <w:rPr>
                <w:rFonts w:ascii="Arial" w:hAnsi="Arial" w:cs="Arial"/>
                <w:b/>
                <w:bCs/>
                <w:sz w:val="16"/>
                <w:szCs w:val="16"/>
              </w:rPr>
              <w:t>DISPONIBILIDADES ACUMULADAS</w:t>
            </w:r>
          </w:p>
        </w:tc>
        <w:tc>
          <w:tcPr>
            <w:tcW w:w="766" w:type="pct"/>
            <w:gridSpan w:val="2"/>
            <w:tcBorders>
              <w:top w:val="single" w:sz="8" w:space="0" w:color="auto"/>
              <w:left w:val="nil"/>
              <w:bottom w:val="single" w:sz="8" w:space="0" w:color="auto"/>
              <w:right w:val="single" w:sz="8" w:space="0" w:color="000000"/>
            </w:tcBorders>
            <w:shd w:val="clear" w:color="auto" w:fill="4F81BD" w:themeFill="accent1"/>
            <w:vAlign w:val="center"/>
            <w:hideMark/>
          </w:tcPr>
          <w:p w14:paraId="6E1ACAB9" w14:textId="77777777" w:rsidR="007A1B63" w:rsidRDefault="007A1B63">
            <w:pPr>
              <w:jc w:val="center"/>
              <w:rPr>
                <w:rFonts w:ascii="Arial" w:hAnsi="Arial" w:cs="Arial"/>
                <w:b/>
                <w:bCs/>
                <w:color w:val="000000"/>
                <w:sz w:val="16"/>
                <w:szCs w:val="16"/>
              </w:rPr>
            </w:pPr>
            <w:r>
              <w:rPr>
                <w:rFonts w:ascii="Arial" w:hAnsi="Arial" w:cs="Arial"/>
                <w:b/>
                <w:bCs/>
                <w:sz w:val="16"/>
                <w:szCs w:val="16"/>
              </w:rPr>
              <w:t>COMPROMISOS ACUMULADOS</w:t>
            </w:r>
          </w:p>
        </w:tc>
      </w:tr>
      <w:tr w:rsidR="007A1B63" w14:paraId="5BBF3E2F" w14:textId="77777777" w:rsidTr="008B5E15">
        <w:trPr>
          <w:trHeight w:val="302"/>
          <w:tblHeader/>
        </w:trPr>
        <w:tc>
          <w:tcPr>
            <w:tcW w:w="1056" w:type="pct"/>
            <w:tcBorders>
              <w:top w:val="nil"/>
              <w:left w:val="single" w:sz="8" w:space="0" w:color="auto"/>
              <w:bottom w:val="single" w:sz="4" w:space="0" w:color="auto"/>
              <w:right w:val="single" w:sz="8" w:space="0" w:color="auto"/>
            </w:tcBorders>
            <w:shd w:val="clear" w:color="auto" w:fill="4F81BD" w:themeFill="accent1"/>
            <w:vAlign w:val="center"/>
            <w:hideMark/>
          </w:tcPr>
          <w:p w14:paraId="70388E8D" w14:textId="77777777" w:rsidR="007A1B63" w:rsidRDefault="007A1B63">
            <w:pPr>
              <w:jc w:val="center"/>
              <w:rPr>
                <w:rFonts w:ascii="Arial" w:hAnsi="Arial" w:cs="Arial"/>
                <w:b/>
                <w:bCs/>
                <w:color w:val="000000"/>
                <w:sz w:val="16"/>
                <w:szCs w:val="16"/>
              </w:rPr>
            </w:pPr>
            <w:r>
              <w:rPr>
                <w:rFonts w:ascii="Arial" w:hAnsi="Arial" w:cs="Arial"/>
                <w:b/>
                <w:bCs/>
                <w:sz w:val="16"/>
                <w:szCs w:val="16"/>
              </w:rPr>
              <w:t> </w:t>
            </w: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4C1A12C" w14:textId="77777777" w:rsidR="007A1B63" w:rsidRDefault="007A1B63">
            <w:pPr>
              <w:rPr>
                <w:rFonts w:ascii="Arial" w:hAnsi="Arial" w:cs="Arial"/>
                <w:b/>
                <w:bCs/>
                <w:color w:val="000000"/>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5350E8AE" w14:textId="77777777" w:rsidR="007A1B63" w:rsidRDefault="007A1B63">
            <w:pPr>
              <w:rPr>
                <w:rFonts w:ascii="Arial" w:hAnsi="Arial" w:cs="Arial"/>
                <w:b/>
                <w:bCs/>
                <w:color w:val="000000"/>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61FB30ED" w14:textId="77777777" w:rsidR="007A1B63" w:rsidRDefault="007A1B63">
            <w:pPr>
              <w:rPr>
                <w:rFonts w:ascii="Arial" w:hAnsi="Arial" w:cs="Arial"/>
                <w:b/>
                <w:bCs/>
                <w:color w:val="000000"/>
                <w:sz w:val="16"/>
                <w:szCs w:val="16"/>
              </w:rPr>
            </w:pPr>
          </w:p>
        </w:tc>
        <w:tc>
          <w:tcPr>
            <w:tcW w:w="656" w:type="pct"/>
            <w:tcBorders>
              <w:top w:val="nil"/>
              <w:left w:val="nil"/>
              <w:bottom w:val="single" w:sz="4" w:space="0" w:color="auto"/>
              <w:right w:val="single" w:sz="8" w:space="0" w:color="auto"/>
            </w:tcBorders>
            <w:shd w:val="clear" w:color="auto" w:fill="4F81BD" w:themeFill="accent1"/>
            <w:noWrap/>
            <w:vAlign w:val="center"/>
            <w:hideMark/>
          </w:tcPr>
          <w:p w14:paraId="7C90EC81" w14:textId="77777777" w:rsidR="007A1B63" w:rsidRDefault="007A1B63">
            <w:pPr>
              <w:jc w:val="center"/>
              <w:rPr>
                <w:rFonts w:ascii="Arial" w:hAnsi="Arial" w:cs="Arial"/>
                <w:b/>
                <w:bCs/>
                <w:color w:val="000000"/>
                <w:sz w:val="16"/>
                <w:szCs w:val="16"/>
              </w:rPr>
            </w:pPr>
            <w:r>
              <w:rPr>
                <w:rFonts w:ascii="Arial" w:hAnsi="Arial" w:cs="Arial"/>
                <w:b/>
                <w:bCs/>
                <w:sz w:val="16"/>
                <w:szCs w:val="16"/>
              </w:rPr>
              <w:t>I TRIM</w:t>
            </w:r>
          </w:p>
        </w:tc>
        <w:tc>
          <w:tcPr>
            <w:tcW w:w="550" w:type="pct"/>
            <w:tcBorders>
              <w:top w:val="nil"/>
              <w:left w:val="nil"/>
              <w:bottom w:val="single" w:sz="4" w:space="0" w:color="auto"/>
              <w:right w:val="single" w:sz="8" w:space="0" w:color="auto"/>
            </w:tcBorders>
            <w:shd w:val="clear" w:color="auto" w:fill="4F81BD" w:themeFill="accent1"/>
            <w:noWrap/>
            <w:vAlign w:val="center"/>
            <w:hideMark/>
          </w:tcPr>
          <w:p w14:paraId="5ECE0D18" w14:textId="77777777" w:rsidR="007A1B63" w:rsidRDefault="007A1B63">
            <w:pPr>
              <w:jc w:val="center"/>
              <w:rPr>
                <w:rFonts w:ascii="Arial" w:hAnsi="Arial" w:cs="Arial"/>
                <w:b/>
                <w:bCs/>
                <w:color w:val="000000"/>
                <w:sz w:val="16"/>
                <w:szCs w:val="16"/>
              </w:rPr>
            </w:pPr>
            <w:r>
              <w:rPr>
                <w:rFonts w:ascii="Arial" w:hAnsi="Arial" w:cs="Arial"/>
                <w:b/>
                <w:bCs/>
                <w:sz w:val="16"/>
                <w:szCs w:val="16"/>
              </w:rPr>
              <w:t>II TRIM</w:t>
            </w:r>
          </w:p>
        </w:tc>
        <w:tc>
          <w:tcPr>
            <w:tcW w:w="383" w:type="pct"/>
            <w:tcBorders>
              <w:top w:val="nil"/>
              <w:left w:val="nil"/>
              <w:bottom w:val="single" w:sz="4" w:space="0" w:color="auto"/>
              <w:right w:val="single" w:sz="8" w:space="0" w:color="auto"/>
            </w:tcBorders>
            <w:shd w:val="clear" w:color="auto" w:fill="4F81BD" w:themeFill="accent1"/>
            <w:noWrap/>
            <w:vAlign w:val="center"/>
            <w:hideMark/>
          </w:tcPr>
          <w:p w14:paraId="21D931B4" w14:textId="77777777" w:rsidR="007A1B63" w:rsidRDefault="007A1B63">
            <w:pPr>
              <w:jc w:val="center"/>
              <w:rPr>
                <w:rFonts w:ascii="Arial" w:hAnsi="Arial" w:cs="Arial"/>
                <w:b/>
                <w:bCs/>
                <w:color w:val="000000"/>
                <w:sz w:val="16"/>
                <w:szCs w:val="16"/>
              </w:rPr>
            </w:pPr>
            <w:r>
              <w:rPr>
                <w:rFonts w:ascii="Arial" w:hAnsi="Arial" w:cs="Arial"/>
                <w:b/>
                <w:bCs/>
                <w:sz w:val="16"/>
                <w:szCs w:val="16"/>
              </w:rPr>
              <w:t>I TRIM</w:t>
            </w:r>
          </w:p>
        </w:tc>
        <w:tc>
          <w:tcPr>
            <w:tcW w:w="383" w:type="pct"/>
            <w:tcBorders>
              <w:top w:val="nil"/>
              <w:left w:val="nil"/>
              <w:bottom w:val="single" w:sz="4" w:space="0" w:color="auto"/>
              <w:right w:val="single" w:sz="8" w:space="0" w:color="auto"/>
            </w:tcBorders>
            <w:shd w:val="clear" w:color="auto" w:fill="4F81BD" w:themeFill="accent1"/>
            <w:noWrap/>
            <w:vAlign w:val="center"/>
            <w:hideMark/>
          </w:tcPr>
          <w:p w14:paraId="24549405" w14:textId="77777777" w:rsidR="007A1B63" w:rsidRDefault="007A1B63">
            <w:pPr>
              <w:jc w:val="center"/>
              <w:rPr>
                <w:rFonts w:ascii="Arial" w:hAnsi="Arial" w:cs="Arial"/>
                <w:b/>
                <w:bCs/>
                <w:color w:val="000000"/>
                <w:sz w:val="16"/>
                <w:szCs w:val="16"/>
              </w:rPr>
            </w:pPr>
            <w:r>
              <w:rPr>
                <w:rFonts w:ascii="Arial" w:hAnsi="Arial" w:cs="Arial"/>
                <w:b/>
                <w:bCs/>
                <w:sz w:val="16"/>
                <w:szCs w:val="16"/>
              </w:rPr>
              <w:t>II TRIM</w:t>
            </w:r>
          </w:p>
        </w:tc>
      </w:tr>
      <w:tr w:rsidR="007A1B63" w14:paraId="71C75808" w14:textId="77777777" w:rsidTr="006738BC">
        <w:trPr>
          <w:trHeight w:val="302"/>
        </w:trPr>
        <w:tc>
          <w:tcPr>
            <w:tcW w:w="1056" w:type="pct"/>
            <w:tcBorders>
              <w:top w:val="single" w:sz="4" w:space="0" w:color="auto"/>
              <w:left w:val="single" w:sz="4" w:space="0" w:color="auto"/>
              <w:bottom w:val="single" w:sz="4" w:space="0" w:color="auto"/>
              <w:right w:val="single" w:sz="4" w:space="0" w:color="auto"/>
            </w:tcBorders>
            <w:noWrap/>
            <w:vAlign w:val="center"/>
            <w:hideMark/>
          </w:tcPr>
          <w:p w14:paraId="52C17E05" w14:textId="77777777" w:rsidR="007A1B63" w:rsidRDefault="007A1B63">
            <w:pPr>
              <w:rPr>
                <w:rFonts w:ascii="Arial" w:hAnsi="Arial" w:cs="Arial"/>
                <w:b/>
                <w:bCs/>
                <w:color w:val="000000"/>
                <w:sz w:val="16"/>
                <w:szCs w:val="16"/>
              </w:rPr>
            </w:pPr>
            <w:r>
              <w:rPr>
                <w:rFonts w:ascii="Arial" w:hAnsi="Arial" w:cs="Arial"/>
                <w:b/>
                <w:bCs/>
                <w:sz w:val="16"/>
                <w:szCs w:val="16"/>
              </w:rPr>
              <w:t>Gastos de Inversión</w:t>
            </w:r>
          </w:p>
        </w:tc>
        <w:tc>
          <w:tcPr>
            <w:tcW w:w="676" w:type="pct"/>
            <w:tcBorders>
              <w:top w:val="single" w:sz="4" w:space="0" w:color="auto"/>
              <w:left w:val="single" w:sz="4" w:space="0" w:color="auto"/>
              <w:bottom w:val="single" w:sz="4" w:space="0" w:color="auto"/>
              <w:right w:val="single" w:sz="4" w:space="0" w:color="auto"/>
            </w:tcBorders>
            <w:noWrap/>
            <w:vAlign w:val="center"/>
            <w:hideMark/>
          </w:tcPr>
          <w:p w14:paraId="640C63B3" w14:textId="77777777" w:rsidR="007A1B63" w:rsidRDefault="007A1B63">
            <w:pPr>
              <w:jc w:val="right"/>
              <w:rPr>
                <w:rFonts w:ascii="Arial" w:hAnsi="Arial" w:cs="Arial"/>
                <w:b/>
                <w:bCs/>
                <w:color w:val="000000"/>
                <w:sz w:val="16"/>
                <w:szCs w:val="16"/>
              </w:rPr>
            </w:pPr>
            <w:r>
              <w:rPr>
                <w:rFonts w:ascii="Arial" w:hAnsi="Arial" w:cs="Arial"/>
                <w:b/>
                <w:bCs/>
                <w:sz w:val="16"/>
                <w:szCs w:val="16"/>
              </w:rPr>
              <w:t>270.370</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A59BAB8" w14:textId="77777777" w:rsidR="007A1B63" w:rsidRDefault="007A1B63">
            <w:pPr>
              <w:jc w:val="right"/>
              <w:rPr>
                <w:rFonts w:ascii="Arial" w:hAnsi="Arial" w:cs="Arial"/>
                <w:b/>
                <w:bCs/>
                <w:color w:val="000000"/>
                <w:sz w:val="16"/>
                <w:szCs w:val="16"/>
              </w:rPr>
            </w:pPr>
            <w:r>
              <w:rPr>
                <w:rFonts w:ascii="Arial" w:hAnsi="Arial" w:cs="Arial"/>
                <w:b/>
                <w:bCs/>
                <w:sz w:val="16"/>
                <w:szCs w:val="16"/>
              </w:rPr>
              <w:t>0</w:t>
            </w:r>
          </w:p>
        </w:tc>
        <w:tc>
          <w:tcPr>
            <w:tcW w:w="676" w:type="pct"/>
            <w:tcBorders>
              <w:top w:val="single" w:sz="4" w:space="0" w:color="auto"/>
              <w:left w:val="single" w:sz="4" w:space="0" w:color="auto"/>
              <w:bottom w:val="single" w:sz="4" w:space="0" w:color="auto"/>
              <w:right w:val="single" w:sz="4" w:space="0" w:color="auto"/>
            </w:tcBorders>
            <w:noWrap/>
            <w:vAlign w:val="center"/>
            <w:hideMark/>
          </w:tcPr>
          <w:p w14:paraId="6F5D05E0" w14:textId="77777777" w:rsidR="007A1B63" w:rsidRDefault="007A1B63">
            <w:pPr>
              <w:jc w:val="right"/>
              <w:rPr>
                <w:rFonts w:ascii="Arial" w:hAnsi="Arial" w:cs="Arial"/>
                <w:b/>
                <w:bCs/>
                <w:color w:val="000000"/>
                <w:sz w:val="16"/>
                <w:szCs w:val="16"/>
              </w:rPr>
            </w:pPr>
            <w:r>
              <w:rPr>
                <w:rFonts w:ascii="Arial" w:hAnsi="Arial" w:cs="Arial"/>
                <w:b/>
                <w:bCs/>
                <w:sz w:val="16"/>
                <w:szCs w:val="16"/>
              </w:rPr>
              <w:t>270.370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5EB744D4" w14:textId="77777777" w:rsidR="007A1B63" w:rsidRDefault="007A1B63">
            <w:pPr>
              <w:jc w:val="right"/>
              <w:rPr>
                <w:rFonts w:ascii="Arial" w:hAnsi="Arial" w:cs="Arial"/>
                <w:b/>
                <w:bCs/>
                <w:color w:val="000000"/>
                <w:sz w:val="16"/>
                <w:szCs w:val="16"/>
              </w:rPr>
            </w:pPr>
            <w:r>
              <w:rPr>
                <w:rFonts w:ascii="Arial" w:hAnsi="Arial" w:cs="Arial"/>
                <w:b/>
                <w:bCs/>
                <w:sz w:val="16"/>
                <w:szCs w:val="16"/>
              </w:rPr>
              <w:t>196.449</w:t>
            </w:r>
          </w:p>
        </w:tc>
        <w:tc>
          <w:tcPr>
            <w:tcW w:w="550" w:type="pct"/>
            <w:tcBorders>
              <w:top w:val="single" w:sz="4" w:space="0" w:color="auto"/>
              <w:left w:val="single" w:sz="4" w:space="0" w:color="auto"/>
              <w:bottom w:val="single" w:sz="4" w:space="0" w:color="auto"/>
              <w:right w:val="single" w:sz="4" w:space="0" w:color="auto"/>
            </w:tcBorders>
            <w:noWrap/>
            <w:vAlign w:val="center"/>
            <w:hideMark/>
          </w:tcPr>
          <w:p w14:paraId="37D86CC8" w14:textId="77777777" w:rsidR="007A1B63" w:rsidRDefault="007A1B63">
            <w:pPr>
              <w:jc w:val="right"/>
              <w:rPr>
                <w:rFonts w:ascii="Arial" w:hAnsi="Arial" w:cs="Arial"/>
                <w:b/>
                <w:bCs/>
                <w:color w:val="000000"/>
                <w:sz w:val="16"/>
                <w:szCs w:val="16"/>
              </w:rPr>
            </w:pPr>
            <w:r>
              <w:rPr>
                <w:rFonts w:ascii="Arial" w:hAnsi="Arial" w:cs="Arial"/>
                <w:b/>
                <w:bCs/>
                <w:sz w:val="16"/>
                <w:szCs w:val="16"/>
              </w:rPr>
              <w:t>248.042</w:t>
            </w:r>
          </w:p>
        </w:tc>
        <w:tc>
          <w:tcPr>
            <w:tcW w:w="383" w:type="pct"/>
            <w:tcBorders>
              <w:top w:val="single" w:sz="4" w:space="0" w:color="auto"/>
              <w:left w:val="single" w:sz="4" w:space="0" w:color="auto"/>
              <w:bottom w:val="single" w:sz="4" w:space="0" w:color="auto"/>
              <w:right w:val="single" w:sz="4" w:space="0" w:color="auto"/>
            </w:tcBorders>
            <w:noWrap/>
            <w:vAlign w:val="center"/>
            <w:hideMark/>
          </w:tcPr>
          <w:p w14:paraId="04D2007D" w14:textId="77777777" w:rsidR="007A1B63" w:rsidRDefault="007A1B63">
            <w:pPr>
              <w:jc w:val="right"/>
              <w:rPr>
                <w:rFonts w:ascii="Arial" w:hAnsi="Arial" w:cs="Arial"/>
                <w:b/>
                <w:bCs/>
                <w:color w:val="000000"/>
                <w:sz w:val="16"/>
                <w:szCs w:val="16"/>
              </w:rPr>
            </w:pPr>
            <w:r>
              <w:rPr>
                <w:rFonts w:ascii="Arial" w:hAnsi="Arial" w:cs="Arial"/>
                <w:b/>
                <w:bCs/>
                <w:sz w:val="16"/>
                <w:szCs w:val="16"/>
              </w:rPr>
              <w:t>122.652</w:t>
            </w:r>
          </w:p>
        </w:tc>
        <w:tc>
          <w:tcPr>
            <w:tcW w:w="383" w:type="pct"/>
            <w:tcBorders>
              <w:top w:val="single" w:sz="4" w:space="0" w:color="auto"/>
              <w:left w:val="single" w:sz="4" w:space="0" w:color="auto"/>
              <w:bottom w:val="single" w:sz="4" w:space="0" w:color="auto"/>
              <w:right w:val="single" w:sz="4" w:space="0" w:color="auto"/>
            </w:tcBorders>
            <w:noWrap/>
            <w:vAlign w:val="center"/>
            <w:hideMark/>
          </w:tcPr>
          <w:p w14:paraId="076967FF" w14:textId="77777777" w:rsidR="007A1B63" w:rsidRDefault="007A1B63">
            <w:pPr>
              <w:jc w:val="right"/>
              <w:rPr>
                <w:rFonts w:ascii="Arial" w:hAnsi="Arial" w:cs="Arial"/>
                <w:b/>
                <w:bCs/>
                <w:color w:val="000000"/>
                <w:sz w:val="16"/>
                <w:szCs w:val="16"/>
              </w:rPr>
            </w:pPr>
            <w:r>
              <w:rPr>
                <w:rFonts w:ascii="Arial" w:hAnsi="Arial" w:cs="Arial"/>
                <w:b/>
                <w:bCs/>
                <w:sz w:val="16"/>
                <w:szCs w:val="16"/>
              </w:rPr>
              <w:t>122.179</w:t>
            </w:r>
          </w:p>
        </w:tc>
      </w:tr>
      <w:tr w:rsidR="007A1B63" w14:paraId="4B86EF4D" w14:textId="77777777" w:rsidTr="006738BC">
        <w:trPr>
          <w:trHeight w:val="749"/>
        </w:trPr>
        <w:tc>
          <w:tcPr>
            <w:tcW w:w="1056" w:type="pct"/>
            <w:tcBorders>
              <w:top w:val="single" w:sz="4" w:space="0" w:color="auto"/>
              <w:left w:val="single" w:sz="4" w:space="0" w:color="auto"/>
              <w:bottom w:val="single" w:sz="4" w:space="0" w:color="auto"/>
              <w:right w:val="single" w:sz="4" w:space="0" w:color="auto"/>
            </w:tcBorders>
            <w:vAlign w:val="center"/>
            <w:hideMark/>
          </w:tcPr>
          <w:p w14:paraId="0789262B" w14:textId="77777777" w:rsidR="007A1B63" w:rsidRDefault="007A1B63">
            <w:pPr>
              <w:rPr>
                <w:rFonts w:ascii="Arial" w:hAnsi="Arial" w:cs="Arial"/>
                <w:color w:val="000000"/>
                <w:sz w:val="16"/>
                <w:szCs w:val="16"/>
              </w:rPr>
            </w:pPr>
            <w:r>
              <w:rPr>
                <w:rFonts w:ascii="Arial" w:hAnsi="Arial" w:cs="Arial"/>
                <w:sz w:val="16"/>
                <w:szCs w:val="16"/>
              </w:rPr>
              <w:t>Desarrollo de ciencia y tecnología para el sector de hidrocarburos</w:t>
            </w:r>
          </w:p>
        </w:tc>
        <w:tc>
          <w:tcPr>
            <w:tcW w:w="676" w:type="pct"/>
            <w:tcBorders>
              <w:top w:val="single" w:sz="4" w:space="0" w:color="auto"/>
              <w:left w:val="single" w:sz="4" w:space="0" w:color="auto"/>
              <w:bottom w:val="single" w:sz="4" w:space="0" w:color="auto"/>
              <w:right w:val="single" w:sz="4" w:space="0" w:color="auto"/>
            </w:tcBorders>
            <w:noWrap/>
            <w:vAlign w:val="center"/>
            <w:hideMark/>
          </w:tcPr>
          <w:p w14:paraId="3389EB75" w14:textId="77777777" w:rsidR="007A1B63" w:rsidRDefault="007A1B63">
            <w:pPr>
              <w:jc w:val="right"/>
              <w:rPr>
                <w:rFonts w:ascii="Arial" w:hAnsi="Arial" w:cs="Arial"/>
                <w:color w:val="000000"/>
                <w:sz w:val="16"/>
                <w:szCs w:val="16"/>
              </w:rPr>
            </w:pPr>
            <w:r>
              <w:rPr>
                <w:rFonts w:ascii="Arial" w:hAnsi="Arial" w:cs="Arial"/>
                <w:sz w:val="16"/>
                <w:szCs w:val="16"/>
              </w:rPr>
              <w:t>10.000</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4D1AA4F2"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single" w:sz="4" w:space="0" w:color="auto"/>
              <w:left w:val="single" w:sz="4" w:space="0" w:color="auto"/>
              <w:bottom w:val="single" w:sz="4" w:space="0" w:color="auto"/>
              <w:right w:val="single" w:sz="4" w:space="0" w:color="auto"/>
            </w:tcBorders>
            <w:noWrap/>
            <w:vAlign w:val="center"/>
            <w:hideMark/>
          </w:tcPr>
          <w:p w14:paraId="1236AFA9" w14:textId="77777777" w:rsidR="007A1B63" w:rsidRDefault="007A1B63">
            <w:pPr>
              <w:jc w:val="right"/>
              <w:rPr>
                <w:rFonts w:ascii="Arial" w:hAnsi="Arial" w:cs="Arial"/>
                <w:color w:val="000000"/>
                <w:sz w:val="16"/>
                <w:szCs w:val="16"/>
              </w:rPr>
            </w:pPr>
            <w:r>
              <w:rPr>
                <w:rFonts w:ascii="Arial" w:hAnsi="Arial" w:cs="Arial"/>
                <w:sz w:val="16"/>
                <w:szCs w:val="16"/>
              </w:rPr>
              <w:t>10.000</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56FD8E68"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550" w:type="pct"/>
            <w:tcBorders>
              <w:top w:val="single" w:sz="4" w:space="0" w:color="auto"/>
              <w:left w:val="single" w:sz="4" w:space="0" w:color="auto"/>
              <w:bottom w:val="single" w:sz="4" w:space="0" w:color="auto"/>
              <w:right w:val="single" w:sz="4" w:space="0" w:color="auto"/>
            </w:tcBorders>
            <w:noWrap/>
            <w:vAlign w:val="center"/>
            <w:hideMark/>
          </w:tcPr>
          <w:p w14:paraId="584D0578"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383" w:type="pct"/>
            <w:tcBorders>
              <w:top w:val="single" w:sz="4" w:space="0" w:color="auto"/>
              <w:left w:val="single" w:sz="4" w:space="0" w:color="auto"/>
              <w:bottom w:val="single" w:sz="4" w:space="0" w:color="auto"/>
              <w:right w:val="single" w:sz="4" w:space="0" w:color="auto"/>
            </w:tcBorders>
            <w:noWrap/>
            <w:vAlign w:val="center"/>
            <w:hideMark/>
          </w:tcPr>
          <w:p w14:paraId="1DD7B6B2"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383" w:type="pct"/>
            <w:tcBorders>
              <w:top w:val="single" w:sz="4" w:space="0" w:color="auto"/>
              <w:left w:val="single" w:sz="4" w:space="0" w:color="auto"/>
              <w:bottom w:val="single" w:sz="4" w:space="0" w:color="auto"/>
              <w:right w:val="single" w:sz="4" w:space="0" w:color="auto"/>
            </w:tcBorders>
            <w:noWrap/>
            <w:vAlign w:val="center"/>
            <w:hideMark/>
          </w:tcPr>
          <w:p w14:paraId="778885EE" w14:textId="77777777" w:rsidR="007A1B63" w:rsidRDefault="007A1B63">
            <w:pPr>
              <w:jc w:val="right"/>
              <w:rPr>
                <w:rFonts w:ascii="Arial" w:hAnsi="Arial" w:cs="Arial"/>
                <w:color w:val="000000"/>
                <w:sz w:val="16"/>
                <w:szCs w:val="16"/>
              </w:rPr>
            </w:pPr>
            <w:r>
              <w:rPr>
                <w:rFonts w:ascii="Arial" w:hAnsi="Arial" w:cs="Arial"/>
                <w:sz w:val="16"/>
                <w:szCs w:val="16"/>
              </w:rPr>
              <w:t>0</w:t>
            </w:r>
          </w:p>
        </w:tc>
      </w:tr>
      <w:tr w:rsidR="007A1B63" w14:paraId="01975C3F" w14:textId="77777777" w:rsidTr="006738BC">
        <w:trPr>
          <w:trHeight w:val="865"/>
        </w:trPr>
        <w:tc>
          <w:tcPr>
            <w:tcW w:w="1056" w:type="pct"/>
            <w:tcBorders>
              <w:top w:val="single" w:sz="4" w:space="0" w:color="auto"/>
              <w:left w:val="single" w:sz="8" w:space="0" w:color="auto"/>
              <w:bottom w:val="single" w:sz="8" w:space="0" w:color="auto"/>
              <w:right w:val="single" w:sz="8" w:space="0" w:color="auto"/>
            </w:tcBorders>
            <w:vAlign w:val="center"/>
            <w:hideMark/>
          </w:tcPr>
          <w:p w14:paraId="12972FC6" w14:textId="77777777" w:rsidR="007A1B63" w:rsidRDefault="007A1B63">
            <w:pPr>
              <w:rPr>
                <w:rFonts w:ascii="Arial" w:hAnsi="Arial" w:cs="Arial"/>
                <w:color w:val="000000"/>
                <w:sz w:val="16"/>
                <w:szCs w:val="16"/>
              </w:rPr>
            </w:pPr>
            <w:r>
              <w:rPr>
                <w:rFonts w:ascii="Arial" w:hAnsi="Arial" w:cs="Arial"/>
                <w:sz w:val="16"/>
                <w:szCs w:val="16"/>
              </w:rPr>
              <w:t xml:space="preserve">Fortalecimiento de la gestión articulada para la sostenibilidad del sector de hidrocarburos </w:t>
            </w:r>
            <w:proofErr w:type="spellStart"/>
            <w:r>
              <w:rPr>
                <w:rFonts w:ascii="Arial" w:hAnsi="Arial" w:cs="Arial"/>
                <w:sz w:val="16"/>
                <w:szCs w:val="16"/>
              </w:rPr>
              <w:t>Rec</w:t>
            </w:r>
            <w:proofErr w:type="spellEnd"/>
            <w:r>
              <w:rPr>
                <w:rFonts w:ascii="Arial" w:hAnsi="Arial" w:cs="Arial"/>
                <w:sz w:val="16"/>
                <w:szCs w:val="16"/>
              </w:rPr>
              <w:t xml:space="preserve"> 20</w:t>
            </w:r>
          </w:p>
        </w:tc>
        <w:tc>
          <w:tcPr>
            <w:tcW w:w="676" w:type="pct"/>
            <w:tcBorders>
              <w:top w:val="single" w:sz="4" w:space="0" w:color="auto"/>
              <w:left w:val="nil"/>
              <w:bottom w:val="single" w:sz="8" w:space="0" w:color="auto"/>
              <w:right w:val="single" w:sz="8" w:space="0" w:color="auto"/>
            </w:tcBorders>
            <w:noWrap/>
            <w:vAlign w:val="center"/>
            <w:hideMark/>
          </w:tcPr>
          <w:p w14:paraId="4D106764" w14:textId="77777777" w:rsidR="007A1B63" w:rsidRDefault="007A1B63">
            <w:pPr>
              <w:jc w:val="right"/>
              <w:rPr>
                <w:rFonts w:ascii="Arial" w:hAnsi="Arial" w:cs="Arial"/>
                <w:color w:val="000000"/>
                <w:sz w:val="16"/>
                <w:szCs w:val="16"/>
              </w:rPr>
            </w:pPr>
            <w:r>
              <w:rPr>
                <w:rFonts w:ascii="Arial" w:hAnsi="Arial" w:cs="Arial"/>
                <w:sz w:val="16"/>
                <w:szCs w:val="16"/>
              </w:rPr>
              <w:t>19.123</w:t>
            </w:r>
          </w:p>
        </w:tc>
        <w:tc>
          <w:tcPr>
            <w:tcW w:w="619" w:type="pct"/>
            <w:tcBorders>
              <w:top w:val="single" w:sz="4" w:space="0" w:color="auto"/>
              <w:left w:val="nil"/>
              <w:bottom w:val="single" w:sz="8" w:space="0" w:color="auto"/>
              <w:right w:val="single" w:sz="8" w:space="0" w:color="auto"/>
            </w:tcBorders>
            <w:noWrap/>
            <w:vAlign w:val="center"/>
            <w:hideMark/>
          </w:tcPr>
          <w:p w14:paraId="095B4478"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single" w:sz="4" w:space="0" w:color="auto"/>
              <w:left w:val="nil"/>
              <w:bottom w:val="single" w:sz="8" w:space="0" w:color="auto"/>
              <w:right w:val="single" w:sz="8" w:space="0" w:color="auto"/>
            </w:tcBorders>
            <w:noWrap/>
            <w:vAlign w:val="center"/>
            <w:hideMark/>
          </w:tcPr>
          <w:p w14:paraId="0D5E5A9B" w14:textId="77777777" w:rsidR="007A1B63" w:rsidRDefault="007A1B63">
            <w:pPr>
              <w:jc w:val="right"/>
              <w:rPr>
                <w:rFonts w:ascii="Arial" w:hAnsi="Arial" w:cs="Arial"/>
                <w:color w:val="000000"/>
                <w:sz w:val="16"/>
                <w:szCs w:val="16"/>
              </w:rPr>
            </w:pPr>
            <w:r>
              <w:rPr>
                <w:rFonts w:ascii="Arial" w:hAnsi="Arial" w:cs="Arial"/>
                <w:sz w:val="16"/>
                <w:szCs w:val="16"/>
              </w:rPr>
              <w:t>19.123</w:t>
            </w:r>
          </w:p>
        </w:tc>
        <w:tc>
          <w:tcPr>
            <w:tcW w:w="656" w:type="pct"/>
            <w:tcBorders>
              <w:top w:val="single" w:sz="4" w:space="0" w:color="auto"/>
              <w:left w:val="nil"/>
              <w:bottom w:val="single" w:sz="8" w:space="0" w:color="auto"/>
              <w:right w:val="single" w:sz="8" w:space="0" w:color="auto"/>
            </w:tcBorders>
            <w:noWrap/>
            <w:vAlign w:val="center"/>
            <w:hideMark/>
          </w:tcPr>
          <w:p w14:paraId="77C6A9D2" w14:textId="77777777" w:rsidR="007A1B63" w:rsidRDefault="007A1B63">
            <w:pPr>
              <w:jc w:val="right"/>
              <w:rPr>
                <w:rFonts w:ascii="Arial" w:hAnsi="Arial" w:cs="Arial"/>
                <w:color w:val="000000"/>
                <w:sz w:val="16"/>
                <w:szCs w:val="16"/>
              </w:rPr>
            </w:pPr>
            <w:r>
              <w:rPr>
                <w:rFonts w:ascii="Arial" w:hAnsi="Arial" w:cs="Arial"/>
                <w:sz w:val="16"/>
                <w:szCs w:val="16"/>
              </w:rPr>
              <w:t>19.123</w:t>
            </w:r>
          </w:p>
        </w:tc>
        <w:tc>
          <w:tcPr>
            <w:tcW w:w="550" w:type="pct"/>
            <w:tcBorders>
              <w:top w:val="single" w:sz="4" w:space="0" w:color="auto"/>
              <w:left w:val="nil"/>
              <w:bottom w:val="single" w:sz="8" w:space="0" w:color="auto"/>
              <w:right w:val="single" w:sz="8" w:space="0" w:color="auto"/>
            </w:tcBorders>
            <w:noWrap/>
            <w:vAlign w:val="center"/>
            <w:hideMark/>
          </w:tcPr>
          <w:p w14:paraId="1B6DE25D" w14:textId="77777777" w:rsidR="007A1B63" w:rsidRDefault="007A1B63">
            <w:pPr>
              <w:jc w:val="right"/>
              <w:rPr>
                <w:rFonts w:ascii="Arial" w:hAnsi="Arial" w:cs="Arial"/>
                <w:color w:val="000000"/>
                <w:sz w:val="16"/>
                <w:szCs w:val="16"/>
              </w:rPr>
            </w:pPr>
            <w:r>
              <w:rPr>
                <w:rFonts w:ascii="Arial" w:hAnsi="Arial" w:cs="Arial"/>
                <w:sz w:val="16"/>
                <w:szCs w:val="16"/>
              </w:rPr>
              <w:t>19.123</w:t>
            </w:r>
          </w:p>
        </w:tc>
        <w:tc>
          <w:tcPr>
            <w:tcW w:w="383" w:type="pct"/>
            <w:tcBorders>
              <w:top w:val="single" w:sz="4" w:space="0" w:color="auto"/>
              <w:left w:val="nil"/>
              <w:bottom w:val="single" w:sz="8" w:space="0" w:color="auto"/>
              <w:right w:val="single" w:sz="8" w:space="0" w:color="auto"/>
            </w:tcBorders>
            <w:noWrap/>
            <w:vAlign w:val="center"/>
            <w:hideMark/>
          </w:tcPr>
          <w:p w14:paraId="6191D40A" w14:textId="77777777" w:rsidR="007A1B63" w:rsidRDefault="007A1B63">
            <w:pPr>
              <w:jc w:val="right"/>
              <w:rPr>
                <w:rFonts w:ascii="Arial" w:hAnsi="Arial" w:cs="Arial"/>
                <w:color w:val="000000"/>
                <w:sz w:val="16"/>
                <w:szCs w:val="16"/>
              </w:rPr>
            </w:pPr>
            <w:r>
              <w:rPr>
                <w:rFonts w:ascii="Arial" w:hAnsi="Arial" w:cs="Arial"/>
                <w:sz w:val="16"/>
                <w:szCs w:val="16"/>
              </w:rPr>
              <w:t>19.123</w:t>
            </w:r>
          </w:p>
        </w:tc>
        <w:tc>
          <w:tcPr>
            <w:tcW w:w="383" w:type="pct"/>
            <w:tcBorders>
              <w:top w:val="single" w:sz="4" w:space="0" w:color="auto"/>
              <w:left w:val="nil"/>
              <w:bottom w:val="single" w:sz="8" w:space="0" w:color="auto"/>
              <w:right w:val="single" w:sz="8" w:space="0" w:color="auto"/>
            </w:tcBorders>
            <w:noWrap/>
            <w:vAlign w:val="center"/>
            <w:hideMark/>
          </w:tcPr>
          <w:p w14:paraId="32805DB3" w14:textId="77777777" w:rsidR="007A1B63" w:rsidRDefault="007A1B63">
            <w:pPr>
              <w:jc w:val="right"/>
              <w:rPr>
                <w:rFonts w:ascii="Arial" w:hAnsi="Arial" w:cs="Arial"/>
                <w:color w:val="000000"/>
                <w:sz w:val="16"/>
                <w:szCs w:val="16"/>
              </w:rPr>
            </w:pPr>
            <w:r>
              <w:rPr>
                <w:rFonts w:ascii="Arial" w:hAnsi="Arial" w:cs="Arial"/>
                <w:sz w:val="16"/>
                <w:szCs w:val="16"/>
              </w:rPr>
              <w:t>19.123</w:t>
            </w:r>
          </w:p>
        </w:tc>
      </w:tr>
      <w:tr w:rsidR="007A1B63" w14:paraId="3FE04A8A" w14:textId="77777777" w:rsidTr="006738BC">
        <w:trPr>
          <w:trHeight w:val="865"/>
        </w:trPr>
        <w:tc>
          <w:tcPr>
            <w:tcW w:w="1056" w:type="pct"/>
            <w:tcBorders>
              <w:top w:val="nil"/>
              <w:left w:val="single" w:sz="8" w:space="0" w:color="auto"/>
              <w:bottom w:val="single" w:sz="8" w:space="0" w:color="auto"/>
              <w:right w:val="single" w:sz="8" w:space="0" w:color="auto"/>
            </w:tcBorders>
            <w:vAlign w:val="center"/>
            <w:hideMark/>
          </w:tcPr>
          <w:p w14:paraId="26BA838D" w14:textId="77777777" w:rsidR="007A1B63" w:rsidRDefault="007A1B63">
            <w:pPr>
              <w:rPr>
                <w:rFonts w:ascii="Arial" w:hAnsi="Arial" w:cs="Arial"/>
                <w:color w:val="000000"/>
                <w:sz w:val="16"/>
                <w:szCs w:val="16"/>
              </w:rPr>
            </w:pPr>
            <w:r>
              <w:rPr>
                <w:rFonts w:ascii="Arial" w:hAnsi="Arial" w:cs="Arial"/>
                <w:sz w:val="16"/>
                <w:szCs w:val="16"/>
              </w:rPr>
              <w:lastRenderedPageBreak/>
              <w:t xml:space="preserve">Fortalecimiento de la gestión articulada para la sostenibilidad del sector de hidrocarburos </w:t>
            </w:r>
            <w:proofErr w:type="spellStart"/>
            <w:r>
              <w:rPr>
                <w:rFonts w:ascii="Arial" w:hAnsi="Arial" w:cs="Arial"/>
                <w:sz w:val="16"/>
                <w:szCs w:val="16"/>
              </w:rPr>
              <w:t>Rec</w:t>
            </w:r>
            <w:proofErr w:type="spellEnd"/>
            <w:r>
              <w:rPr>
                <w:rFonts w:ascii="Arial" w:hAnsi="Arial" w:cs="Arial"/>
                <w:sz w:val="16"/>
                <w:szCs w:val="16"/>
              </w:rPr>
              <w:t xml:space="preserve"> 21</w:t>
            </w:r>
          </w:p>
        </w:tc>
        <w:tc>
          <w:tcPr>
            <w:tcW w:w="676" w:type="pct"/>
            <w:tcBorders>
              <w:top w:val="nil"/>
              <w:left w:val="nil"/>
              <w:bottom w:val="single" w:sz="8" w:space="0" w:color="auto"/>
              <w:right w:val="single" w:sz="8" w:space="0" w:color="auto"/>
            </w:tcBorders>
            <w:noWrap/>
            <w:vAlign w:val="center"/>
            <w:hideMark/>
          </w:tcPr>
          <w:p w14:paraId="5C558792" w14:textId="77777777" w:rsidR="007A1B63" w:rsidRDefault="007A1B63">
            <w:pPr>
              <w:jc w:val="right"/>
              <w:rPr>
                <w:rFonts w:ascii="Arial" w:hAnsi="Arial" w:cs="Arial"/>
                <w:color w:val="000000"/>
                <w:sz w:val="16"/>
                <w:szCs w:val="16"/>
              </w:rPr>
            </w:pPr>
            <w:r>
              <w:rPr>
                <w:rFonts w:ascii="Arial" w:hAnsi="Arial" w:cs="Arial"/>
                <w:sz w:val="16"/>
                <w:szCs w:val="16"/>
              </w:rPr>
              <w:t>30.000</w:t>
            </w:r>
          </w:p>
        </w:tc>
        <w:tc>
          <w:tcPr>
            <w:tcW w:w="619" w:type="pct"/>
            <w:tcBorders>
              <w:top w:val="nil"/>
              <w:left w:val="nil"/>
              <w:bottom w:val="single" w:sz="8" w:space="0" w:color="auto"/>
              <w:right w:val="single" w:sz="8" w:space="0" w:color="auto"/>
            </w:tcBorders>
            <w:noWrap/>
            <w:vAlign w:val="center"/>
            <w:hideMark/>
          </w:tcPr>
          <w:p w14:paraId="583EDF17"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nil"/>
              <w:left w:val="nil"/>
              <w:bottom w:val="single" w:sz="8" w:space="0" w:color="auto"/>
              <w:right w:val="single" w:sz="8" w:space="0" w:color="auto"/>
            </w:tcBorders>
            <w:noWrap/>
            <w:vAlign w:val="center"/>
            <w:hideMark/>
          </w:tcPr>
          <w:p w14:paraId="7F015EED" w14:textId="77777777" w:rsidR="007A1B63" w:rsidRDefault="007A1B63">
            <w:pPr>
              <w:jc w:val="right"/>
              <w:rPr>
                <w:rFonts w:ascii="Arial" w:hAnsi="Arial" w:cs="Arial"/>
                <w:color w:val="000000"/>
                <w:sz w:val="16"/>
                <w:szCs w:val="16"/>
              </w:rPr>
            </w:pPr>
            <w:r>
              <w:rPr>
                <w:rFonts w:ascii="Arial" w:hAnsi="Arial" w:cs="Arial"/>
                <w:sz w:val="16"/>
                <w:szCs w:val="16"/>
              </w:rPr>
              <w:t>30.000</w:t>
            </w:r>
          </w:p>
        </w:tc>
        <w:tc>
          <w:tcPr>
            <w:tcW w:w="656" w:type="pct"/>
            <w:tcBorders>
              <w:top w:val="nil"/>
              <w:left w:val="nil"/>
              <w:bottom w:val="single" w:sz="8" w:space="0" w:color="auto"/>
              <w:right w:val="single" w:sz="8" w:space="0" w:color="auto"/>
            </w:tcBorders>
            <w:noWrap/>
            <w:vAlign w:val="center"/>
            <w:hideMark/>
          </w:tcPr>
          <w:p w14:paraId="72A3A7AD" w14:textId="77777777" w:rsidR="007A1B63" w:rsidRDefault="007A1B63">
            <w:pPr>
              <w:jc w:val="right"/>
              <w:rPr>
                <w:rFonts w:ascii="Arial" w:hAnsi="Arial" w:cs="Arial"/>
                <w:color w:val="000000"/>
                <w:sz w:val="16"/>
                <w:szCs w:val="16"/>
              </w:rPr>
            </w:pPr>
            <w:r>
              <w:rPr>
                <w:rFonts w:ascii="Arial" w:hAnsi="Arial" w:cs="Arial"/>
                <w:sz w:val="16"/>
                <w:szCs w:val="16"/>
              </w:rPr>
              <w:t>25.576</w:t>
            </w:r>
          </w:p>
        </w:tc>
        <w:tc>
          <w:tcPr>
            <w:tcW w:w="550" w:type="pct"/>
            <w:tcBorders>
              <w:top w:val="nil"/>
              <w:left w:val="nil"/>
              <w:bottom w:val="single" w:sz="8" w:space="0" w:color="auto"/>
              <w:right w:val="single" w:sz="8" w:space="0" w:color="auto"/>
            </w:tcBorders>
            <w:noWrap/>
            <w:vAlign w:val="center"/>
            <w:hideMark/>
          </w:tcPr>
          <w:p w14:paraId="0B64822D" w14:textId="77777777" w:rsidR="007A1B63" w:rsidRDefault="007A1B63">
            <w:pPr>
              <w:jc w:val="right"/>
              <w:rPr>
                <w:rFonts w:ascii="Arial" w:hAnsi="Arial" w:cs="Arial"/>
                <w:color w:val="000000"/>
                <w:sz w:val="16"/>
                <w:szCs w:val="16"/>
              </w:rPr>
            </w:pPr>
            <w:r>
              <w:rPr>
                <w:rFonts w:ascii="Arial" w:hAnsi="Arial" w:cs="Arial"/>
                <w:sz w:val="16"/>
                <w:szCs w:val="16"/>
              </w:rPr>
              <w:t>25.576</w:t>
            </w:r>
          </w:p>
        </w:tc>
        <w:tc>
          <w:tcPr>
            <w:tcW w:w="383" w:type="pct"/>
            <w:tcBorders>
              <w:top w:val="nil"/>
              <w:left w:val="nil"/>
              <w:bottom w:val="single" w:sz="8" w:space="0" w:color="auto"/>
              <w:right w:val="single" w:sz="8" w:space="0" w:color="auto"/>
            </w:tcBorders>
            <w:noWrap/>
            <w:vAlign w:val="center"/>
            <w:hideMark/>
          </w:tcPr>
          <w:p w14:paraId="29E2A23C" w14:textId="77777777" w:rsidR="007A1B63" w:rsidRDefault="007A1B63">
            <w:pPr>
              <w:jc w:val="right"/>
              <w:rPr>
                <w:rFonts w:ascii="Arial" w:hAnsi="Arial" w:cs="Arial"/>
                <w:color w:val="000000"/>
                <w:sz w:val="16"/>
                <w:szCs w:val="16"/>
              </w:rPr>
            </w:pPr>
            <w:r>
              <w:rPr>
                <w:rFonts w:ascii="Arial" w:hAnsi="Arial" w:cs="Arial"/>
                <w:sz w:val="16"/>
                <w:szCs w:val="16"/>
              </w:rPr>
              <w:t>25.576</w:t>
            </w:r>
          </w:p>
        </w:tc>
        <w:tc>
          <w:tcPr>
            <w:tcW w:w="383" w:type="pct"/>
            <w:tcBorders>
              <w:top w:val="nil"/>
              <w:left w:val="nil"/>
              <w:bottom w:val="single" w:sz="8" w:space="0" w:color="auto"/>
              <w:right w:val="single" w:sz="8" w:space="0" w:color="auto"/>
            </w:tcBorders>
            <w:noWrap/>
            <w:vAlign w:val="center"/>
            <w:hideMark/>
          </w:tcPr>
          <w:p w14:paraId="76769FE0" w14:textId="77777777" w:rsidR="007A1B63" w:rsidRDefault="007A1B63">
            <w:pPr>
              <w:jc w:val="right"/>
              <w:rPr>
                <w:rFonts w:ascii="Arial" w:hAnsi="Arial" w:cs="Arial"/>
                <w:color w:val="000000"/>
                <w:sz w:val="16"/>
                <w:szCs w:val="16"/>
              </w:rPr>
            </w:pPr>
            <w:r>
              <w:rPr>
                <w:rFonts w:ascii="Arial" w:hAnsi="Arial" w:cs="Arial"/>
                <w:sz w:val="16"/>
                <w:szCs w:val="16"/>
              </w:rPr>
              <w:t>25.576</w:t>
            </w:r>
          </w:p>
        </w:tc>
      </w:tr>
      <w:tr w:rsidR="007A1B63" w14:paraId="698B5F09" w14:textId="77777777" w:rsidTr="006738BC">
        <w:trPr>
          <w:trHeight w:val="764"/>
        </w:trPr>
        <w:tc>
          <w:tcPr>
            <w:tcW w:w="1056" w:type="pct"/>
            <w:tcBorders>
              <w:top w:val="nil"/>
              <w:left w:val="single" w:sz="8" w:space="0" w:color="auto"/>
              <w:bottom w:val="single" w:sz="8" w:space="0" w:color="auto"/>
              <w:right w:val="single" w:sz="8" w:space="0" w:color="auto"/>
            </w:tcBorders>
            <w:vAlign w:val="center"/>
            <w:hideMark/>
          </w:tcPr>
          <w:p w14:paraId="1A9854D8" w14:textId="35583EC1" w:rsidR="007A1B63" w:rsidRDefault="007A1B63">
            <w:pPr>
              <w:rPr>
                <w:rFonts w:ascii="Arial" w:hAnsi="Arial" w:cs="Arial"/>
                <w:color w:val="000000"/>
                <w:sz w:val="16"/>
                <w:szCs w:val="16"/>
              </w:rPr>
            </w:pPr>
            <w:r>
              <w:rPr>
                <w:rFonts w:ascii="Arial" w:hAnsi="Arial" w:cs="Arial"/>
                <w:sz w:val="16"/>
                <w:szCs w:val="16"/>
              </w:rPr>
              <w:t xml:space="preserve">Adecuación del modelo de promoción de los recursos </w:t>
            </w:r>
            <w:r w:rsidR="00576641">
              <w:rPr>
                <w:rFonts w:ascii="Arial" w:hAnsi="Arial" w:cs="Arial"/>
                <w:sz w:val="16"/>
                <w:szCs w:val="16"/>
              </w:rPr>
              <w:t>Hidrocarburíferos</w:t>
            </w:r>
            <w:r>
              <w:rPr>
                <w:rFonts w:ascii="Arial" w:hAnsi="Arial" w:cs="Arial"/>
                <w:sz w:val="16"/>
                <w:szCs w:val="16"/>
              </w:rPr>
              <w:t xml:space="preserve"> frente a los factores externos</w:t>
            </w:r>
          </w:p>
        </w:tc>
        <w:tc>
          <w:tcPr>
            <w:tcW w:w="676" w:type="pct"/>
            <w:tcBorders>
              <w:top w:val="nil"/>
              <w:left w:val="nil"/>
              <w:bottom w:val="single" w:sz="8" w:space="0" w:color="auto"/>
              <w:right w:val="single" w:sz="8" w:space="0" w:color="auto"/>
            </w:tcBorders>
            <w:noWrap/>
            <w:vAlign w:val="center"/>
            <w:hideMark/>
          </w:tcPr>
          <w:p w14:paraId="60FBAB99" w14:textId="77777777" w:rsidR="007A1B63" w:rsidRDefault="007A1B63">
            <w:pPr>
              <w:jc w:val="right"/>
              <w:rPr>
                <w:rFonts w:ascii="Arial" w:hAnsi="Arial" w:cs="Arial"/>
                <w:color w:val="000000"/>
                <w:sz w:val="16"/>
                <w:szCs w:val="16"/>
              </w:rPr>
            </w:pPr>
            <w:r>
              <w:rPr>
                <w:rFonts w:ascii="Arial" w:hAnsi="Arial" w:cs="Arial"/>
                <w:sz w:val="16"/>
                <w:szCs w:val="16"/>
              </w:rPr>
              <w:t>10.082</w:t>
            </w:r>
          </w:p>
        </w:tc>
        <w:tc>
          <w:tcPr>
            <w:tcW w:w="619" w:type="pct"/>
            <w:tcBorders>
              <w:top w:val="nil"/>
              <w:left w:val="nil"/>
              <w:bottom w:val="single" w:sz="8" w:space="0" w:color="auto"/>
              <w:right w:val="single" w:sz="8" w:space="0" w:color="auto"/>
            </w:tcBorders>
            <w:noWrap/>
            <w:vAlign w:val="center"/>
            <w:hideMark/>
          </w:tcPr>
          <w:p w14:paraId="31F2F136"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nil"/>
              <w:left w:val="nil"/>
              <w:bottom w:val="single" w:sz="8" w:space="0" w:color="auto"/>
              <w:right w:val="single" w:sz="8" w:space="0" w:color="auto"/>
            </w:tcBorders>
            <w:noWrap/>
            <w:vAlign w:val="center"/>
            <w:hideMark/>
          </w:tcPr>
          <w:p w14:paraId="501C7C48" w14:textId="77777777" w:rsidR="007A1B63" w:rsidRDefault="007A1B63">
            <w:pPr>
              <w:jc w:val="right"/>
              <w:rPr>
                <w:rFonts w:ascii="Arial" w:hAnsi="Arial" w:cs="Arial"/>
                <w:color w:val="000000"/>
                <w:sz w:val="16"/>
                <w:szCs w:val="16"/>
              </w:rPr>
            </w:pPr>
            <w:r>
              <w:rPr>
                <w:rFonts w:ascii="Arial" w:hAnsi="Arial" w:cs="Arial"/>
                <w:sz w:val="16"/>
                <w:szCs w:val="16"/>
              </w:rPr>
              <w:t>10.082</w:t>
            </w:r>
          </w:p>
        </w:tc>
        <w:tc>
          <w:tcPr>
            <w:tcW w:w="656" w:type="pct"/>
            <w:tcBorders>
              <w:top w:val="nil"/>
              <w:left w:val="nil"/>
              <w:bottom w:val="single" w:sz="8" w:space="0" w:color="auto"/>
              <w:right w:val="single" w:sz="8" w:space="0" w:color="auto"/>
            </w:tcBorders>
            <w:noWrap/>
            <w:vAlign w:val="center"/>
            <w:hideMark/>
          </w:tcPr>
          <w:p w14:paraId="6FD8C3EC" w14:textId="77777777" w:rsidR="007A1B63" w:rsidRDefault="007A1B63">
            <w:pPr>
              <w:jc w:val="right"/>
              <w:rPr>
                <w:rFonts w:ascii="Arial" w:hAnsi="Arial" w:cs="Arial"/>
                <w:color w:val="000000"/>
                <w:sz w:val="16"/>
                <w:szCs w:val="16"/>
              </w:rPr>
            </w:pPr>
            <w:r>
              <w:rPr>
                <w:rFonts w:ascii="Arial" w:hAnsi="Arial" w:cs="Arial"/>
                <w:sz w:val="16"/>
                <w:szCs w:val="16"/>
              </w:rPr>
              <w:t>5.668</w:t>
            </w:r>
          </w:p>
        </w:tc>
        <w:tc>
          <w:tcPr>
            <w:tcW w:w="550" w:type="pct"/>
            <w:tcBorders>
              <w:top w:val="nil"/>
              <w:left w:val="nil"/>
              <w:bottom w:val="single" w:sz="8" w:space="0" w:color="auto"/>
              <w:right w:val="single" w:sz="8" w:space="0" w:color="auto"/>
            </w:tcBorders>
            <w:noWrap/>
            <w:vAlign w:val="center"/>
            <w:hideMark/>
          </w:tcPr>
          <w:p w14:paraId="69E138E8" w14:textId="77777777" w:rsidR="007A1B63" w:rsidRDefault="007A1B63">
            <w:pPr>
              <w:jc w:val="right"/>
              <w:rPr>
                <w:rFonts w:ascii="Arial" w:hAnsi="Arial" w:cs="Arial"/>
                <w:color w:val="000000"/>
                <w:sz w:val="16"/>
                <w:szCs w:val="16"/>
              </w:rPr>
            </w:pPr>
            <w:r>
              <w:rPr>
                <w:rFonts w:ascii="Arial" w:hAnsi="Arial" w:cs="Arial"/>
                <w:sz w:val="16"/>
                <w:szCs w:val="16"/>
              </w:rPr>
              <w:t>5.140</w:t>
            </w:r>
          </w:p>
        </w:tc>
        <w:tc>
          <w:tcPr>
            <w:tcW w:w="383" w:type="pct"/>
            <w:tcBorders>
              <w:top w:val="nil"/>
              <w:left w:val="nil"/>
              <w:bottom w:val="single" w:sz="8" w:space="0" w:color="auto"/>
              <w:right w:val="single" w:sz="8" w:space="0" w:color="auto"/>
            </w:tcBorders>
            <w:noWrap/>
            <w:vAlign w:val="center"/>
            <w:hideMark/>
          </w:tcPr>
          <w:p w14:paraId="00510602" w14:textId="77777777" w:rsidR="007A1B63" w:rsidRDefault="007A1B63">
            <w:pPr>
              <w:jc w:val="right"/>
              <w:rPr>
                <w:rFonts w:ascii="Arial" w:hAnsi="Arial" w:cs="Arial"/>
                <w:color w:val="000000"/>
                <w:sz w:val="16"/>
                <w:szCs w:val="16"/>
              </w:rPr>
            </w:pPr>
            <w:r>
              <w:rPr>
                <w:rFonts w:ascii="Arial" w:hAnsi="Arial" w:cs="Arial"/>
                <w:sz w:val="16"/>
                <w:szCs w:val="16"/>
              </w:rPr>
              <w:t>5.246</w:t>
            </w:r>
          </w:p>
        </w:tc>
        <w:tc>
          <w:tcPr>
            <w:tcW w:w="383" w:type="pct"/>
            <w:tcBorders>
              <w:top w:val="nil"/>
              <w:left w:val="nil"/>
              <w:bottom w:val="single" w:sz="8" w:space="0" w:color="auto"/>
              <w:right w:val="single" w:sz="8" w:space="0" w:color="auto"/>
            </w:tcBorders>
            <w:noWrap/>
            <w:vAlign w:val="center"/>
            <w:hideMark/>
          </w:tcPr>
          <w:p w14:paraId="3F603984" w14:textId="77777777" w:rsidR="007A1B63" w:rsidRDefault="007A1B63">
            <w:pPr>
              <w:jc w:val="right"/>
              <w:rPr>
                <w:rFonts w:ascii="Arial" w:hAnsi="Arial" w:cs="Arial"/>
                <w:color w:val="000000"/>
                <w:sz w:val="16"/>
                <w:szCs w:val="16"/>
              </w:rPr>
            </w:pPr>
            <w:r>
              <w:rPr>
                <w:rFonts w:ascii="Arial" w:hAnsi="Arial" w:cs="Arial"/>
                <w:sz w:val="16"/>
                <w:szCs w:val="16"/>
              </w:rPr>
              <w:t>4.773</w:t>
            </w:r>
          </w:p>
        </w:tc>
      </w:tr>
      <w:tr w:rsidR="007A1B63" w14:paraId="30B49AD9" w14:textId="77777777" w:rsidTr="006738BC">
        <w:trPr>
          <w:trHeight w:val="648"/>
        </w:trPr>
        <w:tc>
          <w:tcPr>
            <w:tcW w:w="1056" w:type="pct"/>
            <w:tcBorders>
              <w:top w:val="nil"/>
              <w:left w:val="single" w:sz="8" w:space="0" w:color="auto"/>
              <w:bottom w:val="nil"/>
              <w:right w:val="single" w:sz="8" w:space="0" w:color="auto"/>
            </w:tcBorders>
            <w:vAlign w:val="center"/>
            <w:hideMark/>
          </w:tcPr>
          <w:p w14:paraId="22C9BB95" w14:textId="77777777" w:rsidR="007A1B63" w:rsidRDefault="007A1B63">
            <w:pPr>
              <w:rPr>
                <w:rFonts w:ascii="Arial" w:hAnsi="Arial" w:cs="Arial"/>
                <w:color w:val="000000"/>
                <w:sz w:val="16"/>
                <w:szCs w:val="16"/>
              </w:rPr>
            </w:pPr>
            <w:r>
              <w:rPr>
                <w:rFonts w:ascii="Arial" w:hAnsi="Arial" w:cs="Arial"/>
                <w:sz w:val="16"/>
                <w:szCs w:val="16"/>
              </w:rPr>
              <w:t xml:space="preserve">Desarrollo de la evaluación del potencial de hidrocarburos del país </w:t>
            </w:r>
            <w:proofErr w:type="spellStart"/>
            <w:r>
              <w:rPr>
                <w:rFonts w:ascii="Arial" w:hAnsi="Arial" w:cs="Arial"/>
                <w:sz w:val="16"/>
                <w:szCs w:val="16"/>
              </w:rPr>
              <w:t>Rec</w:t>
            </w:r>
            <w:proofErr w:type="spellEnd"/>
            <w:r>
              <w:rPr>
                <w:rFonts w:ascii="Arial" w:hAnsi="Arial" w:cs="Arial"/>
                <w:sz w:val="16"/>
                <w:szCs w:val="16"/>
              </w:rPr>
              <w:t xml:space="preserve"> 20</w:t>
            </w:r>
          </w:p>
        </w:tc>
        <w:tc>
          <w:tcPr>
            <w:tcW w:w="676" w:type="pct"/>
            <w:tcBorders>
              <w:top w:val="nil"/>
              <w:left w:val="nil"/>
              <w:bottom w:val="single" w:sz="8" w:space="0" w:color="auto"/>
              <w:right w:val="single" w:sz="8" w:space="0" w:color="auto"/>
            </w:tcBorders>
            <w:noWrap/>
            <w:vAlign w:val="center"/>
            <w:hideMark/>
          </w:tcPr>
          <w:p w14:paraId="302DF867" w14:textId="77777777" w:rsidR="007A1B63" w:rsidRDefault="007A1B63">
            <w:pPr>
              <w:jc w:val="right"/>
              <w:rPr>
                <w:rFonts w:ascii="Arial" w:hAnsi="Arial" w:cs="Arial"/>
                <w:color w:val="000000"/>
                <w:sz w:val="16"/>
                <w:szCs w:val="16"/>
              </w:rPr>
            </w:pPr>
            <w:r>
              <w:rPr>
                <w:rFonts w:ascii="Arial" w:hAnsi="Arial" w:cs="Arial"/>
                <w:sz w:val="16"/>
                <w:szCs w:val="16"/>
              </w:rPr>
              <w:t>34.277</w:t>
            </w:r>
          </w:p>
        </w:tc>
        <w:tc>
          <w:tcPr>
            <w:tcW w:w="619" w:type="pct"/>
            <w:tcBorders>
              <w:top w:val="nil"/>
              <w:left w:val="nil"/>
              <w:bottom w:val="single" w:sz="8" w:space="0" w:color="auto"/>
              <w:right w:val="single" w:sz="8" w:space="0" w:color="auto"/>
            </w:tcBorders>
            <w:noWrap/>
            <w:vAlign w:val="center"/>
            <w:hideMark/>
          </w:tcPr>
          <w:p w14:paraId="6E9F66E0"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nil"/>
              <w:left w:val="nil"/>
              <w:bottom w:val="single" w:sz="8" w:space="0" w:color="auto"/>
              <w:right w:val="single" w:sz="8" w:space="0" w:color="auto"/>
            </w:tcBorders>
            <w:noWrap/>
            <w:vAlign w:val="center"/>
            <w:hideMark/>
          </w:tcPr>
          <w:p w14:paraId="743A88F2" w14:textId="77777777" w:rsidR="007A1B63" w:rsidRDefault="007A1B63">
            <w:pPr>
              <w:jc w:val="right"/>
              <w:rPr>
                <w:rFonts w:ascii="Arial" w:hAnsi="Arial" w:cs="Arial"/>
                <w:color w:val="000000"/>
                <w:sz w:val="16"/>
                <w:szCs w:val="16"/>
              </w:rPr>
            </w:pPr>
            <w:r>
              <w:rPr>
                <w:rFonts w:ascii="Arial" w:hAnsi="Arial" w:cs="Arial"/>
                <w:sz w:val="16"/>
                <w:szCs w:val="16"/>
              </w:rPr>
              <w:t>34.277</w:t>
            </w:r>
          </w:p>
        </w:tc>
        <w:tc>
          <w:tcPr>
            <w:tcW w:w="656" w:type="pct"/>
            <w:tcBorders>
              <w:top w:val="nil"/>
              <w:left w:val="nil"/>
              <w:bottom w:val="single" w:sz="8" w:space="0" w:color="auto"/>
              <w:right w:val="single" w:sz="8" w:space="0" w:color="auto"/>
            </w:tcBorders>
            <w:noWrap/>
            <w:vAlign w:val="center"/>
            <w:hideMark/>
          </w:tcPr>
          <w:p w14:paraId="04A4A993" w14:textId="77777777" w:rsidR="007A1B63" w:rsidRDefault="007A1B63">
            <w:pPr>
              <w:jc w:val="right"/>
              <w:rPr>
                <w:rFonts w:ascii="Arial" w:hAnsi="Arial" w:cs="Arial"/>
                <w:color w:val="000000"/>
                <w:sz w:val="16"/>
                <w:szCs w:val="16"/>
              </w:rPr>
            </w:pPr>
            <w:r>
              <w:rPr>
                <w:rFonts w:ascii="Arial" w:hAnsi="Arial" w:cs="Arial"/>
                <w:sz w:val="16"/>
                <w:szCs w:val="16"/>
              </w:rPr>
              <w:t>32.327</w:t>
            </w:r>
          </w:p>
        </w:tc>
        <w:tc>
          <w:tcPr>
            <w:tcW w:w="550" w:type="pct"/>
            <w:tcBorders>
              <w:top w:val="nil"/>
              <w:left w:val="nil"/>
              <w:bottom w:val="single" w:sz="8" w:space="0" w:color="auto"/>
              <w:right w:val="single" w:sz="8" w:space="0" w:color="auto"/>
            </w:tcBorders>
            <w:noWrap/>
            <w:vAlign w:val="center"/>
            <w:hideMark/>
          </w:tcPr>
          <w:p w14:paraId="3C0A110B" w14:textId="77777777" w:rsidR="007A1B63" w:rsidRDefault="007A1B63">
            <w:pPr>
              <w:jc w:val="right"/>
              <w:rPr>
                <w:rFonts w:ascii="Arial" w:hAnsi="Arial" w:cs="Arial"/>
                <w:color w:val="000000"/>
                <w:sz w:val="16"/>
                <w:szCs w:val="16"/>
              </w:rPr>
            </w:pPr>
            <w:r>
              <w:rPr>
                <w:rFonts w:ascii="Arial" w:hAnsi="Arial" w:cs="Arial"/>
                <w:sz w:val="16"/>
                <w:szCs w:val="16"/>
              </w:rPr>
              <w:t>33.037</w:t>
            </w:r>
          </w:p>
        </w:tc>
        <w:tc>
          <w:tcPr>
            <w:tcW w:w="383" w:type="pct"/>
            <w:tcBorders>
              <w:top w:val="nil"/>
              <w:left w:val="nil"/>
              <w:bottom w:val="single" w:sz="8" w:space="0" w:color="auto"/>
              <w:right w:val="single" w:sz="8" w:space="0" w:color="auto"/>
            </w:tcBorders>
            <w:noWrap/>
            <w:vAlign w:val="center"/>
            <w:hideMark/>
          </w:tcPr>
          <w:p w14:paraId="693CA604" w14:textId="77777777" w:rsidR="007A1B63" w:rsidRDefault="007A1B63">
            <w:pPr>
              <w:jc w:val="right"/>
              <w:rPr>
                <w:rFonts w:ascii="Arial" w:hAnsi="Arial" w:cs="Arial"/>
                <w:color w:val="000000"/>
                <w:sz w:val="16"/>
                <w:szCs w:val="16"/>
              </w:rPr>
            </w:pPr>
            <w:r>
              <w:rPr>
                <w:rFonts w:ascii="Arial" w:hAnsi="Arial" w:cs="Arial"/>
                <w:sz w:val="16"/>
                <w:szCs w:val="16"/>
              </w:rPr>
              <w:t>14.608</w:t>
            </w:r>
          </w:p>
        </w:tc>
        <w:tc>
          <w:tcPr>
            <w:tcW w:w="383" w:type="pct"/>
            <w:tcBorders>
              <w:top w:val="nil"/>
              <w:left w:val="nil"/>
              <w:bottom w:val="single" w:sz="8" w:space="0" w:color="auto"/>
              <w:right w:val="single" w:sz="8" w:space="0" w:color="auto"/>
            </w:tcBorders>
            <w:noWrap/>
            <w:vAlign w:val="center"/>
            <w:hideMark/>
          </w:tcPr>
          <w:p w14:paraId="56B9CB2E" w14:textId="77777777" w:rsidR="007A1B63" w:rsidRDefault="007A1B63">
            <w:pPr>
              <w:jc w:val="right"/>
              <w:rPr>
                <w:rFonts w:ascii="Arial" w:hAnsi="Arial" w:cs="Arial"/>
                <w:color w:val="000000"/>
                <w:sz w:val="16"/>
                <w:szCs w:val="16"/>
              </w:rPr>
            </w:pPr>
            <w:r>
              <w:rPr>
                <w:rFonts w:ascii="Arial" w:hAnsi="Arial" w:cs="Arial"/>
                <w:sz w:val="16"/>
                <w:szCs w:val="16"/>
              </w:rPr>
              <w:t>14.608</w:t>
            </w:r>
          </w:p>
        </w:tc>
      </w:tr>
      <w:tr w:rsidR="007A1B63" w14:paraId="594FA868" w14:textId="77777777" w:rsidTr="006738BC">
        <w:trPr>
          <w:trHeight w:val="663"/>
        </w:trPr>
        <w:tc>
          <w:tcPr>
            <w:tcW w:w="1056" w:type="pct"/>
            <w:tcBorders>
              <w:top w:val="single" w:sz="8" w:space="0" w:color="auto"/>
              <w:left w:val="single" w:sz="8" w:space="0" w:color="auto"/>
              <w:bottom w:val="single" w:sz="8" w:space="0" w:color="auto"/>
              <w:right w:val="single" w:sz="8" w:space="0" w:color="auto"/>
            </w:tcBorders>
            <w:vAlign w:val="center"/>
            <w:hideMark/>
          </w:tcPr>
          <w:p w14:paraId="1BA54955" w14:textId="77777777" w:rsidR="007A1B63" w:rsidRDefault="007A1B63">
            <w:pPr>
              <w:rPr>
                <w:rFonts w:ascii="Arial" w:hAnsi="Arial" w:cs="Arial"/>
                <w:color w:val="000000"/>
                <w:sz w:val="16"/>
                <w:szCs w:val="16"/>
              </w:rPr>
            </w:pPr>
            <w:r>
              <w:rPr>
                <w:rFonts w:ascii="Arial" w:hAnsi="Arial" w:cs="Arial"/>
                <w:sz w:val="16"/>
                <w:szCs w:val="16"/>
              </w:rPr>
              <w:t xml:space="preserve">Desarrollo de la evaluación del potencial de hidrocarburos del país </w:t>
            </w:r>
            <w:proofErr w:type="spellStart"/>
            <w:r>
              <w:rPr>
                <w:rFonts w:ascii="Arial" w:hAnsi="Arial" w:cs="Arial"/>
                <w:sz w:val="16"/>
                <w:szCs w:val="16"/>
              </w:rPr>
              <w:t>Rec</w:t>
            </w:r>
            <w:proofErr w:type="spellEnd"/>
            <w:r>
              <w:rPr>
                <w:rFonts w:ascii="Arial" w:hAnsi="Arial" w:cs="Arial"/>
                <w:sz w:val="16"/>
                <w:szCs w:val="16"/>
              </w:rPr>
              <w:t xml:space="preserve"> 21</w:t>
            </w:r>
          </w:p>
        </w:tc>
        <w:tc>
          <w:tcPr>
            <w:tcW w:w="676" w:type="pct"/>
            <w:tcBorders>
              <w:top w:val="nil"/>
              <w:left w:val="nil"/>
              <w:bottom w:val="single" w:sz="8" w:space="0" w:color="auto"/>
              <w:right w:val="single" w:sz="8" w:space="0" w:color="auto"/>
            </w:tcBorders>
            <w:noWrap/>
            <w:vAlign w:val="center"/>
            <w:hideMark/>
          </w:tcPr>
          <w:p w14:paraId="2EFAF4D5" w14:textId="77777777" w:rsidR="007A1B63" w:rsidRDefault="007A1B63">
            <w:pPr>
              <w:jc w:val="right"/>
              <w:rPr>
                <w:rFonts w:ascii="Arial" w:hAnsi="Arial" w:cs="Arial"/>
                <w:color w:val="000000"/>
                <w:sz w:val="16"/>
                <w:szCs w:val="16"/>
              </w:rPr>
            </w:pPr>
            <w:r>
              <w:rPr>
                <w:rFonts w:ascii="Arial" w:hAnsi="Arial" w:cs="Arial"/>
                <w:sz w:val="16"/>
                <w:szCs w:val="16"/>
              </w:rPr>
              <w:t>152.722</w:t>
            </w:r>
          </w:p>
        </w:tc>
        <w:tc>
          <w:tcPr>
            <w:tcW w:w="619" w:type="pct"/>
            <w:tcBorders>
              <w:top w:val="nil"/>
              <w:left w:val="nil"/>
              <w:bottom w:val="single" w:sz="8" w:space="0" w:color="auto"/>
              <w:right w:val="single" w:sz="8" w:space="0" w:color="auto"/>
            </w:tcBorders>
            <w:noWrap/>
            <w:vAlign w:val="center"/>
            <w:hideMark/>
          </w:tcPr>
          <w:p w14:paraId="6C8F56A2"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nil"/>
              <w:left w:val="nil"/>
              <w:bottom w:val="single" w:sz="8" w:space="0" w:color="auto"/>
              <w:right w:val="single" w:sz="8" w:space="0" w:color="auto"/>
            </w:tcBorders>
            <w:noWrap/>
            <w:vAlign w:val="center"/>
            <w:hideMark/>
          </w:tcPr>
          <w:p w14:paraId="51FB7B16" w14:textId="77777777" w:rsidR="007A1B63" w:rsidRDefault="007A1B63">
            <w:pPr>
              <w:jc w:val="right"/>
              <w:rPr>
                <w:rFonts w:ascii="Arial" w:hAnsi="Arial" w:cs="Arial"/>
                <w:color w:val="000000"/>
                <w:sz w:val="16"/>
                <w:szCs w:val="16"/>
              </w:rPr>
            </w:pPr>
            <w:r>
              <w:rPr>
                <w:rFonts w:ascii="Arial" w:hAnsi="Arial" w:cs="Arial"/>
                <w:sz w:val="16"/>
                <w:szCs w:val="16"/>
              </w:rPr>
              <w:t>152.722</w:t>
            </w:r>
          </w:p>
        </w:tc>
        <w:tc>
          <w:tcPr>
            <w:tcW w:w="656" w:type="pct"/>
            <w:tcBorders>
              <w:top w:val="nil"/>
              <w:left w:val="nil"/>
              <w:bottom w:val="single" w:sz="8" w:space="0" w:color="auto"/>
              <w:right w:val="single" w:sz="8" w:space="0" w:color="auto"/>
            </w:tcBorders>
            <w:noWrap/>
            <w:vAlign w:val="center"/>
            <w:hideMark/>
          </w:tcPr>
          <w:p w14:paraId="37ADECF5" w14:textId="77777777" w:rsidR="007A1B63" w:rsidRDefault="007A1B63">
            <w:pPr>
              <w:jc w:val="right"/>
              <w:rPr>
                <w:rFonts w:ascii="Arial" w:hAnsi="Arial" w:cs="Arial"/>
                <w:color w:val="000000"/>
                <w:sz w:val="16"/>
                <w:szCs w:val="16"/>
              </w:rPr>
            </w:pPr>
            <w:r>
              <w:rPr>
                <w:rFonts w:ascii="Arial" w:hAnsi="Arial" w:cs="Arial"/>
                <w:sz w:val="16"/>
                <w:szCs w:val="16"/>
              </w:rPr>
              <w:t>111.911</w:t>
            </w:r>
          </w:p>
        </w:tc>
        <w:tc>
          <w:tcPr>
            <w:tcW w:w="550" w:type="pct"/>
            <w:tcBorders>
              <w:top w:val="nil"/>
              <w:left w:val="nil"/>
              <w:bottom w:val="single" w:sz="8" w:space="0" w:color="auto"/>
              <w:right w:val="single" w:sz="8" w:space="0" w:color="auto"/>
            </w:tcBorders>
            <w:noWrap/>
            <w:vAlign w:val="center"/>
            <w:hideMark/>
          </w:tcPr>
          <w:p w14:paraId="26685769" w14:textId="77777777" w:rsidR="007A1B63" w:rsidRDefault="007A1B63">
            <w:pPr>
              <w:jc w:val="right"/>
              <w:rPr>
                <w:rFonts w:ascii="Arial" w:hAnsi="Arial" w:cs="Arial"/>
                <w:color w:val="000000"/>
                <w:sz w:val="16"/>
                <w:szCs w:val="16"/>
              </w:rPr>
            </w:pPr>
            <w:r>
              <w:rPr>
                <w:rFonts w:ascii="Arial" w:hAnsi="Arial" w:cs="Arial"/>
                <w:sz w:val="16"/>
                <w:szCs w:val="16"/>
              </w:rPr>
              <w:t>151.059</w:t>
            </w:r>
          </w:p>
        </w:tc>
        <w:tc>
          <w:tcPr>
            <w:tcW w:w="383" w:type="pct"/>
            <w:tcBorders>
              <w:top w:val="nil"/>
              <w:left w:val="nil"/>
              <w:bottom w:val="single" w:sz="8" w:space="0" w:color="auto"/>
              <w:right w:val="single" w:sz="8" w:space="0" w:color="auto"/>
            </w:tcBorders>
            <w:noWrap/>
            <w:vAlign w:val="center"/>
            <w:hideMark/>
          </w:tcPr>
          <w:p w14:paraId="0BEE19E9" w14:textId="77777777" w:rsidR="007A1B63" w:rsidRDefault="007A1B63">
            <w:pPr>
              <w:jc w:val="right"/>
              <w:rPr>
                <w:rFonts w:ascii="Arial" w:hAnsi="Arial" w:cs="Arial"/>
                <w:color w:val="000000"/>
                <w:sz w:val="16"/>
                <w:szCs w:val="16"/>
              </w:rPr>
            </w:pPr>
            <w:r>
              <w:rPr>
                <w:rFonts w:ascii="Arial" w:hAnsi="Arial" w:cs="Arial"/>
                <w:sz w:val="16"/>
                <w:szCs w:val="16"/>
              </w:rPr>
              <w:t>56.255</w:t>
            </w:r>
          </w:p>
        </w:tc>
        <w:tc>
          <w:tcPr>
            <w:tcW w:w="383" w:type="pct"/>
            <w:tcBorders>
              <w:top w:val="nil"/>
              <w:left w:val="nil"/>
              <w:bottom w:val="single" w:sz="8" w:space="0" w:color="auto"/>
              <w:right w:val="single" w:sz="8" w:space="0" w:color="auto"/>
            </w:tcBorders>
            <w:noWrap/>
            <w:vAlign w:val="center"/>
            <w:hideMark/>
          </w:tcPr>
          <w:p w14:paraId="4864AD0D" w14:textId="77777777" w:rsidR="007A1B63" w:rsidRDefault="007A1B63">
            <w:pPr>
              <w:jc w:val="right"/>
              <w:rPr>
                <w:rFonts w:ascii="Arial" w:hAnsi="Arial" w:cs="Arial"/>
                <w:color w:val="000000"/>
                <w:sz w:val="16"/>
                <w:szCs w:val="16"/>
              </w:rPr>
            </w:pPr>
            <w:r>
              <w:rPr>
                <w:rFonts w:ascii="Arial" w:hAnsi="Arial" w:cs="Arial"/>
                <w:sz w:val="16"/>
                <w:szCs w:val="16"/>
              </w:rPr>
              <w:t>56.255</w:t>
            </w:r>
          </w:p>
        </w:tc>
      </w:tr>
      <w:tr w:rsidR="007A1B63" w14:paraId="31855220" w14:textId="77777777" w:rsidTr="006738BC">
        <w:trPr>
          <w:trHeight w:val="447"/>
        </w:trPr>
        <w:tc>
          <w:tcPr>
            <w:tcW w:w="1056" w:type="pct"/>
            <w:tcBorders>
              <w:top w:val="nil"/>
              <w:left w:val="single" w:sz="8" w:space="0" w:color="auto"/>
              <w:bottom w:val="single" w:sz="8" w:space="0" w:color="auto"/>
              <w:right w:val="single" w:sz="8" w:space="0" w:color="auto"/>
            </w:tcBorders>
            <w:vAlign w:val="center"/>
            <w:hideMark/>
          </w:tcPr>
          <w:p w14:paraId="5FFC9211" w14:textId="77777777" w:rsidR="007A1B63" w:rsidRDefault="007A1B63">
            <w:pPr>
              <w:rPr>
                <w:rFonts w:ascii="Arial" w:hAnsi="Arial" w:cs="Arial"/>
                <w:color w:val="000000"/>
                <w:sz w:val="16"/>
                <w:szCs w:val="16"/>
              </w:rPr>
            </w:pPr>
            <w:r>
              <w:rPr>
                <w:rFonts w:ascii="Arial" w:hAnsi="Arial" w:cs="Arial"/>
                <w:sz w:val="16"/>
                <w:szCs w:val="16"/>
              </w:rPr>
              <w:t>Gestión de tecnologías de información y comunicaciones</w:t>
            </w:r>
          </w:p>
        </w:tc>
        <w:tc>
          <w:tcPr>
            <w:tcW w:w="676" w:type="pct"/>
            <w:tcBorders>
              <w:top w:val="nil"/>
              <w:left w:val="nil"/>
              <w:bottom w:val="single" w:sz="8" w:space="0" w:color="auto"/>
              <w:right w:val="single" w:sz="8" w:space="0" w:color="auto"/>
            </w:tcBorders>
            <w:noWrap/>
            <w:vAlign w:val="center"/>
            <w:hideMark/>
          </w:tcPr>
          <w:p w14:paraId="777C92C7" w14:textId="77777777" w:rsidR="007A1B63" w:rsidRDefault="007A1B63">
            <w:pPr>
              <w:jc w:val="right"/>
              <w:rPr>
                <w:rFonts w:ascii="Arial" w:hAnsi="Arial" w:cs="Arial"/>
                <w:color w:val="000000"/>
                <w:sz w:val="16"/>
                <w:szCs w:val="16"/>
              </w:rPr>
            </w:pPr>
            <w:r>
              <w:rPr>
                <w:rFonts w:ascii="Arial" w:hAnsi="Arial" w:cs="Arial"/>
                <w:sz w:val="16"/>
                <w:szCs w:val="16"/>
              </w:rPr>
              <w:t>14.166</w:t>
            </w:r>
          </w:p>
        </w:tc>
        <w:tc>
          <w:tcPr>
            <w:tcW w:w="619" w:type="pct"/>
            <w:tcBorders>
              <w:top w:val="nil"/>
              <w:left w:val="nil"/>
              <w:bottom w:val="single" w:sz="8" w:space="0" w:color="auto"/>
              <w:right w:val="single" w:sz="8" w:space="0" w:color="auto"/>
            </w:tcBorders>
            <w:noWrap/>
            <w:vAlign w:val="center"/>
            <w:hideMark/>
          </w:tcPr>
          <w:p w14:paraId="0117DF1F" w14:textId="77777777" w:rsidR="007A1B63" w:rsidRDefault="007A1B63">
            <w:pPr>
              <w:jc w:val="right"/>
              <w:rPr>
                <w:rFonts w:ascii="Arial" w:hAnsi="Arial" w:cs="Arial"/>
                <w:color w:val="000000"/>
                <w:sz w:val="16"/>
                <w:szCs w:val="16"/>
              </w:rPr>
            </w:pPr>
            <w:r>
              <w:rPr>
                <w:rFonts w:ascii="Arial" w:hAnsi="Arial" w:cs="Arial"/>
                <w:sz w:val="16"/>
                <w:szCs w:val="16"/>
              </w:rPr>
              <w:t>0</w:t>
            </w:r>
          </w:p>
        </w:tc>
        <w:tc>
          <w:tcPr>
            <w:tcW w:w="676" w:type="pct"/>
            <w:tcBorders>
              <w:top w:val="nil"/>
              <w:left w:val="nil"/>
              <w:bottom w:val="single" w:sz="8" w:space="0" w:color="auto"/>
              <w:right w:val="single" w:sz="8" w:space="0" w:color="auto"/>
            </w:tcBorders>
            <w:noWrap/>
            <w:vAlign w:val="center"/>
            <w:hideMark/>
          </w:tcPr>
          <w:p w14:paraId="0BD76149" w14:textId="77777777" w:rsidR="007A1B63" w:rsidRDefault="007A1B63">
            <w:pPr>
              <w:jc w:val="right"/>
              <w:rPr>
                <w:rFonts w:ascii="Arial" w:hAnsi="Arial" w:cs="Arial"/>
                <w:color w:val="000000"/>
                <w:sz w:val="16"/>
                <w:szCs w:val="16"/>
              </w:rPr>
            </w:pPr>
            <w:r>
              <w:rPr>
                <w:rFonts w:ascii="Arial" w:hAnsi="Arial" w:cs="Arial"/>
                <w:sz w:val="16"/>
                <w:szCs w:val="16"/>
              </w:rPr>
              <w:t>14.166</w:t>
            </w:r>
          </w:p>
        </w:tc>
        <w:tc>
          <w:tcPr>
            <w:tcW w:w="656" w:type="pct"/>
            <w:tcBorders>
              <w:top w:val="nil"/>
              <w:left w:val="nil"/>
              <w:bottom w:val="single" w:sz="8" w:space="0" w:color="auto"/>
              <w:right w:val="single" w:sz="8" w:space="0" w:color="auto"/>
            </w:tcBorders>
            <w:noWrap/>
            <w:vAlign w:val="center"/>
            <w:hideMark/>
          </w:tcPr>
          <w:p w14:paraId="60BBE9C3" w14:textId="77777777" w:rsidR="007A1B63" w:rsidRDefault="007A1B63">
            <w:pPr>
              <w:jc w:val="right"/>
              <w:rPr>
                <w:rFonts w:ascii="Arial" w:hAnsi="Arial" w:cs="Arial"/>
                <w:color w:val="000000"/>
                <w:sz w:val="16"/>
                <w:szCs w:val="16"/>
              </w:rPr>
            </w:pPr>
            <w:r>
              <w:rPr>
                <w:rFonts w:ascii="Arial" w:hAnsi="Arial" w:cs="Arial"/>
                <w:sz w:val="16"/>
                <w:szCs w:val="16"/>
              </w:rPr>
              <w:t>1.844</w:t>
            </w:r>
          </w:p>
        </w:tc>
        <w:tc>
          <w:tcPr>
            <w:tcW w:w="550" w:type="pct"/>
            <w:tcBorders>
              <w:top w:val="nil"/>
              <w:left w:val="nil"/>
              <w:bottom w:val="single" w:sz="8" w:space="0" w:color="auto"/>
              <w:right w:val="single" w:sz="8" w:space="0" w:color="auto"/>
            </w:tcBorders>
            <w:noWrap/>
            <w:vAlign w:val="center"/>
            <w:hideMark/>
          </w:tcPr>
          <w:p w14:paraId="2403C4AE" w14:textId="77777777" w:rsidR="007A1B63" w:rsidRDefault="007A1B63">
            <w:pPr>
              <w:jc w:val="right"/>
              <w:rPr>
                <w:rFonts w:ascii="Arial" w:hAnsi="Arial" w:cs="Arial"/>
                <w:color w:val="000000"/>
                <w:sz w:val="16"/>
                <w:szCs w:val="16"/>
              </w:rPr>
            </w:pPr>
            <w:r>
              <w:rPr>
                <w:rFonts w:ascii="Arial" w:hAnsi="Arial" w:cs="Arial"/>
                <w:sz w:val="16"/>
                <w:szCs w:val="16"/>
              </w:rPr>
              <w:t>14.107</w:t>
            </w:r>
          </w:p>
        </w:tc>
        <w:tc>
          <w:tcPr>
            <w:tcW w:w="383" w:type="pct"/>
            <w:tcBorders>
              <w:top w:val="nil"/>
              <w:left w:val="nil"/>
              <w:bottom w:val="single" w:sz="8" w:space="0" w:color="auto"/>
              <w:right w:val="single" w:sz="8" w:space="0" w:color="auto"/>
            </w:tcBorders>
            <w:noWrap/>
            <w:vAlign w:val="center"/>
            <w:hideMark/>
          </w:tcPr>
          <w:p w14:paraId="3F9D197C" w14:textId="77777777" w:rsidR="007A1B63" w:rsidRDefault="007A1B63">
            <w:pPr>
              <w:jc w:val="right"/>
              <w:rPr>
                <w:rFonts w:ascii="Arial" w:hAnsi="Arial" w:cs="Arial"/>
                <w:color w:val="000000"/>
                <w:sz w:val="16"/>
                <w:szCs w:val="16"/>
              </w:rPr>
            </w:pPr>
            <w:r>
              <w:rPr>
                <w:rFonts w:ascii="Arial" w:hAnsi="Arial" w:cs="Arial"/>
                <w:sz w:val="16"/>
                <w:szCs w:val="16"/>
              </w:rPr>
              <w:t>1.844</w:t>
            </w:r>
          </w:p>
        </w:tc>
        <w:tc>
          <w:tcPr>
            <w:tcW w:w="383" w:type="pct"/>
            <w:tcBorders>
              <w:top w:val="nil"/>
              <w:left w:val="nil"/>
              <w:bottom w:val="single" w:sz="8" w:space="0" w:color="auto"/>
              <w:right w:val="single" w:sz="8" w:space="0" w:color="auto"/>
            </w:tcBorders>
            <w:noWrap/>
            <w:vAlign w:val="center"/>
            <w:hideMark/>
          </w:tcPr>
          <w:p w14:paraId="08E76E76" w14:textId="77777777" w:rsidR="007A1B63" w:rsidRDefault="007A1B63">
            <w:pPr>
              <w:jc w:val="right"/>
              <w:rPr>
                <w:rFonts w:ascii="Arial" w:hAnsi="Arial" w:cs="Arial"/>
                <w:color w:val="000000"/>
                <w:sz w:val="16"/>
                <w:szCs w:val="16"/>
              </w:rPr>
            </w:pPr>
            <w:r>
              <w:rPr>
                <w:rFonts w:ascii="Arial" w:hAnsi="Arial" w:cs="Arial"/>
                <w:sz w:val="16"/>
                <w:szCs w:val="16"/>
              </w:rPr>
              <w:t>1.844</w:t>
            </w:r>
          </w:p>
        </w:tc>
      </w:tr>
      <w:tr w:rsidR="007A1B63" w14:paraId="0E364C22" w14:textId="77777777" w:rsidTr="006738BC">
        <w:trPr>
          <w:trHeight w:val="302"/>
        </w:trPr>
        <w:tc>
          <w:tcPr>
            <w:tcW w:w="1056" w:type="pct"/>
            <w:tcBorders>
              <w:top w:val="nil"/>
              <w:left w:val="single" w:sz="8" w:space="0" w:color="auto"/>
              <w:bottom w:val="nil"/>
              <w:right w:val="single" w:sz="8" w:space="0" w:color="auto"/>
            </w:tcBorders>
            <w:shd w:val="clear" w:color="auto" w:fill="4F81BD" w:themeFill="accent1"/>
            <w:noWrap/>
            <w:vAlign w:val="center"/>
            <w:hideMark/>
          </w:tcPr>
          <w:p w14:paraId="62AC645F" w14:textId="77777777" w:rsidR="007A1B63" w:rsidRDefault="007A1B63">
            <w:pPr>
              <w:rPr>
                <w:rFonts w:ascii="Arial" w:hAnsi="Arial" w:cs="Arial"/>
                <w:b/>
                <w:bCs/>
                <w:color w:val="000000"/>
                <w:sz w:val="16"/>
                <w:szCs w:val="16"/>
              </w:rPr>
            </w:pPr>
            <w:r>
              <w:rPr>
                <w:rFonts w:ascii="Arial" w:hAnsi="Arial" w:cs="Arial"/>
                <w:b/>
                <w:bCs/>
                <w:sz w:val="16"/>
                <w:szCs w:val="16"/>
              </w:rPr>
              <w:t>Total, Recursos Propios</w:t>
            </w:r>
          </w:p>
        </w:tc>
        <w:tc>
          <w:tcPr>
            <w:tcW w:w="676" w:type="pct"/>
            <w:tcBorders>
              <w:top w:val="nil"/>
              <w:left w:val="nil"/>
              <w:bottom w:val="nil"/>
              <w:right w:val="single" w:sz="8" w:space="0" w:color="auto"/>
            </w:tcBorders>
            <w:shd w:val="clear" w:color="auto" w:fill="4F81BD" w:themeFill="accent1"/>
            <w:noWrap/>
            <w:vAlign w:val="center"/>
            <w:hideMark/>
          </w:tcPr>
          <w:p w14:paraId="0A938D0C" w14:textId="77777777" w:rsidR="007A1B63" w:rsidRDefault="007A1B63">
            <w:pPr>
              <w:jc w:val="right"/>
              <w:rPr>
                <w:rFonts w:ascii="Arial" w:hAnsi="Arial" w:cs="Arial"/>
                <w:b/>
                <w:bCs/>
                <w:color w:val="000000"/>
                <w:sz w:val="16"/>
                <w:szCs w:val="16"/>
              </w:rPr>
            </w:pPr>
            <w:r>
              <w:rPr>
                <w:rFonts w:ascii="Arial" w:hAnsi="Arial" w:cs="Arial"/>
                <w:b/>
                <w:bCs/>
                <w:sz w:val="16"/>
                <w:szCs w:val="16"/>
              </w:rPr>
              <w:t>270.370</w:t>
            </w:r>
          </w:p>
        </w:tc>
        <w:tc>
          <w:tcPr>
            <w:tcW w:w="619" w:type="pct"/>
            <w:tcBorders>
              <w:top w:val="nil"/>
              <w:left w:val="nil"/>
              <w:bottom w:val="nil"/>
              <w:right w:val="single" w:sz="8" w:space="0" w:color="auto"/>
            </w:tcBorders>
            <w:shd w:val="clear" w:color="auto" w:fill="4F81BD" w:themeFill="accent1"/>
            <w:noWrap/>
            <w:vAlign w:val="center"/>
            <w:hideMark/>
          </w:tcPr>
          <w:p w14:paraId="5996B47D" w14:textId="77777777" w:rsidR="007A1B63" w:rsidRDefault="007A1B63">
            <w:pPr>
              <w:jc w:val="right"/>
              <w:rPr>
                <w:rFonts w:ascii="Arial" w:hAnsi="Arial" w:cs="Arial"/>
                <w:b/>
                <w:bCs/>
                <w:color w:val="000000"/>
                <w:sz w:val="16"/>
                <w:szCs w:val="16"/>
              </w:rPr>
            </w:pPr>
            <w:r>
              <w:rPr>
                <w:rFonts w:ascii="Arial" w:hAnsi="Arial" w:cs="Arial"/>
                <w:b/>
                <w:bCs/>
                <w:sz w:val="16"/>
                <w:szCs w:val="16"/>
              </w:rPr>
              <w:t>0</w:t>
            </w:r>
          </w:p>
        </w:tc>
        <w:tc>
          <w:tcPr>
            <w:tcW w:w="676" w:type="pct"/>
            <w:tcBorders>
              <w:top w:val="nil"/>
              <w:left w:val="nil"/>
              <w:bottom w:val="nil"/>
              <w:right w:val="single" w:sz="8" w:space="0" w:color="auto"/>
            </w:tcBorders>
            <w:shd w:val="clear" w:color="auto" w:fill="4F81BD" w:themeFill="accent1"/>
            <w:noWrap/>
            <w:vAlign w:val="center"/>
            <w:hideMark/>
          </w:tcPr>
          <w:p w14:paraId="059702EB" w14:textId="77777777" w:rsidR="007A1B63" w:rsidRDefault="007A1B63">
            <w:pPr>
              <w:jc w:val="right"/>
              <w:rPr>
                <w:rFonts w:ascii="Arial" w:hAnsi="Arial" w:cs="Arial"/>
                <w:b/>
                <w:bCs/>
                <w:color w:val="000000"/>
                <w:sz w:val="16"/>
                <w:szCs w:val="16"/>
              </w:rPr>
            </w:pPr>
            <w:r>
              <w:rPr>
                <w:rFonts w:ascii="Arial" w:hAnsi="Arial" w:cs="Arial"/>
                <w:b/>
                <w:bCs/>
                <w:sz w:val="16"/>
                <w:szCs w:val="16"/>
              </w:rPr>
              <w:t>270.370</w:t>
            </w:r>
          </w:p>
        </w:tc>
        <w:tc>
          <w:tcPr>
            <w:tcW w:w="656" w:type="pct"/>
            <w:tcBorders>
              <w:top w:val="nil"/>
              <w:left w:val="nil"/>
              <w:bottom w:val="nil"/>
              <w:right w:val="single" w:sz="8" w:space="0" w:color="auto"/>
            </w:tcBorders>
            <w:shd w:val="clear" w:color="auto" w:fill="4F81BD" w:themeFill="accent1"/>
            <w:noWrap/>
            <w:vAlign w:val="center"/>
            <w:hideMark/>
          </w:tcPr>
          <w:p w14:paraId="0D57AD3E" w14:textId="77777777" w:rsidR="007A1B63" w:rsidRDefault="007A1B63">
            <w:pPr>
              <w:jc w:val="right"/>
              <w:rPr>
                <w:rFonts w:ascii="Arial" w:hAnsi="Arial" w:cs="Arial"/>
                <w:b/>
                <w:bCs/>
                <w:color w:val="000000"/>
                <w:sz w:val="16"/>
                <w:szCs w:val="16"/>
              </w:rPr>
            </w:pPr>
            <w:r>
              <w:rPr>
                <w:rFonts w:ascii="Arial" w:hAnsi="Arial" w:cs="Arial"/>
                <w:b/>
                <w:bCs/>
                <w:sz w:val="16"/>
                <w:szCs w:val="16"/>
              </w:rPr>
              <w:t>196.449</w:t>
            </w:r>
          </w:p>
        </w:tc>
        <w:tc>
          <w:tcPr>
            <w:tcW w:w="550" w:type="pct"/>
            <w:tcBorders>
              <w:top w:val="nil"/>
              <w:left w:val="nil"/>
              <w:bottom w:val="nil"/>
              <w:right w:val="single" w:sz="8" w:space="0" w:color="auto"/>
            </w:tcBorders>
            <w:shd w:val="clear" w:color="auto" w:fill="4F81BD" w:themeFill="accent1"/>
            <w:noWrap/>
            <w:vAlign w:val="center"/>
            <w:hideMark/>
          </w:tcPr>
          <w:p w14:paraId="779DDC04" w14:textId="77777777" w:rsidR="007A1B63" w:rsidRDefault="007A1B63">
            <w:pPr>
              <w:jc w:val="right"/>
              <w:rPr>
                <w:rFonts w:ascii="Arial" w:hAnsi="Arial" w:cs="Arial"/>
                <w:b/>
                <w:bCs/>
                <w:color w:val="000000"/>
                <w:sz w:val="16"/>
                <w:szCs w:val="16"/>
              </w:rPr>
            </w:pPr>
            <w:r>
              <w:rPr>
                <w:rFonts w:ascii="Arial" w:hAnsi="Arial" w:cs="Arial"/>
                <w:b/>
                <w:bCs/>
                <w:sz w:val="16"/>
                <w:szCs w:val="16"/>
              </w:rPr>
              <w:t>248.042</w:t>
            </w:r>
          </w:p>
        </w:tc>
        <w:tc>
          <w:tcPr>
            <w:tcW w:w="383" w:type="pct"/>
            <w:tcBorders>
              <w:top w:val="nil"/>
              <w:left w:val="nil"/>
              <w:bottom w:val="nil"/>
              <w:right w:val="single" w:sz="8" w:space="0" w:color="auto"/>
            </w:tcBorders>
            <w:shd w:val="clear" w:color="auto" w:fill="4F81BD" w:themeFill="accent1"/>
            <w:noWrap/>
            <w:vAlign w:val="center"/>
            <w:hideMark/>
          </w:tcPr>
          <w:p w14:paraId="7E0E8401" w14:textId="77777777" w:rsidR="007A1B63" w:rsidRDefault="007A1B63">
            <w:pPr>
              <w:jc w:val="right"/>
              <w:rPr>
                <w:rFonts w:ascii="Arial" w:hAnsi="Arial" w:cs="Arial"/>
                <w:b/>
                <w:bCs/>
                <w:color w:val="000000"/>
                <w:sz w:val="16"/>
                <w:szCs w:val="16"/>
              </w:rPr>
            </w:pPr>
            <w:r>
              <w:rPr>
                <w:rFonts w:ascii="Arial" w:hAnsi="Arial" w:cs="Arial"/>
                <w:b/>
                <w:bCs/>
                <w:sz w:val="16"/>
                <w:szCs w:val="16"/>
              </w:rPr>
              <w:t>122.652</w:t>
            </w:r>
          </w:p>
        </w:tc>
        <w:tc>
          <w:tcPr>
            <w:tcW w:w="383" w:type="pct"/>
            <w:tcBorders>
              <w:top w:val="nil"/>
              <w:left w:val="nil"/>
              <w:bottom w:val="nil"/>
              <w:right w:val="single" w:sz="8" w:space="0" w:color="auto"/>
            </w:tcBorders>
            <w:shd w:val="clear" w:color="auto" w:fill="4F81BD" w:themeFill="accent1"/>
            <w:noWrap/>
            <w:vAlign w:val="center"/>
            <w:hideMark/>
          </w:tcPr>
          <w:p w14:paraId="0DEB12A0" w14:textId="77777777" w:rsidR="007A1B63" w:rsidRDefault="007A1B63">
            <w:pPr>
              <w:jc w:val="right"/>
              <w:rPr>
                <w:rFonts w:ascii="Arial" w:hAnsi="Arial" w:cs="Arial"/>
                <w:b/>
                <w:bCs/>
                <w:color w:val="000000"/>
                <w:sz w:val="16"/>
                <w:szCs w:val="16"/>
              </w:rPr>
            </w:pPr>
            <w:r>
              <w:rPr>
                <w:rFonts w:ascii="Arial" w:hAnsi="Arial" w:cs="Arial"/>
                <w:b/>
                <w:bCs/>
                <w:sz w:val="16"/>
                <w:szCs w:val="16"/>
              </w:rPr>
              <w:t>122.179</w:t>
            </w:r>
          </w:p>
        </w:tc>
      </w:tr>
      <w:tr w:rsidR="007A1B63" w14:paraId="7383409A" w14:textId="77777777" w:rsidTr="006738BC">
        <w:trPr>
          <w:trHeight w:val="302"/>
        </w:trPr>
        <w:tc>
          <w:tcPr>
            <w:tcW w:w="3028" w:type="pct"/>
            <w:gridSpan w:val="4"/>
            <w:tcBorders>
              <w:top w:val="single" w:sz="8" w:space="0" w:color="auto"/>
              <w:left w:val="single" w:sz="8" w:space="0" w:color="auto"/>
              <w:bottom w:val="single" w:sz="8" w:space="0" w:color="auto"/>
              <w:right w:val="single" w:sz="8" w:space="0" w:color="000000"/>
            </w:tcBorders>
            <w:shd w:val="clear" w:color="auto" w:fill="4F81BD" w:themeFill="accent1"/>
            <w:vAlign w:val="center"/>
            <w:hideMark/>
          </w:tcPr>
          <w:p w14:paraId="54137D2E" w14:textId="77777777" w:rsidR="007A1B63" w:rsidRDefault="007A1B63">
            <w:pPr>
              <w:jc w:val="center"/>
              <w:rPr>
                <w:rFonts w:ascii="Arial" w:hAnsi="Arial" w:cs="Arial"/>
                <w:b/>
                <w:bCs/>
                <w:color w:val="000000"/>
                <w:sz w:val="16"/>
                <w:szCs w:val="16"/>
              </w:rPr>
            </w:pPr>
            <w:r>
              <w:rPr>
                <w:rFonts w:ascii="Arial" w:hAnsi="Arial" w:cs="Arial"/>
                <w:b/>
                <w:bCs/>
                <w:sz w:val="16"/>
                <w:szCs w:val="16"/>
              </w:rPr>
              <w:t>% de Ejecución</w:t>
            </w:r>
          </w:p>
        </w:tc>
        <w:tc>
          <w:tcPr>
            <w:tcW w:w="656" w:type="pct"/>
            <w:tcBorders>
              <w:top w:val="single" w:sz="8" w:space="0" w:color="auto"/>
              <w:left w:val="nil"/>
              <w:bottom w:val="single" w:sz="8" w:space="0" w:color="auto"/>
              <w:right w:val="single" w:sz="8" w:space="0" w:color="auto"/>
            </w:tcBorders>
            <w:shd w:val="clear" w:color="auto" w:fill="4F81BD" w:themeFill="accent1"/>
            <w:vAlign w:val="center"/>
            <w:hideMark/>
          </w:tcPr>
          <w:p w14:paraId="0AB63CD5" w14:textId="77777777" w:rsidR="007A1B63" w:rsidRDefault="007A1B63">
            <w:pPr>
              <w:jc w:val="right"/>
              <w:rPr>
                <w:rFonts w:ascii="Arial" w:hAnsi="Arial" w:cs="Arial"/>
                <w:b/>
                <w:bCs/>
                <w:color w:val="000000"/>
                <w:sz w:val="16"/>
                <w:szCs w:val="16"/>
              </w:rPr>
            </w:pPr>
            <w:r>
              <w:rPr>
                <w:rFonts w:ascii="Arial" w:hAnsi="Arial" w:cs="Arial"/>
                <w:b/>
                <w:bCs/>
                <w:sz w:val="16"/>
                <w:szCs w:val="16"/>
              </w:rPr>
              <w:t>73%</w:t>
            </w:r>
          </w:p>
        </w:tc>
        <w:tc>
          <w:tcPr>
            <w:tcW w:w="550" w:type="pct"/>
            <w:tcBorders>
              <w:top w:val="single" w:sz="8" w:space="0" w:color="auto"/>
              <w:left w:val="nil"/>
              <w:bottom w:val="single" w:sz="8" w:space="0" w:color="auto"/>
              <w:right w:val="single" w:sz="8" w:space="0" w:color="auto"/>
            </w:tcBorders>
            <w:shd w:val="clear" w:color="auto" w:fill="4F81BD" w:themeFill="accent1"/>
            <w:vAlign w:val="center"/>
            <w:hideMark/>
          </w:tcPr>
          <w:p w14:paraId="0C48792B" w14:textId="77777777" w:rsidR="007A1B63" w:rsidRDefault="007A1B63">
            <w:pPr>
              <w:jc w:val="right"/>
              <w:rPr>
                <w:rFonts w:ascii="Arial" w:hAnsi="Arial" w:cs="Arial"/>
                <w:b/>
                <w:bCs/>
                <w:color w:val="000000"/>
                <w:sz w:val="16"/>
                <w:szCs w:val="16"/>
              </w:rPr>
            </w:pPr>
            <w:r>
              <w:rPr>
                <w:rFonts w:ascii="Arial" w:hAnsi="Arial" w:cs="Arial"/>
                <w:b/>
                <w:bCs/>
                <w:sz w:val="16"/>
                <w:szCs w:val="16"/>
              </w:rPr>
              <w:t>92%</w:t>
            </w:r>
          </w:p>
        </w:tc>
        <w:tc>
          <w:tcPr>
            <w:tcW w:w="383" w:type="pct"/>
            <w:tcBorders>
              <w:top w:val="single" w:sz="8" w:space="0" w:color="auto"/>
              <w:left w:val="nil"/>
              <w:bottom w:val="single" w:sz="8" w:space="0" w:color="auto"/>
              <w:right w:val="single" w:sz="8" w:space="0" w:color="auto"/>
            </w:tcBorders>
            <w:shd w:val="clear" w:color="auto" w:fill="4F81BD" w:themeFill="accent1"/>
            <w:vAlign w:val="center"/>
            <w:hideMark/>
          </w:tcPr>
          <w:p w14:paraId="535D2C87" w14:textId="77777777" w:rsidR="007A1B63" w:rsidRDefault="007A1B63">
            <w:pPr>
              <w:jc w:val="right"/>
              <w:rPr>
                <w:rFonts w:ascii="Arial" w:hAnsi="Arial" w:cs="Arial"/>
                <w:b/>
                <w:bCs/>
                <w:color w:val="000000"/>
                <w:sz w:val="16"/>
                <w:szCs w:val="16"/>
              </w:rPr>
            </w:pPr>
            <w:r>
              <w:rPr>
                <w:rFonts w:ascii="Arial" w:hAnsi="Arial" w:cs="Arial"/>
                <w:b/>
                <w:bCs/>
                <w:sz w:val="16"/>
                <w:szCs w:val="16"/>
              </w:rPr>
              <w:t>45%</w:t>
            </w:r>
          </w:p>
        </w:tc>
        <w:tc>
          <w:tcPr>
            <w:tcW w:w="383" w:type="pct"/>
            <w:tcBorders>
              <w:top w:val="single" w:sz="8" w:space="0" w:color="auto"/>
              <w:left w:val="nil"/>
              <w:bottom w:val="single" w:sz="8" w:space="0" w:color="auto"/>
              <w:right w:val="single" w:sz="8" w:space="0" w:color="auto"/>
            </w:tcBorders>
            <w:shd w:val="clear" w:color="auto" w:fill="4F81BD" w:themeFill="accent1"/>
            <w:vAlign w:val="center"/>
            <w:hideMark/>
          </w:tcPr>
          <w:p w14:paraId="388222F1" w14:textId="77777777" w:rsidR="007A1B63" w:rsidRDefault="007A1B63">
            <w:pPr>
              <w:jc w:val="right"/>
              <w:rPr>
                <w:rFonts w:ascii="Arial" w:hAnsi="Arial" w:cs="Arial"/>
                <w:b/>
                <w:bCs/>
                <w:color w:val="000000"/>
                <w:sz w:val="16"/>
                <w:szCs w:val="16"/>
              </w:rPr>
            </w:pPr>
            <w:r>
              <w:rPr>
                <w:rFonts w:ascii="Arial" w:hAnsi="Arial" w:cs="Arial"/>
                <w:b/>
                <w:bCs/>
                <w:sz w:val="16"/>
                <w:szCs w:val="16"/>
              </w:rPr>
              <w:t>45%</w:t>
            </w:r>
          </w:p>
        </w:tc>
      </w:tr>
    </w:tbl>
    <w:p w14:paraId="5D12A3D5" w14:textId="0D5257F9"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2F240AD5" w14:textId="77777777" w:rsidR="00C02282" w:rsidRPr="007A1B63" w:rsidRDefault="00C02282" w:rsidP="00C02282">
      <w:pPr>
        <w:jc w:val="center"/>
        <w:rPr>
          <w:rFonts w:ascii="Arial" w:hAnsi="Arial" w:cs="Arial"/>
          <w:bCs/>
          <w:lang w:val="es-MX" w:eastAsia="es-ES"/>
        </w:rPr>
      </w:pPr>
      <w:r w:rsidRPr="007A1B63">
        <w:rPr>
          <w:rFonts w:ascii="Calibri" w:hAnsi="Calibri" w:cs="Calibri"/>
          <w:sz w:val="18"/>
          <w:szCs w:val="18"/>
        </w:rPr>
        <w:t>Fuente SIIF</w:t>
      </w:r>
    </w:p>
    <w:p w14:paraId="2FB59586" w14:textId="77777777" w:rsidR="00C02282" w:rsidRPr="007A1B63" w:rsidRDefault="00C02282" w:rsidP="00C02282">
      <w:pPr>
        <w:rPr>
          <w:rFonts w:ascii="Arial" w:eastAsia="Batang" w:hAnsi="Arial" w:cs="Arial"/>
          <w:b/>
        </w:rPr>
      </w:pPr>
      <w:r w:rsidRPr="007A1B63">
        <w:rPr>
          <w:rFonts w:ascii="Arial" w:eastAsia="Batang" w:hAnsi="Arial" w:cs="Arial"/>
          <w:b/>
        </w:rPr>
        <w:t>Ejecución de los principales Rubros</w:t>
      </w:r>
    </w:p>
    <w:p w14:paraId="6436003B" w14:textId="77777777" w:rsidR="00C02282" w:rsidRPr="007A1B63" w:rsidRDefault="00C02282" w:rsidP="00C02282">
      <w:pPr>
        <w:rPr>
          <w:rFonts w:ascii="Arial" w:eastAsia="Batang" w:hAnsi="Arial" w:cs="Arial"/>
          <w:b/>
        </w:rPr>
      </w:pPr>
      <w:r w:rsidRPr="007A1B63">
        <w:rPr>
          <w:rFonts w:ascii="Arial" w:eastAsia="Batang" w:hAnsi="Arial" w:cs="Arial"/>
          <w:b/>
        </w:rPr>
        <w:t>Proyecto: Desarrollo De La Evaluación Del Potencial De Hidrocarburos Del País</w:t>
      </w:r>
    </w:p>
    <w:p w14:paraId="38EAC218" w14:textId="77777777" w:rsidR="007A1B63" w:rsidRDefault="007A1B63" w:rsidP="007A1B63">
      <w:pPr>
        <w:suppressAutoHyphens/>
        <w:autoSpaceDN w:val="0"/>
        <w:jc w:val="both"/>
        <w:textAlignment w:val="baseline"/>
        <w:rPr>
          <w:rFonts w:ascii="Arial" w:eastAsia="Batang" w:hAnsi="Arial" w:cs="Arial"/>
          <w:lang w:val="es-ES" w:eastAsia="es-ES"/>
        </w:rPr>
      </w:pPr>
      <w:r>
        <w:rPr>
          <w:rFonts w:ascii="Arial" w:eastAsia="Batang" w:hAnsi="Arial" w:cs="Arial"/>
          <w:lang w:val="es-ES" w:eastAsia="es-ES"/>
        </w:rPr>
        <w:t xml:space="preserve">El proyecto </w:t>
      </w:r>
      <w:r>
        <w:rPr>
          <w:rFonts w:ascii="Arial" w:eastAsia="Batang" w:hAnsi="Arial" w:cs="Arial"/>
          <w:i/>
          <w:lang w:val="es-ES" w:eastAsia="es-ES"/>
        </w:rPr>
        <w:t xml:space="preserve">Evaluación del potencial de hidrocarburos del país, </w:t>
      </w:r>
      <w:r>
        <w:rPr>
          <w:rFonts w:ascii="Arial" w:eastAsia="Batang" w:hAnsi="Arial" w:cs="Arial"/>
          <w:lang w:val="es-ES" w:eastAsia="es-ES"/>
        </w:rPr>
        <w:t>identificado con código BPIN 2015011000067, tiene como objetivo principal la evaluación del potencial de hidrocarburos del país, mediante metodologías comprobadas de evaluación, la identificación de nuevas ideas exploratorias y la divulgación de las nuevas ideas y modelos para impulsar la actividad exploratoria. Estos grandes objetivos estarían soportados por campañas de adquisición de información técnica y una gestión óptima de la información técnica existente y a adquirir.</w:t>
      </w:r>
    </w:p>
    <w:p w14:paraId="1DC27C16" w14:textId="1802EFAB" w:rsidR="007A1B63" w:rsidRDefault="007A1B63" w:rsidP="007A1B63">
      <w:pPr>
        <w:suppressAutoHyphens/>
        <w:autoSpaceDN w:val="0"/>
        <w:jc w:val="both"/>
        <w:textAlignment w:val="baseline"/>
        <w:rPr>
          <w:rFonts w:ascii="Arial" w:eastAsia="Batang" w:hAnsi="Arial" w:cs="Arial"/>
          <w:bCs/>
          <w:lang w:eastAsia="es-ES"/>
        </w:rPr>
      </w:pPr>
      <w:r>
        <w:rPr>
          <w:rFonts w:ascii="Arial" w:eastAsia="Batang" w:hAnsi="Arial" w:cs="Arial"/>
          <w:bCs/>
          <w:lang w:eastAsia="es-ES"/>
        </w:rPr>
        <w:t xml:space="preserve">Este proyecto con clasificación presupuestal en el programa 2106, </w:t>
      </w:r>
      <w:r w:rsidR="008B5E15">
        <w:rPr>
          <w:rFonts w:ascii="Arial" w:eastAsia="Batang" w:hAnsi="Arial" w:cs="Arial"/>
          <w:bCs/>
          <w:lang w:eastAsia="es-ES"/>
        </w:rPr>
        <w:t>Gestión</w:t>
      </w:r>
      <w:r>
        <w:rPr>
          <w:rFonts w:ascii="Arial" w:eastAsia="Batang" w:hAnsi="Arial" w:cs="Arial"/>
          <w:bCs/>
          <w:lang w:eastAsia="es-ES"/>
        </w:rPr>
        <w:t xml:space="preserve"> de la Información en el Sector Minero Energético y subprograma 1900 </w:t>
      </w:r>
      <w:proofErr w:type="spellStart"/>
      <w:r>
        <w:rPr>
          <w:rFonts w:ascii="Arial" w:eastAsia="Batang" w:hAnsi="Arial" w:cs="Arial"/>
          <w:color w:val="000000" w:themeColor="text1"/>
          <w:lang w:val="es-ES" w:eastAsia="es-ES"/>
        </w:rPr>
        <w:t>Intersubsectoria</w:t>
      </w:r>
      <w:proofErr w:type="spellEnd"/>
      <w:r>
        <w:rPr>
          <w:rFonts w:ascii="Arial" w:eastAsia="Batang" w:hAnsi="Arial" w:cs="Arial"/>
          <w:color w:val="000000" w:themeColor="text1"/>
          <w:lang w:val="es-ES" w:eastAsia="es-ES"/>
        </w:rPr>
        <w:t xml:space="preserve"> Minas y Energía</w:t>
      </w:r>
      <w:r>
        <w:rPr>
          <w:rFonts w:ascii="Arial" w:eastAsia="Batang" w:hAnsi="Arial" w:cs="Arial"/>
          <w:bCs/>
          <w:lang w:eastAsia="es-ES"/>
        </w:rPr>
        <w:t>.</w:t>
      </w:r>
    </w:p>
    <w:p w14:paraId="6D2A87D5" w14:textId="491F0998" w:rsidR="00C02282" w:rsidRPr="007B73C3" w:rsidRDefault="007A1B63" w:rsidP="007A1B63">
      <w:pPr>
        <w:suppressAutoHyphens/>
        <w:autoSpaceDN w:val="0"/>
        <w:jc w:val="both"/>
        <w:textAlignment w:val="baseline"/>
        <w:rPr>
          <w:rFonts w:ascii="Arial" w:eastAsia="Batang" w:hAnsi="Arial" w:cs="Arial"/>
          <w:b/>
          <w:bCs/>
          <w:lang w:eastAsia="es-ES"/>
        </w:rPr>
      </w:pPr>
      <w:r w:rsidRPr="007B73C3">
        <w:rPr>
          <w:rFonts w:ascii="Arial" w:eastAsia="Batang" w:hAnsi="Arial" w:cs="Arial"/>
          <w:b/>
          <w:bCs/>
          <w:lang w:eastAsia="es-ES"/>
        </w:rPr>
        <w:lastRenderedPageBreak/>
        <w:t xml:space="preserve"> </w:t>
      </w:r>
      <w:r w:rsidR="00C02282" w:rsidRPr="007B73C3">
        <w:rPr>
          <w:rFonts w:ascii="Arial" w:eastAsia="Batang" w:hAnsi="Arial" w:cs="Arial"/>
          <w:b/>
          <w:bCs/>
          <w:lang w:eastAsia="es-ES"/>
        </w:rPr>
        <w:t>Objetivos del Proyecto</w:t>
      </w:r>
    </w:p>
    <w:p w14:paraId="13A9DE02" w14:textId="77777777" w:rsidR="00C02282" w:rsidRPr="007B73C3" w:rsidRDefault="00C02282" w:rsidP="00FA2F9C">
      <w:pPr>
        <w:numPr>
          <w:ilvl w:val="0"/>
          <w:numId w:val="2"/>
        </w:numPr>
        <w:suppressAutoHyphens/>
        <w:autoSpaceDN w:val="0"/>
        <w:spacing w:after="0" w:line="240" w:lineRule="auto"/>
        <w:jc w:val="both"/>
        <w:textAlignment w:val="baseline"/>
        <w:rPr>
          <w:rFonts w:ascii="Arial" w:eastAsia="Batang" w:hAnsi="Arial" w:cs="Arial"/>
          <w:b/>
          <w:bCs/>
          <w:i/>
          <w:lang w:eastAsia="es-ES"/>
        </w:rPr>
      </w:pPr>
      <w:r w:rsidRPr="007B73C3">
        <w:rPr>
          <w:rFonts w:ascii="Arial" w:eastAsia="Batang" w:hAnsi="Arial" w:cs="Arial"/>
          <w:b/>
          <w:bCs/>
          <w:i/>
          <w:lang w:eastAsia="es-ES"/>
        </w:rPr>
        <w:t>Generar nuevos conceptos exploratorios</w:t>
      </w:r>
    </w:p>
    <w:p w14:paraId="197DE31B" w14:textId="77777777" w:rsidR="007A1B63" w:rsidRPr="007B73C3" w:rsidRDefault="007A1B63" w:rsidP="007A1B63">
      <w:pPr>
        <w:suppressAutoHyphens/>
        <w:autoSpaceDN w:val="0"/>
        <w:ind w:left="708"/>
        <w:jc w:val="both"/>
        <w:textAlignment w:val="baseline"/>
        <w:rPr>
          <w:rFonts w:ascii="Arial" w:eastAsia="Batang" w:hAnsi="Arial" w:cs="Arial"/>
          <w:lang w:val="es-ES" w:eastAsia="es-ES"/>
        </w:rPr>
      </w:pPr>
      <w:r w:rsidRPr="007B73C3">
        <w:rPr>
          <w:rFonts w:ascii="Arial" w:eastAsia="Batang" w:hAnsi="Arial" w:cs="Arial"/>
          <w:lang w:val="es-ES" w:eastAsia="es-ES"/>
        </w:rPr>
        <w:t>Este objetivo consiste en evaluar el potencial de hidrocarburos de las cuencas misionales, y así proponer nuevos modelos geológicos e ideas exploratorias a los inversionistas. El propósito es brindarles a los operadores un producto de mayor valor agregado que el que tradicionalmente ha ofrecido la Agencia. Se busca incrementar el apetito de los inversionistas actuales con nuevas ideas exploratorias; y, sobre todo, facilitar la participación de otros actores del sector, en especial operadores internacionales.</w:t>
      </w:r>
    </w:p>
    <w:p w14:paraId="59495C98" w14:textId="0D7E432D" w:rsidR="00C02282" w:rsidRPr="007B73C3" w:rsidRDefault="007A1B63" w:rsidP="007A1B63">
      <w:pPr>
        <w:numPr>
          <w:ilvl w:val="0"/>
          <w:numId w:val="2"/>
        </w:numPr>
        <w:suppressAutoHyphens/>
        <w:autoSpaceDN w:val="0"/>
        <w:spacing w:after="0" w:line="240" w:lineRule="auto"/>
        <w:jc w:val="both"/>
        <w:textAlignment w:val="baseline"/>
        <w:rPr>
          <w:rFonts w:ascii="Arial" w:eastAsia="Batang" w:hAnsi="Arial" w:cs="Arial"/>
          <w:b/>
          <w:bCs/>
          <w:i/>
          <w:lang w:eastAsia="es-ES"/>
        </w:rPr>
      </w:pPr>
      <w:r w:rsidRPr="007B73C3">
        <w:rPr>
          <w:rFonts w:ascii="Arial" w:eastAsia="Batang" w:hAnsi="Arial" w:cs="Arial"/>
          <w:b/>
          <w:bCs/>
          <w:i/>
          <w:lang w:eastAsia="es-ES"/>
        </w:rPr>
        <w:t xml:space="preserve"> </w:t>
      </w:r>
      <w:r w:rsidR="00C02282" w:rsidRPr="007B73C3">
        <w:rPr>
          <w:rFonts w:ascii="Arial" w:eastAsia="Batang" w:hAnsi="Arial" w:cs="Arial"/>
          <w:b/>
          <w:bCs/>
          <w:i/>
          <w:lang w:eastAsia="es-ES"/>
        </w:rPr>
        <w:t>Incentivar la inversión exploratoria</w:t>
      </w:r>
    </w:p>
    <w:p w14:paraId="2C13572B" w14:textId="77777777" w:rsidR="007A1B63" w:rsidRPr="007A1B63" w:rsidRDefault="007A1B63" w:rsidP="007A1B63">
      <w:pPr>
        <w:pStyle w:val="Prrafodelista"/>
        <w:suppressAutoHyphens/>
        <w:autoSpaceDN w:val="0"/>
        <w:ind w:left="709"/>
        <w:jc w:val="both"/>
        <w:textAlignment w:val="baseline"/>
        <w:rPr>
          <w:rFonts w:eastAsia="Batang" w:cs="Arial"/>
          <w:lang w:val="es-ES" w:eastAsia="es-ES"/>
        </w:rPr>
      </w:pPr>
      <w:r w:rsidRPr="007A1B63">
        <w:rPr>
          <w:rFonts w:eastAsia="Batang" w:cs="Arial"/>
          <w:lang w:val="es-ES" w:eastAsia="es-ES"/>
        </w:rPr>
        <w:t>La Agencia quiere construir sobre los éxitos recientes en procesos de promoción y asignación competitivos. El modelo a seguir es el que se desarrolló durante la Ronda 2014 para los bloques de la cuenca Sinú San Jacinto, sin duda alguna la oferta de bloques más exitosa de la historia del país. Se busca crear una oferta integrada de información de subsuelo, interpretación de ideas exploratorias y condiciones de superficie, con una propuesta de valor de prospectividad y condiciones operativas que potencialicen la actividad exploratoria.</w:t>
      </w:r>
    </w:p>
    <w:p w14:paraId="2AA4F084" w14:textId="77777777" w:rsidR="00C02282" w:rsidRPr="007B73C3" w:rsidRDefault="00C02282" w:rsidP="00FA2F9C">
      <w:pPr>
        <w:numPr>
          <w:ilvl w:val="0"/>
          <w:numId w:val="2"/>
        </w:numPr>
        <w:suppressAutoHyphens/>
        <w:autoSpaceDN w:val="0"/>
        <w:spacing w:after="0" w:line="240" w:lineRule="auto"/>
        <w:jc w:val="both"/>
        <w:textAlignment w:val="baseline"/>
        <w:rPr>
          <w:rFonts w:ascii="Arial" w:eastAsia="Batang" w:hAnsi="Arial" w:cs="Arial"/>
          <w:b/>
          <w:bCs/>
          <w:i/>
          <w:lang w:eastAsia="es-ES"/>
        </w:rPr>
      </w:pPr>
      <w:r w:rsidRPr="007B73C3">
        <w:rPr>
          <w:rFonts w:ascii="Arial" w:eastAsia="Batang" w:hAnsi="Arial" w:cs="Arial"/>
          <w:b/>
          <w:bCs/>
          <w:i/>
          <w:lang w:eastAsia="es-ES"/>
        </w:rPr>
        <w:t>Asegurar la información técnica para la evaluación y divulgación del potencial de hidrocarburos</w:t>
      </w:r>
    </w:p>
    <w:p w14:paraId="30A98709" w14:textId="77777777" w:rsidR="007A1B63" w:rsidRPr="007A1B63" w:rsidRDefault="007A1B63" w:rsidP="007A1B63">
      <w:pPr>
        <w:pStyle w:val="Prrafodelista"/>
        <w:suppressAutoHyphens/>
        <w:autoSpaceDN w:val="0"/>
        <w:ind w:left="709"/>
        <w:jc w:val="both"/>
        <w:textAlignment w:val="baseline"/>
        <w:rPr>
          <w:rFonts w:eastAsia="Batang" w:cs="Arial"/>
          <w:lang w:val="es-ES" w:eastAsia="es-ES"/>
        </w:rPr>
      </w:pPr>
      <w:r w:rsidRPr="007A1B63">
        <w:rPr>
          <w:rFonts w:eastAsia="Batang" w:cs="Arial"/>
          <w:lang w:val="es-ES" w:eastAsia="es-ES"/>
        </w:rPr>
        <w:t>Este es un objetivo de soporte transversal a los dos objetivos descritos previamente. Es crítico asegurar que la información que se adquiera en el curso de este proyecto se preserve, almacene e identifique de manera idónea. Adicionalmente, también es fundamental que el equipo del proyecto tenga a su disposición de manera oportuna toda la información técnica disponible de las áreas a evaluar. Así mismo, que los inversionistas tengan acceso a toda la información relevante de las áreas en las que estén interesados. Finalmente, se busca mejorar la calidad de la información existente no solo en términos de acceso y disponibilidad, sino en aplicación de tecnologías de punta para su reprocesamiento e integración.</w:t>
      </w:r>
    </w:p>
    <w:p w14:paraId="1CFE3D0B" w14:textId="6D36B630" w:rsidR="00C02282" w:rsidRPr="007A1B63" w:rsidRDefault="00C02282" w:rsidP="007A1B63">
      <w:pPr>
        <w:pStyle w:val="Descripcin"/>
        <w:keepNext/>
        <w:ind w:left="360"/>
        <w:jc w:val="center"/>
      </w:pPr>
      <w:bookmarkStart w:id="171" w:name="_Toc525652532"/>
      <w:r w:rsidRPr="007A1B63">
        <w:t xml:space="preserve">Tabla </w:t>
      </w:r>
      <w:r w:rsidRPr="007A1B63">
        <w:fldChar w:fldCharType="begin"/>
      </w:r>
      <w:r w:rsidRPr="007A1B63">
        <w:instrText xml:space="preserve"> SEQ Tabla \* ARABIC </w:instrText>
      </w:r>
      <w:r w:rsidRPr="007A1B63">
        <w:fldChar w:fldCharType="separate"/>
      </w:r>
      <w:r w:rsidR="008B4625">
        <w:rPr>
          <w:noProof/>
        </w:rPr>
        <w:t>87</w:t>
      </w:r>
      <w:r w:rsidRPr="007A1B63">
        <w:fldChar w:fldCharType="end"/>
      </w:r>
      <w:r w:rsidRPr="007A1B63">
        <w:t xml:space="preserve"> Ejecución Inversión Desarrollo de la Evaluación del Potencial de Hidrocarburos del País a 3</w:t>
      </w:r>
      <w:r w:rsidR="007A1B63" w:rsidRPr="007A1B63">
        <w:t xml:space="preserve">0 de junio de 2018 </w:t>
      </w:r>
      <w:r w:rsidRPr="007A1B63">
        <w:t xml:space="preserve"> ANH</w:t>
      </w:r>
      <w:bookmarkEnd w:id="171"/>
    </w:p>
    <w:tbl>
      <w:tblPr>
        <w:tblW w:w="7099" w:type="dxa"/>
        <w:tblInd w:w="903" w:type="dxa"/>
        <w:tblCellMar>
          <w:left w:w="70" w:type="dxa"/>
          <w:right w:w="70" w:type="dxa"/>
        </w:tblCellMar>
        <w:tblLook w:val="04A0" w:firstRow="1" w:lastRow="0" w:firstColumn="1" w:lastColumn="0" w:noHBand="0" w:noVBand="1"/>
      </w:tblPr>
      <w:tblGrid>
        <w:gridCol w:w="1438"/>
        <w:gridCol w:w="1269"/>
        <w:gridCol w:w="1269"/>
        <w:gridCol w:w="461"/>
        <w:gridCol w:w="1163"/>
        <w:gridCol w:w="594"/>
        <w:gridCol w:w="630"/>
        <w:gridCol w:w="594"/>
      </w:tblGrid>
      <w:tr w:rsidR="007A1B63" w14:paraId="030B23FA" w14:textId="77777777" w:rsidTr="008B5E15">
        <w:trPr>
          <w:trHeight w:val="419"/>
        </w:trPr>
        <w:tc>
          <w:tcPr>
            <w:tcW w:w="1267"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3918A9C8" w14:textId="77777777" w:rsidR="007A1B63" w:rsidRDefault="007A1B63">
            <w:pPr>
              <w:jc w:val="center"/>
              <w:rPr>
                <w:rFonts w:ascii="Arial" w:hAnsi="Arial" w:cs="Arial"/>
                <w:b/>
                <w:bCs/>
                <w:sz w:val="16"/>
                <w:szCs w:val="16"/>
              </w:rPr>
            </w:pPr>
            <w:r>
              <w:rPr>
                <w:rFonts w:ascii="Arial" w:hAnsi="Arial" w:cs="Arial"/>
                <w:b/>
                <w:bCs/>
                <w:sz w:val="16"/>
                <w:szCs w:val="16"/>
              </w:rPr>
              <w:t>RUBRO PRESUPUESTAL</w:t>
            </w:r>
          </w:p>
        </w:tc>
        <w:tc>
          <w:tcPr>
            <w:tcW w:w="1178" w:type="dxa"/>
            <w:tcBorders>
              <w:top w:val="single" w:sz="8" w:space="0" w:color="auto"/>
              <w:left w:val="nil"/>
              <w:bottom w:val="single" w:sz="8" w:space="0" w:color="auto"/>
              <w:right w:val="single" w:sz="4" w:space="0" w:color="auto"/>
            </w:tcBorders>
            <w:shd w:val="clear" w:color="auto" w:fill="4F81BD" w:themeFill="accent1"/>
            <w:vAlign w:val="center"/>
            <w:hideMark/>
          </w:tcPr>
          <w:p w14:paraId="02364104" w14:textId="77777777" w:rsidR="007A1B63" w:rsidRDefault="007A1B63">
            <w:pPr>
              <w:jc w:val="center"/>
              <w:rPr>
                <w:rFonts w:ascii="Arial" w:hAnsi="Arial" w:cs="Arial"/>
                <w:b/>
                <w:sz w:val="16"/>
                <w:szCs w:val="16"/>
              </w:rPr>
            </w:pPr>
            <w:r>
              <w:rPr>
                <w:rFonts w:ascii="Arial" w:hAnsi="Arial" w:cs="Arial"/>
                <w:b/>
                <w:sz w:val="16"/>
                <w:szCs w:val="16"/>
              </w:rPr>
              <w:t>APROPIACIÓN DISPONIBLE</w:t>
            </w:r>
          </w:p>
        </w:tc>
        <w:tc>
          <w:tcPr>
            <w:tcW w:w="1135" w:type="dxa"/>
            <w:tcBorders>
              <w:top w:val="single" w:sz="8" w:space="0" w:color="auto"/>
              <w:left w:val="nil"/>
              <w:bottom w:val="single" w:sz="8" w:space="0" w:color="auto"/>
              <w:right w:val="single" w:sz="4" w:space="0" w:color="auto"/>
            </w:tcBorders>
            <w:shd w:val="clear" w:color="auto" w:fill="4F81BD" w:themeFill="accent1"/>
            <w:vAlign w:val="center"/>
            <w:hideMark/>
          </w:tcPr>
          <w:p w14:paraId="7668E462" w14:textId="77777777" w:rsidR="007A1B63" w:rsidRDefault="007A1B63">
            <w:pPr>
              <w:jc w:val="center"/>
              <w:rPr>
                <w:rFonts w:ascii="Arial" w:hAnsi="Arial" w:cs="Arial"/>
                <w:b/>
                <w:sz w:val="16"/>
                <w:szCs w:val="16"/>
              </w:rPr>
            </w:pPr>
            <w:r>
              <w:rPr>
                <w:rFonts w:ascii="Arial" w:hAnsi="Arial" w:cs="Arial"/>
                <w:b/>
                <w:sz w:val="16"/>
                <w:szCs w:val="16"/>
              </w:rPr>
              <w:t>COMPROMISO</w:t>
            </w:r>
          </w:p>
        </w:tc>
        <w:tc>
          <w:tcPr>
            <w:tcW w:w="722" w:type="dxa"/>
            <w:tcBorders>
              <w:top w:val="single" w:sz="8" w:space="0" w:color="auto"/>
              <w:left w:val="nil"/>
              <w:bottom w:val="single" w:sz="8" w:space="0" w:color="auto"/>
              <w:right w:val="single" w:sz="4" w:space="0" w:color="auto"/>
            </w:tcBorders>
            <w:shd w:val="clear" w:color="auto" w:fill="4F81BD" w:themeFill="accent1"/>
            <w:vAlign w:val="center"/>
            <w:hideMark/>
          </w:tcPr>
          <w:p w14:paraId="310E6AB5" w14:textId="77777777" w:rsidR="007A1B63" w:rsidRDefault="007A1B63">
            <w:pPr>
              <w:jc w:val="center"/>
              <w:rPr>
                <w:rFonts w:ascii="Arial" w:hAnsi="Arial" w:cs="Arial"/>
                <w:b/>
                <w:sz w:val="16"/>
                <w:szCs w:val="16"/>
              </w:rPr>
            </w:pPr>
            <w:r>
              <w:rPr>
                <w:rFonts w:ascii="Arial" w:hAnsi="Arial" w:cs="Arial"/>
                <w:b/>
                <w:sz w:val="16"/>
                <w:szCs w:val="16"/>
              </w:rPr>
              <w:t>%</w:t>
            </w:r>
          </w:p>
        </w:tc>
        <w:tc>
          <w:tcPr>
            <w:tcW w:w="987" w:type="dxa"/>
            <w:tcBorders>
              <w:top w:val="single" w:sz="8" w:space="0" w:color="auto"/>
              <w:left w:val="nil"/>
              <w:bottom w:val="single" w:sz="8" w:space="0" w:color="auto"/>
              <w:right w:val="single" w:sz="4" w:space="0" w:color="auto"/>
            </w:tcBorders>
            <w:shd w:val="clear" w:color="auto" w:fill="4F81BD" w:themeFill="accent1"/>
            <w:vAlign w:val="center"/>
            <w:hideMark/>
          </w:tcPr>
          <w:p w14:paraId="112069C3" w14:textId="77777777" w:rsidR="007A1B63" w:rsidRDefault="007A1B63">
            <w:pPr>
              <w:jc w:val="center"/>
              <w:rPr>
                <w:rFonts w:ascii="Arial" w:hAnsi="Arial" w:cs="Arial"/>
                <w:b/>
                <w:sz w:val="16"/>
                <w:szCs w:val="16"/>
              </w:rPr>
            </w:pPr>
            <w:r>
              <w:rPr>
                <w:rFonts w:ascii="Arial" w:hAnsi="Arial" w:cs="Arial"/>
                <w:b/>
                <w:sz w:val="16"/>
                <w:szCs w:val="16"/>
              </w:rPr>
              <w:t xml:space="preserve"> OBLIGACIÓN  </w:t>
            </w:r>
          </w:p>
        </w:tc>
        <w:tc>
          <w:tcPr>
            <w:tcW w:w="633" w:type="dxa"/>
            <w:tcBorders>
              <w:top w:val="single" w:sz="8" w:space="0" w:color="auto"/>
              <w:left w:val="nil"/>
              <w:bottom w:val="single" w:sz="8" w:space="0" w:color="auto"/>
              <w:right w:val="single" w:sz="4" w:space="0" w:color="auto"/>
            </w:tcBorders>
            <w:shd w:val="clear" w:color="auto" w:fill="4F81BD" w:themeFill="accent1"/>
            <w:vAlign w:val="center"/>
            <w:hideMark/>
          </w:tcPr>
          <w:p w14:paraId="238626AC" w14:textId="77777777" w:rsidR="007A1B63" w:rsidRDefault="007A1B63">
            <w:pPr>
              <w:jc w:val="center"/>
              <w:rPr>
                <w:rFonts w:ascii="Arial" w:hAnsi="Arial" w:cs="Arial"/>
                <w:b/>
                <w:sz w:val="16"/>
                <w:szCs w:val="16"/>
              </w:rPr>
            </w:pPr>
            <w:r>
              <w:rPr>
                <w:rFonts w:ascii="Arial" w:hAnsi="Arial" w:cs="Arial"/>
                <w:b/>
                <w:sz w:val="16"/>
                <w:szCs w:val="16"/>
              </w:rPr>
              <w:t>%</w:t>
            </w:r>
          </w:p>
        </w:tc>
        <w:tc>
          <w:tcPr>
            <w:tcW w:w="656" w:type="dxa"/>
            <w:tcBorders>
              <w:top w:val="single" w:sz="8" w:space="0" w:color="auto"/>
              <w:left w:val="nil"/>
              <w:bottom w:val="single" w:sz="8" w:space="0" w:color="auto"/>
              <w:right w:val="single" w:sz="4" w:space="0" w:color="auto"/>
            </w:tcBorders>
            <w:shd w:val="clear" w:color="auto" w:fill="4F81BD" w:themeFill="accent1"/>
            <w:vAlign w:val="center"/>
            <w:hideMark/>
          </w:tcPr>
          <w:p w14:paraId="6C865D3D" w14:textId="77777777" w:rsidR="007A1B63" w:rsidRDefault="007A1B63">
            <w:pPr>
              <w:jc w:val="center"/>
              <w:rPr>
                <w:rFonts w:ascii="Arial" w:hAnsi="Arial" w:cs="Arial"/>
                <w:b/>
                <w:sz w:val="16"/>
                <w:szCs w:val="16"/>
              </w:rPr>
            </w:pPr>
            <w:r>
              <w:rPr>
                <w:rFonts w:ascii="Arial" w:hAnsi="Arial" w:cs="Arial"/>
                <w:b/>
                <w:sz w:val="16"/>
                <w:szCs w:val="16"/>
              </w:rPr>
              <w:t xml:space="preserve"> PAGO  </w:t>
            </w:r>
          </w:p>
        </w:tc>
        <w:tc>
          <w:tcPr>
            <w:tcW w:w="521" w:type="dxa"/>
            <w:tcBorders>
              <w:top w:val="single" w:sz="8" w:space="0" w:color="auto"/>
              <w:left w:val="nil"/>
              <w:bottom w:val="single" w:sz="8" w:space="0" w:color="auto"/>
              <w:right w:val="single" w:sz="8" w:space="0" w:color="auto"/>
            </w:tcBorders>
            <w:shd w:val="clear" w:color="auto" w:fill="4F81BD" w:themeFill="accent1"/>
            <w:vAlign w:val="center"/>
            <w:hideMark/>
          </w:tcPr>
          <w:p w14:paraId="79B3D54F" w14:textId="77777777" w:rsidR="007A1B63" w:rsidRDefault="007A1B63">
            <w:pPr>
              <w:jc w:val="center"/>
              <w:rPr>
                <w:rFonts w:ascii="Arial" w:hAnsi="Arial" w:cs="Arial"/>
                <w:b/>
                <w:sz w:val="16"/>
                <w:szCs w:val="16"/>
              </w:rPr>
            </w:pPr>
            <w:r>
              <w:rPr>
                <w:rFonts w:ascii="Arial" w:hAnsi="Arial" w:cs="Arial"/>
                <w:b/>
                <w:sz w:val="16"/>
                <w:szCs w:val="16"/>
              </w:rPr>
              <w:t>%</w:t>
            </w:r>
          </w:p>
        </w:tc>
      </w:tr>
      <w:tr w:rsidR="007A1B63" w14:paraId="06D3A74E" w14:textId="77777777" w:rsidTr="008B5E15">
        <w:trPr>
          <w:trHeight w:val="660"/>
        </w:trPr>
        <w:tc>
          <w:tcPr>
            <w:tcW w:w="1267" w:type="dxa"/>
            <w:tcBorders>
              <w:top w:val="nil"/>
              <w:left w:val="single" w:sz="8" w:space="0" w:color="auto"/>
              <w:bottom w:val="single" w:sz="8" w:space="0" w:color="000000"/>
              <w:right w:val="single" w:sz="8" w:space="0" w:color="auto"/>
            </w:tcBorders>
            <w:vAlign w:val="center"/>
            <w:hideMark/>
          </w:tcPr>
          <w:p w14:paraId="5D6FCD10" w14:textId="77777777" w:rsidR="007A1B63" w:rsidRDefault="007A1B63">
            <w:pPr>
              <w:rPr>
                <w:rFonts w:ascii="Arial" w:hAnsi="Arial" w:cs="Arial"/>
                <w:color w:val="333333"/>
                <w:sz w:val="16"/>
                <w:szCs w:val="16"/>
              </w:rPr>
            </w:pPr>
            <w:r>
              <w:rPr>
                <w:rFonts w:ascii="Arial" w:hAnsi="Arial" w:cs="Arial"/>
                <w:color w:val="333333"/>
                <w:sz w:val="16"/>
                <w:szCs w:val="16"/>
              </w:rPr>
              <w:t>Desarrollo de la Evaluación del Potencial de Hidrocarburos del País</w:t>
            </w:r>
          </w:p>
        </w:tc>
        <w:tc>
          <w:tcPr>
            <w:tcW w:w="1178" w:type="dxa"/>
            <w:tcBorders>
              <w:top w:val="nil"/>
              <w:left w:val="nil"/>
              <w:bottom w:val="single" w:sz="8" w:space="0" w:color="auto"/>
              <w:right w:val="single" w:sz="4" w:space="0" w:color="auto"/>
            </w:tcBorders>
            <w:vAlign w:val="center"/>
            <w:hideMark/>
          </w:tcPr>
          <w:p w14:paraId="251AD534" w14:textId="77777777" w:rsidR="007A1B63" w:rsidRDefault="007A1B63">
            <w:pPr>
              <w:jc w:val="center"/>
              <w:rPr>
                <w:rFonts w:ascii="Arial" w:hAnsi="Arial" w:cs="Arial"/>
                <w:color w:val="333333"/>
                <w:sz w:val="16"/>
                <w:szCs w:val="16"/>
              </w:rPr>
            </w:pPr>
            <w:r>
              <w:rPr>
                <w:rFonts w:ascii="Arial" w:hAnsi="Arial" w:cs="Arial"/>
                <w:color w:val="333333"/>
                <w:sz w:val="16"/>
                <w:szCs w:val="16"/>
              </w:rPr>
              <w:t>$ 187.000</w:t>
            </w:r>
          </w:p>
        </w:tc>
        <w:tc>
          <w:tcPr>
            <w:tcW w:w="1135" w:type="dxa"/>
            <w:tcBorders>
              <w:top w:val="nil"/>
              <w:left w:val="nil"/>
              <w:bottom w:val="single" w:sz="8" w:space="0" w:color="auto"/>
              <w:right w:val="single" w:sz="4" w:space="0" w:color="auto"/>
            </w:tcBorders>
            <w:vAlign w:val="center"/>
            <w:hideMark/>
          </w:tcPr>
          <w:p w14:paraId="1171F613" w14:textId="77777777" w:rsidR="007A1B63" w:rsidRDefault="007A1B63">
            <w:pPr>
              <w:jc w:val="center"/>
              <w:rPr>
                <w:rFonts w:ascii="Arial" w:hAnsi="Arial" w:cs="Arial"/>
                <w:color w:val="333333"/>
                <w:sz w:val="16"/>
                <w:szCs w:val="16"/>
              </w:rPr>
            </w:pPr>
            <w:r>
              <w:rPr>
                <w:rFonts w:ascii="Arial" w:hAnsi="Arial" w:cs="Arial"/>
                <w:color w:val="333333"/>
                <w:sz w:val="16"/>
                <w:szCs w:val="16"/>
              </w:rPr>
              <w:t>$ 70.864</w:t>
            </w:r>
          </w:p>
        </w:tc>
        <w:tc>
          <w:tcPr>
            <w:tcW w:w="722" w:type="dxa"/>
            <w:tcBorders>
              <w:top w:val="nil"/>
              <w:left w:val="nil"/>
              <w:bottom w:val="single" w:sz="8" w:space="0" w:color="auto"/>
              <w:right w:val="single" w:sz="4" w:space="0" w:color="auto"/>
            </w:tcBorders>
            <w:vAlign w:val="center"/>
            <w:hideMark/>
          </w:tcPr>
          <w:p w14:paraId="5BF9E3A2" w14:textId="77777777" w:rsidR="007A1B63" w:rsidRDefault="007A1B63">
            <w:pPr>
              <w:jc w:val="center"/>
              <w:rPr>
                <w:rFonts w:ascii="Arial" w:hAnsi="Arial" w:cs="Arial"/>
                <w:color w:val="333333"/>
                <w:sz w:val="16"/>
                <w:szCs w:val="16"/>
              </w:rPr>
            </w:pPr>
            <w:r>
              <w:rPr>
                <w:rFonts w:ascii="Arial" w:hAnsi="Arial" w:cs="Arial"/>
                <w:color w:val="333333"/>
                <w:sz w:val="16"/>
                <w:szCs w:val="16"/>
              </w:rPr>
              <w:t>38%</w:t>
            </w:r>
          </w:p>
        </w:tc>
        <w:tc>
          <w:tcPr>
            <w:tcW w:w="987" w:type="dxa"/>
            <w:tcBorders>
              <w:top w:val="nil"/>
              <w:left w:val="nil"/>
              <w:bottom w:val="single" w:sz="8" w:space="0" w:color="auto"/>
              <w:right w:val="single" w:sz="4" w:space="0" w:color="auto"/>
            </w:tcBorders>
            <w:vAlign w:val="center"/>
            <w:hideMark/>
          </w:tcPr>
          <w:p w14:paraId="1C9EA88D" w14:textId="77777777" w:rsidR="007A1B63" w:rsidRDefault="007A1B63">
            <w:pPr>
              <w:jc w:val="center"/>
              <w:rPr>
                <w:rFonts w:ascii="Arial" w:hAnsi="Arial" w:cs="Arial"/>
                <w:color w:val="333333"/>
                <w:sz w:val="16"/>
                <w:szCs w:val="16"/>
              </w:rPr>
            </w:pPr>
            <w:r>
              <w:rPr>
                <w:rFonts w:ascii="Arial" w:hAnsi="Arial" w:cs="Arial"/>
                <w:color w:val="333333"/>
                <w:sz w:val="16"/>
                <w:szCs w:val="16"/>
              </w:rPr>
              <w:t>$ 11.880</w:t>
            </w:r>
          </w:p>
        </w:tc>
        <w:tc>
          <w:tcPr>
            <w:tcW w:w="633" w:type="dxa"/>
            <w:tcBorders>
              <w:top w:val="nil"/>
              <w:left w:val="nil"/>
              <w:bottom w:val="single" w:sz="8" w:space="0" w:color="auto"/>
              <w:right w:val="single" w:sz="4" w:space="0" w:color="auto"/>
            </w:tcBorders>
            <w:vAlign w:val="center"/>
            <w:hideMark/>
          </w:tcPr>
          <w:p w14:paraId="0DB4F5E1" w14:textId="77777777" w:rsidR="007A1B63" w:rsidRDefault="007A1B63">
            <w:pPr>
              <w:jc w:val="center"/>
              <w:rPr>
                <w:rFonts w:ascii="Arial" w:hAnsi="Arial" w:cs="Arial"/>
                <w:color w:val="333333"/>
                <w:sz w:val="16"/>
                <w:szCs w:val="16"/>
              </w:rPr>
            </w:pPr>
            <w:r>
              <w:rPr>
                <w:rFonts w:ascii="Arial" w:hAnsi="Arial" w:cs="Arial"/>
                <w:color w:val="333333"/>
                <w:sz w:val="16"/>
                <w:szCs w:val="16"/>
              </w:rPr>
              <w:t>0,11%</w:t>
            </w:r>
          </w:p>
        </w:tc>
        <w:tc>
          <w:tcPr>
            <w:tcW w:w="656" w:type="dxa"/>
            <w:tcBorders>
              <w:top w:val="nil"/>
              <w:left w:val="nil"/>
              <w:bottom w:val="single" w:sz="8" w:space="0" w:color="auto"/>
              <w:right w:val="single" w:sz="4" w:space="0" w:color="auto"/>
            </w:tcBorders>
            <w:vAlign w:val="center"/>
            <w:hideMark/>
          </w:tcPr>
          <w:p w14:paraId="7249653E" w14:textId="77777777" w:rsidR="007A1B63" w:rsidRDefault="007A1B63">
            <w:pPr>
              <w:jc w:val="center"/>
              <w:rPr>
                <w:rFonts w:ascii="Arial" w:hAnsi="Arial" w:cs="Arial"/>
                <w:color w:val="333333"/>
                <w:sz w:val="16"/>
                <w:szCs w:val="16"/>
              </w:rPr>
            </w:pPr>
            <w:r>
              <w:rPr>
                <w:rFonts w:ascii="Arial" w:hAnsi="Arial" w:cs="Arial"/>
                <w:color w:val="333333"/>
                <w:sz w:val="16"/>
                <w:szCs w:val="16"/>
              </w:rPr>
              <w:t>$ 11.877</w:t>
            </w:r>
          </w:p>
        </w:tc>
        <w:tc>
          <w:tcPr>
            <w:tcW w:w="521" w:type="dxa"/>
            <w:tcBorders>
              <w:top w:val="nil"/>
              <w:left w:val="nil"/>
              <w:bottom w:val="single" w:sz="8" w:space="0" w:color="auto"/>
              <w:right w:val="single" w:sz="8" w:space="0" w:color="auto"/>
            </w:tcBorders>
            <w:vAlign w:val="center"/>
            <w:hideMark/>
          </w:tcPr>
          <w:p w14:paraId="04BDF7AF" w14:textId="77777777" w:rsidR="007A1B63" w:rsidRDefault="007A1B63">
            <w:pPr>
              <w:jc w:val="center"/>
              <w:rPr>
                <w:rFonts w:ascii="Arial" w:hAnsi="Arial" w:cs="Arial"/>
                <w:color w:val="333333"/>
                <w:sz w:val="16"/>
                <w:szCs w:val="16"/>
              </w:rPr>
            </w:pPr>
            <w:r>
              <w:rPr>
                <w:rFonts w:ascii="Arial" w:hAnsi="Arial" w:cs="Arial"/>
                <w:color w:val="333333"/>
                <w:sz w:val="16"/>
                <w:szCs w:val="16"/>
              </w:rPr>
              <w:t>0,11%</w:t>
            </w:r>
          </w:p>
        </w:tc>
      </w:tr>
    </w:tbl>
    <w:p w14:paraId="306632CF" w14:textId="00C60DB1" w:rsidR="00C02282" w:rsidRPr="007A1B63" w:rsidRDefault="007A1B63" w:rsidP="00C02282">
      <w:pPr>
        <w:spacing w:after="0" w:line="240" w:lineRule="auto"/>
        <w:jc w:val="center"/>
        <w:rPr>
          <w:rFonts w:ascii="Arial" w:eastAsia="Calibri" w:hAnsi="Arial" w:cs="Arial"/>
          <w:sz w:val="16"/>
          <w:szCs w:val="16"/>
        </w:rPr>
      </w:pPr>
      <w:r w:rsidRPr="007A1B63">
        <w:rPr>
          <w:rFonts w:ascii="Arial" w:hAnsi="Arial" w:cs="Arial"/>
          <w:sz w:val="16"/>
          <w:szCs w:val="16"/>
          <w:lang w:eastAsia="es-ES"/>
        </w:rPr>
        <w:t xml:space="preserve"> </w:t>
      </w:r>
      <w:r w:rsidR="00C02282" w:rsidRPr="007A1B63">
        <w:rPr>
          <w:rFonts w:ascii="Arial" w:hAnsi="Arial" w:cs="Arial"/>
          <w:sz w:val="16"/>
          <w:szCs w:val="16"/>
          <w:lang w:eastAsia="es-ES"/>
        </w:rPr>
        <w:t>Millones de pesos</w:t>
      </w:r>
    </w:p>
    <w:p w14:paraId="5BB7F70E" w14:textId="77777777" w:rsidR="00C02282" w:rsidRPr="007A1B63" w:rsidRDefault="00C02282" w:rsidP="00C02282">
      <w:pPr>
        <w:jc w:val="center"/>
        <w:rPr>
          <w:rFonts w:ascii="Arial" w:hAnsi="Arial" w:cs="Arial"/>
          <w:bCs/>
          <w:lang w:val="es-MX" w:eastAsia="es-ES"/>
        </w:rPr>
      </w:pPr>
      <w:r w:rsidRPr="007A1B63">
        <w:rPr>
          <w:rFonts w:ascii="Calibri" w:hAnsi="Calibri" w:cs="Calibri"/>
          <w:sz w:val="18"/>
          <w:szCs w:val="18"/>
        </w:rPr>
        <w:t>Fuente SIIF</w:t>
      </w:r>
    </w:p>
    <w:p w14:paraId="3B8DB558" w14:textId="26A311FE" w:rsidR="00C02282" w:rsidRPr="007A1B63" w:rsidRDefault="00C02282" w:rsidP="00C02282">
      <w:pPr>
        <w:pStyle w:val="Descripcin"/>
        <w:keepNext/>
        <w:jc w:val="center"/>
      </w:pPr>
      <w:bookmarkStart w:id="172" w:name="_Toc525652533"/>
      <w:r w:rsidRPr="007A1B63">
        <w:lastRenderedPageBreak/>
        <w:t xml:space="preserve">Tabla </w:t>
      </w:r>
      <w:r w:rsidRPr="007A1B63">
        <w:fldChar w:fldCharType="begin"/>
      </w:r>
      <w:r w:rsidRPr="007A1B63">
        <w:instrText xml:space="preserve"> SEQ Tabla \* ARABIC </w:instrText>
      </w:r>
      <w:r w:rsidRPr="007A1B63">
        <w:fldChar w:fldCharType="separate"/>
      </w:r>
      <w:r w:rsidR="008B4625">
        <w:rPr>
          <w:noProof/>
        </w:rPr>
        <w:t>88</w:t>
      </w:r>
      <w:r w:rsidRPr="007A1B63">
        <w:fldChar w:fldCharType="end"/>
      </w:r>
      <w:r w:rsidRPr="007A1B63">
        <w:t>Ejecución Inversión Desarrollo de la Evaluación del Potencial de Hidrocarburos del País – Por Programas a 3</w:t>
      </w:r>
      <w:r w:rsidR="007A1B63">
        <w:t xml:space="preserve">0 de junio de 2018 </w:t>
      </w:r>
      <w:r w:rsidRPr="007A1B63">
        <w:t xml:space="preserve"> ANH</w:t>
      </w:r>
      <w:bookmarkEnd w:id="172"/>
    </w:p>
    <w:tbl>
      <w:tblPr>
        <w:tblW w:w="5023" w:type="pct"/>
        <w:tblCellMar>
          <w:left w:w="70" w:type="dxa"/>
          <w:right w:w="70" w:type="dxa"/>
        </w:tblCellMar>
        <w:tblLook w:val="04A0" w:firstRow="1" w:lastRow="0" w:firstColumn="1" w:lastColumn="0" w:noHBand="0" w:noVBand="1"/>
      </w:tblPr>
      <w:tblGrid>
        <w:gridCol w:w="1763"/>
        <w:gridCol w:w="1552"/>
        <w:gridCol w:w="1552"/>
        <w:gridCol w:w="522"/>
        <w:gridCol w:w="1685"/>
        <w:gridCol w:w="756"/>
        <w:gridCol w:w="861"/>
        <w:gridCol w:w="736"/>
      </w:tblGrid>
      <w:tr w:rsidR="00F57370" w14:paraId="3FC514DF" w14:textId="77777777" w:rsidTr="00A3028C">
        <w:trPr>
          <w:trHeight w:val="297"/>
          <w:tblHeader/>
        </w:trPr>
        <w:tc>
          <w:tcPr>
            <w:tcW w:w="921" w:type="pct"/>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326144C0" w14:textId="77777777" w:rsidR="00F57370" w:rsidRDefault="00F57370">
            <w:pPr>
              <w:jc w:val="center"/>
              <w:rPr>
                <w:rFonts w:ascii="Arial" w:hAnsi="Arial" w:cs="Arial"/>
                <w:b/>
                <w:bCs/>
                <w:sz w:val="20"/>
                <w:szCs w:val="20"/>
              </w:rPr>
            </w:pPr>
            <w:r>
              <w:rPr>
                <w:rFonts w:ascii="Arial" w:hAnsi="Arial" w:cs="Arial"/>
                <w:b/>
                <w:bCs/>
                <w:sz w:val="20"/>
                <w:szCs w:val="20"/>
              </w:rPr>
              <w:t>RUBRO PRESUPUESTAL</w:t>
            </w:r>
          </w:p>
        </w:tc>
        <w:tc>
          <w:tcPr>
            <w:tcW w:w="811" w:type="pct"/>
            <w:tcBorders>
              <w:top w:val="single" w:sz="8" w:space="0" w:color="auto"/>
              <w:left w:val="nil"/>
              <w:bottom w:val="single" w:sz="8" w:space="0" w:color="auto"/>
              <w:right w:val="single" w:sz="8" w:space="0" w:color="auto"/>
            </w:tcBorders>
            <w:shd w:val="clear" w:color="auto" w:fill="4F81BD" w:themeFill="accent1"/>
            <w:vAlign w:val="center"/>
            <w:hideMark/>
          </w:tcPr>
          <w:p w14:paraId="58975769" w14:textId="77777777" w:rsidR="00F57370" w:rsidRDefault="00F57370">
            <w:pPr>
              <w:jc w:val="center"/>
              <w:rPr>
                <w:rFonts w:ascii="Arial" w:hAnsi="Arial" w:cs="Arial"/>
                <w:b/>
                <w:bCs/>
                <w:sz w:val="20"/>
                <w:szCs w:val="20"/>
              </w:rPr>
            </w:pPr>
            <w:r>
              <w:rPr>
                <w:rFonts w:ascii="Arial" w:hAnsi="Arial" w:cs="Arial"/>
                <w:b/>
                <w:bCs/>
                <w:sz w:val="20"/>
                <w:szCs w:val="20"/>
              </w:rPr>
              <w:t>APROPIACION</w:t>
            </w:r>
          </w:p>
        </w:tc>
        <w:tc>
          <w:tcPr>
            <w:tcW w:w="811" w:type="pct"/>
            <w:tcBorders>
              <w:top w:val="single" w:sz="8" w:space="0" w:color="auto"/>
              <w:left w:val="nil"/>
              <w:bottom w:val="single" w:sz="8" w:space="0" w:color="auto"/>
              <w:right w:val="single" w:sz="8" w:space="0" w:color="auto"/>
            </w:tcBorders>
            <w:shd w:val="clear" w:color="auto" w:fill="4F81BD" w:themeFill="accent1"/>
            <w:vAlign w:val="center"/>
            <w:hideMark/>
          </w:tcPr>
          <w:p w14:paraId="410132EF" w14:textId="77777777" w:rsidR="00F57370" w:rsidRDefault="00F57370">
            <w:pPr>
              <w:jc w:val="center"/>
              <w:rPr>
                <w:rFonts w:ascii="Arial" w:hAnsi="Arial" w:cs="Arial"/>
                <w:b/>
                <w:bCs/>
                <w:sz w:val="20"/>
                <w:szCs w:val="20"/>
              </w:rPr>
            </w:pPr>
            <w:r>
              <w:rPr>
                <w:rFonts w:ascii="Arial" w:hAnsi="Arial" w:cs="Arial"/>
                <w:b/>
                <w:bCs/>
                <w:sz w:val="20"/>
                <w:szCs w:val="20"/>
              </w:rPr>
              <w:t>COMPROMISO</w:t>
            </w:r>
          </w:p>
        </w:tc>
        <w:tc>
          <w:tcPr>
            <w:tcW w:w="290" w:type="pct"/>
            <w:tcBorders>
              <w:top w:val="single" w:sz="8" w:space="0" w:color="auto"/>
              <w:left w:val="nil"/>
              <w:bottom w:val="single" w:sz="8" w:space="0" w:color="auto"/>
              <w:right w:val="single" w:sz="8" w:space="0" w:color="auto"/>
            </w:tcBorders>
            <w:shd w:val="clear" w:color="auto" w:fill="4F81BD" w:themeFill="accent1"/>
            <w:vAlign w:val="center"/>
            <w:hideMark/>
          </w:tcPr>
          <w:p w14:paraId="660BC1DB" w14:textId="77777777" w:rsidR="00F57370" w:rsidRDefault="00F57370">
            <w:pPr>
              <w:jc w:val="center"/>
              <w:rPr>
                <w:rFonts w:ascii="Arial" w:hAnsi="Arial" w:cs="Arial"/>
                <w:b/>
                <w:bCs/>
                <w:sz w:val="20"/>
                <w:szCs w:val="20"/>
              </w:rPr>
            </w:pPr>
            <w:r>
              <w:rPr>
                <w:rFonts w:ascii="Arial" w:hAnsi="Arial" w:cs="Arial"/>
                <w:b/>
                <w:bCs/>
                <w:sz w:val="20"/>
                <w:szCs w:val="20"/>
              </w:rPr>
              <w:t>%</w:t>
            </w:r>
          </w:p>
        </w:tc>
        <w:tc>
          <w:tcPr>
            <w:tcW w:w="880" w:type="pct"/>
            <w:tcBorders>
              <w:top w:val="single" w:sz="8" w:space="0" w:color="auto"/>
              <w:left w:val="nil"/>
              <w:bottom w:val="single" w:sz="8" w:space="0" w:color="auto"/>
              <w:right w:val="single" w:sz="8" w:space="0" w:color="auto"/>
            </w:tcBorders>
            <w:shd w:val="clear" w:color="auto" w:fill="4F81BD" w:themeFill="accent1"/>
            <w:vAlign w:val="center"/>
            <w:hideMark/>
          </w:tcPr>
          <w:p w14:paraId="6C18CFE3" w14:textId="77777777" w:rsidR="00F57370" w:rsidRDefault="00F57370">
            <w:pPr>
              <w:jc w:val="center"/>
              <w:rPr>
                <w:rFonts w:ascii="Arial" w:hAnsi="Arial" w:cs="Arial"/>
                <w:b/>
                <w:bCs/>
                <w:sz w:val="20"/>
                <w:szCs w:val="20"/>
              </w:rPr>
            </w:pPr>
            <w:r>
              <w:rPr>
                <w:rFonts w:ascii="Arial" w:hAnsi="Arial" w:cs="Arial"/>
                <w:b/>
                <w:bCs/>
                <w:sz w:val="20"/>
                <w:szCs w:val="20"/>
              </w:rPr>
              <w:t>OBLIGACIONES</w:t>
            </w:r>
          </w:p>
        </w:tc>
        <w:tc>
          <w:tcPr>
            <w:tcW w:w="414" w:type="pct"/>
            <w:tcBorders>
              <w:top w:val="single" w:sz="8" w:space="0" w:color="auto"/>
              <w:left w:val="nil"/>
              <w:bottom w:val="single" w:sz="8" w:space="0" w:color="auto"/>
              <w:right w:val="single" w:sz="8" w:space="0" w:color="auto"/>
            </w:tcBorders>
            <w:shd w:val="clear" w:color="auto" w:fill="4F81BD" w:themeFill="accent1"/>
            <w:vAlign w:val="center"/>
            <w:hideMark/>
          </w:tcPr>
          <w:p w14:paraId="0EEC35CC" w14:textId="77777777" w:rsidR="00F57370" w:rsidRDefault="00F57370">
            <w:pPr>
              <w:jc w:val="center"/>
              <w:rPr>
                <w:rFonts w:ascii="Arial" w:hAnsi="Arial" w:cs="Arial"/>
                <w:b/>
                <w:bCs/>
                <w:sz w:val="20"/>
                <w:szCs w:val="20"/>
              </w:rPr>
            </w:pPr>
            <w:r>
              <w:rPr>
                <w:rFonts w:ascii="Arial" w:hAnsi="Arial" w:cs="Arial"/>
                <w:b/>
                <w:bCs/>
                <w:sz w:val="20"/>
                <w:szCs w:val="20"/>
              </w:rPr>
              <w:t>%</w:t>
            </w:r>
          </w:p>
        </w:tc>
        <w:tc>
          <w:tcPr>
            <w:tcW w:w="470" w:type="pct"/>
            <w:tcBorders>
              <w:top w:val="single" w:sz="8" w:space="0" w:color="auto"/>
              <w:left w:val="nil"/>
              <w:bottom w:val="single" w:sz="8" w:space="0" w:color="auto"/>
              <w:right w:val="single" w:sz="8" w:space="0" w:color="auto"/>
            </w:tcBorders>
            <w:shd w:val="clear" w:color="auto" w:fill="4F81BD" w:themeFill="accent1"/>
            <w:vAlign w:val="center"/>
            <w:hideMark/>
          </w:tcPr>
          <w:p w14:paraId="16D89007" w14:textId="77777777" w:rsidR="00F57370" w:rsidRDefault="00F57370">
            <w:pPr>
              <w:jc w:val="center"/>
              <w:rPr>
                <w:rFonts w:ascii="Arial" w:hAnsi="Arial" w:cs="Arial"/>
                <w:b/>
                <w:bCs/>
                <w:sz w:val="20"/>
                <w:szCs w:val="20"/>
              </w:rPr>
            </w:pPr>
            <w:r>
              <w:rPr>
                <w:rFonts w:ascii="Arial" w:hAnsi="Arial" w:cs="Arial"/>
                <w:b/>
                <w:bCs/>
                <w:sz w:val="20"/>
                <w:szCs w:val="20"/>
              </w:rPr>
              <w:t>PAGO</w:t>
            </w:r>
          </w:p>
        </w:tc>
        <w:tc>
          <w:tcPr>
            <w:tcW w:w="404" w:type="pct"/>
            <w:tcBorders>
              <w:top w:val="single" w:sz="8" w:space="0" w:color="auto"/>
              <w:left w:val="nil"/>
              <w:bottom w:val="single" w:sz="8" w:space="0" w:color="auto"/>
              <w:right w:val="single" w:sz="8" w:space="0" w:color="auto"/>
            </w:tcBorders>
            <w:shd w:val="clear" w:color="auto" w:fill="4F81BD" w:themeFill="accent1"/>
            <w:vAlign w:val="center"/>
            <w:hideMark/>
          </w:tcPr>
          <w:p w14:paraId="0D1A29DF" w14:textId="77777777" w:rsidR="00F57370" w:rsidRDefault="00F57370">
            <w:pPr>
              <w:jc w:val="center"/>
              <w:rPr>
                <w:rFonts w:ascii="Arial" w:hAnsi="Arial" w:cs="Arial"/>
                <w:b/>
                <w:bCs/>
                <w:sz w:val="20"/>
                <w:szCs w:val="20"/>
              </w:rPr>
            </w:pPr>
            <w:r>
              <w:rPr>
                <w:rFonts w:ascii="Arial" w:hAnsi="Arial" w:cs="Arial"/>
                <w:b/>
                <w:bCs/>
                <w:sz w:val="20"/>
                <w:szCs w:val="20"/>
              </w:rPr>
              <w:t>%</w:t>
            </w:r>
          </w:p>
        </w:tc>
      </w:tr>
      <w:tr w:rsidR="00F57370" w14:paraId="63B38F01" w14:textId="77777777" w:rsidTr="008B5E15">
        <w:trPr>
          <w:trHeight w:val="438"/>
        </w:trPr>
        <w:tc>
          <w:tcPr>
            <w:tcW w:w="921" w:type="pct"/>
            <w:vMerge w:val="restart"/>
            <w:tcBorders>
              <w:top w:val="nil"/>
              <w:left w:val="single" w:sz="8" w:space="0" w:color="auto"/>
              <w:bottom w:val="single" w:sz="8" w:space="0" w:color="000000"/>
              <w:right w:val="single" w:sz="8" w:space="0" w:color="auto"/>
            </w:tcBorders>
            <w:vAlign w:val="center"/>
            <w:hideMark/>
          </w:tcPr>
          <w:p w14:paraId="06BE8615" w14:textId="77777777" w:rsidR="00F57370" w:rsidRDefault="00F57370">
            <w:pPr>
              <w:rPr>
                <w:rFonts w:ascii="Arial" w:hAnsi="Arial" w:cs="Arial"/>
                <w:color w:val="333333"/>
                <w:sz w:val="18"/>
                <w:szCs w:val="18"/>
              </w:rPr>
            </w:pPr>
            <w:r>
              <w:rPr>
                <w:rFonts w:ascii="Arial" w:hAnsi="Arial" w:cs="Arial"/>
                <w:color w:val="333333"/>
                <w:sz w:val="18"/>
                <w:szCs w:val="18"/>
              </w:rPr>
              <w:t>Adquisición de Información</w:t>
            </w:r>
          </w:p>
        </w:tc>
        <w:tc>
          <w:tcPr>
            <w:tcW w:w="811" w:type="pct"/>
            <w:vMerge w:val="restart"/>
            <w:tcBorders>
              <w:top w:val="nil"/>
              <w:left w:val="single" w:sz="8" w:space="0" w:color="auto"/>
              <w:bottom w:val="single" w:sz="8" w:space="0" w:color="000000"/>
              <w:right w:val="single" w:sz="8" w:space="0" w:color="auto"/>
            </w:tcBorders>
            <w:vAlign w:val="center"/>
            <w:hideMark/>
          </w:tcPr>
          <w:p w14:paraId="562A89A7" w14:textId="77777777" w:rsidR="00F57370" w:rsidRDefault="00F57370">
            <w:pPr>
              <w:jc w:val="right"/>
              <w:rPr>
                <w:rFonts w:ascii="Arial" w:hAnsi="Arial" w:cs="Arial"/>
                <w:color w:val="333333"/>
                <w:sz w:val="18"/>
                <w:szCs w:val="18"/>
              </w:rPr>
            </w:pPr>
            <w:r>
              <w:rPr>
                <w:rFonts w:ascii="Arial" w:hAnsi="Arial" w:cs="Arial"/>
                <w:color w:val="333333"/>
                <w:sz w:val="18"/>
                <w:szCs w:val="18"/>
              </w:rPr>
              <w:t>$ 15.813</w:t>
            </w:r>
          </w:p>
        </w:tc>
        <w:tc>
          <w:tcPr>
            <w:tcW w:w="811" w:type="pct"/>
            <w:vMerge w:val="restart"/>
            <w:tcBorders>
              <w:top w:val="nil"/>
              <w:left w:val="single" w:sz="8" w:space="0" w:color="auto"/>
              <w:bottom w:val="single" w:sz="8" w:space="0" w:color="000000"/>
              <w:right w:val="single" w:sz="8" w:space="0" w:color="auto"/>
            </w:tcBorders>
            <w:vAlign w:val="center"/>
            <w:hideMark/>
          </w:tcPr>
          <w:p w14:paraId="38EFA416" w14:textId="77777777" w:rsidR="00F57370" w:rsidRDefault="00F57370">
            <w:pPr>
              <w:jc w:val="right"/>
              <w:rPr>
                <w:rFonts w:ascii="Arial" w:hAnsi="Arial" w:cs="Arial"/>
                <w:color w:val="333333"/>
                <w:sz w:val="18"/>
                <w:szCs w:val="18"/>
              </w:rPr>
            </w:pPr>
            <w:r>
              <w:rPr>
                <w:rFonts w:ascii="Arial" w:hAnsi="Arial" w:cs="Arial"/>
                <w:color w:val="333333"/>
                <w:sz w:val="18"/>
                <w:szCs w:val="18"/>
              </w:rPr>
              <w:t>$ 14.608</w:t>
            </w:r>
          </w:p>
        </w:tc>
        <w:tc>
          <w:tcPr>
            <w:tcW w:w="290" w:type="pct"/>
            <w:vMerge w:val="restart"/>
            <w:tcBorders>
              <w:top w:val="nil"/>
              <w:left w:val="single" w:sz="8" w:space="0" w:color="auto"/>
              <w:bottom w:val="single" w:sz="8" w:space="0" w:color="000000"/>
              <w:right w:val="single" w:sz="8" w:space="0" w:color="auto"/>
            </w:tcBorders>
            <w:vAlign w:val="center"/>
            <w:hideMark/>
          </w:tcPr>
          <w:p w14:paraId="5C76A05B" w14:textId="77777777" w:rsidR="00F57370" w:rsidRDefault="00F57370">
            <w:pPr>
              <w:jc w:val="center"/>
              <w:rPr>
                <w:rFonts w:ascii="Arial" w:hAnsi="Arial" w:cs="Arial"/>
                <w:color w:val="333333"/>
                <w:sz w:val="18"/>
                <w:szCs w:val="18"/>
              </w:rPr>
            </w:pPr>
            <w:r>
              <w:rPr>
                <w:rFonts w:ascii="Arial" w:hAnsi="Arial" w:cs="Arial"/>
                <w:color w:val="333333"/>
                <w:sz w:val="18"/>
                <w:szCs w:val="18"/>
              </w:rPr>
              <w:t>92%</w:t>
            </w:r>
          </w:p>
        </w:tc>
        <w:tc>
          <w:tcPr>
            <w:tcW w:w="880" w:type="pct"/>
            <w:vMerge w:val="restart"/>
            <w:tcBorders>
              <w:top w:val="nil"/>
              <w:left w:val="single" w:sz="8" w:space="0" w:color="auto"/>
              <w:bottom w:val="single" w:sz="8" w:space="0" w:color="000000"/>
              <w:right w:val="single" w:sz="8" w:space="0" w:color="auto"/>
            </w:tcBorders>
            <w:vAlign w:val="center"/>
            <w:hideMark/>
          </w:tcPr>
          <w:p w14:paraId="4DF29E05"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414" w:type="pct"/>
            <w:vMerge w:val="restart"/>
            <w:tcBorders>
              <w:top w:val="nil"/>
              <w:left w:val="single" w:sz="8" w:space="0" w:color="auto"/>
              <w:bottom w:val="single" w:sz="8" w:space="0" w:color="000000"/>
              <w:right w:val="single" w:sz="8" w:space="0" w:color="auto"/>
            </w:tcBorders>
            <w:vAlign w:val="center"/>
            <w:hideMark/>
          </w:tcPr>
          <w:p w14:paraId="6FA51349"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c>
          <w:tcPr>
            <w:tcW w:w="470" w:type="pct"/>
            <w:vMerge w:val="restart"/>
            <w:tcBorders>
              <w:top w:val="nil"/>
              <w:left w:val="single" w:sz="8" w:space="0" w:color="auto"/>
              <w:bottom w:val="single" w:sz="8" w:space="0" w:color="000000"/>
              <w:right w:val="single" w:sz="8" w:space="0" w:color="auto"/>
            </w:tcBorders>
            <w:vAlign w:val="center"/>
            <w:hideMark/>
          </w:tcPr>
          <w:p w14:paraId="2AE1BFD2"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404" w:type="pct"/>
            <w:vMerge w:val="restart"/>
            <w:tcBorders>
              <w:top w:val="nil"/>
              <w:left w:val="single" w:sz="8" w:space="0" w:color="auto"/>
              <w:bottom w:val="single" w:sz="8" w:space="0" w:color="000000"/>
              <w:right w:val="single" w:sz="8" w:space="0" w:color="auto"/>
            </w:tcBorders>
            <w:vAlign w:val="center"/>
            <w:hideMark/>
          </w:tcPr>
          <w:p w14:paraId="3188AF23"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r>
      <w:tr w:rsidR="00F57370" w14:paraId="577C6815" w14:textId="77777777" w:rsidTr="008B5E15">
        <w:trPr>
          <w:trHeight w:val="509"/>
        </w:trPr>
        <w:tc>
          <w:tcPr>
            <w:tcW w:w="0" w:type="auto"/>
            <w:vMerge/>
            <w:tcBorders>
              <w:top w:val="nil"/>
              <w:left w:val="single" w:sz="8" w:space="0" w:color="auto"/>
              <w:bottom w:val="single" w:sz="8" w:space="0" w:color="000000"/>
              <w:right w:val="single" w:sz="8" w:space="0" w:color="auto"/>
            </w:tcBorders>
            <w:vAlign w:val="center"/>
            <w:hideMark/>
          </w:tcPr>
          <w:p w14:paraId="7A820987"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9B47D05"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C2D281F"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7B68F809"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5007C1E"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7EA62E56"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84C9639" w14:textId="77777777" w:rsidR="00F57370" w:rsidRDefault="00F57370">
            <w:pPr>
              <w:rPr>
                <w:rFonts w:ascii="Arial" w:hAnsi="Arial" w:cs="Arial"/>
                <w:color w:val="333333"/>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D2BE1A6" w14:textId="77777777" w:rsidR="00F57370" w:rsidRDefault="00F57370">
            <w:pPr>
              <w:rPr>
                <w:rFonts w:ascii="Arial" w:hAnsi="Arial" w:cs="Arial"/>
                <w:color w:val="333333"/>
                <w:sz w:val="18"/>
                <w:szCs w:val="18"/>
              </w:rPr>
            </w:pPr>
          </w:p>
        </w:tc>
      </w:tr>
      <w:tr w:rsidR="00F57370" w14:paraId="24CC3118" w14:textId="77777777" w:rsidTr="008B5E15">
        <w:trPr>
          <w:trHeight w:val="297"/>
        </w:trPr>
        <w:tc>
          <w:tcPr>
            <w:tcW w:w="921" w:type="pct"/>
            <w:tcBorders>
              <w:top w:val="nil"/>
              <w:left w:val="single" w:sz="8" w:space="0" w:color="auto"/>
              <w:bottom w:val="single" w:sz="8" w:space="0" w:color="auto"/>
              <w:right w:val="single" w:sz="8" w:space="0" w:color="auto"/>
            </w:tcBorders>
            <w:vAlign w:val="center"/>
            <w:hideMark/>
          </w:tcPr>
          <w:p w14:paraId="5AB1D21B" w14:textId="77777777" w:rsidR="00F57370" w:rsidRDefault="00F57370">
            <w:pPr>
              <w:rPr>
                <w:rFonts w:ascii="Arial" w:hAnsi="Arial" w:cs="Arial"/>
                <w:color w:val="333333"/>
                <w:sz w:val="18"/>
                <w:szCs w:val="18"/>
              </w:rPr>
            </w:pPr>
            <w:r>
              <w:rPr>
                <w:rFonts w:ascii="Arial" w:hAnsi="Arial" w:cs="Arial"/>
                <w:color w:val="333333"/>
                <w:sz w:val="18"/>
                <w:szCs w:val="18"/>
              </w:rPr>
              <w:t>Adquisición de Información</w:t>
            </w:r>
          </w:p>
        </w:tc>
        <w:tc>
          <w:tcPr>
            <w:tcW w:w="811" w:type="pct"/>
            <w:tcBorders>
              <w:top w:val="nil"/>
              <w:left w:val="nil"/>
              <w:bottom w:val="single" w:sz="8" w:space="0" w:color="auto"/>
              <w:right w:val="single" w:sz="8" w:space="0" w:color="auto"/>
            </w:tcBorders>
            <w:vAlign w:val="center"/>
            <w:hideMark/>
          </w:tcPr>
          <w:p w14:paraId="72D645E6" w14:textId="77777777" w:rsidR="00F57370" w:rsidRDefault="00F57370">
            <w:pPr>
              <w:jc w:val="right"/>
              <w:rPr>
                <w:rFonts w:ascii="Arial" w:hAnsi="Arial" w:cs="Arial"/>
                <w:color w:val="333333"/>
                <w:sz w:val="18"/>
                <w:szCs w:val="18"/>
              </w:rPr>
            </w:pPr>
            <w:r>
              <w:rPr>
                <w:rFonts w:ascii="Arial" w:hAnsi="Arial" w:cs="Arial"/>
                <w:color w:val="333333"/>
                <w:sz w:val="18"/>
                <w:szCs w:val="18"/>
              </w:rPr>
              <w:t>$ 132.940</w:t>
            </w:r>
          </w:p>
        </w:tc>
        <w:tc>
          <w:tcPr>
            <w:tcW w:w="811" w:type="pct"/>
            <w:tcBorders>
              <w:top w:val="nil"/>
              <w:left w:val="nil"/>
              <w:bottom w:val="single" w:sz="8" w:space="0" w:color="auto"/>
              <w:right w:val="single" w:sz="8" w:space="0" w:color="auto"/>
            </w:tcBorders>
            <w:vAlign w:val="center"/>
            <w:hideMark/>
          </w:tcPr>
          <w:p w14:paraId="21447E92" w14:textId="77777777" w:rsidR="00F57370" w:rsidRDefault="00F57370">
            <w:pPr>
              <w:jc w:val="right"/>
              <w:rPr>
                <w:rFonts w:ascii="Arial" w:hAnsi="Arial" w:cs="Arial"/>
                <w:color w:val="333333"/>
                <w:sz w:val="18"/>
                <w:szCs w:val="18"/>
              </w:rPr>
            </w:pPr>
            <w:r>
              <w:rPr>
                <w:rFonts w:ascii="Arial" w:hAnsi="Arial" w:cs="Arial"/>
                <w:color w:val="333333"/>
                <w:sz w:val="18"/>
                <w:szCs w:val="18"/>
              </w:rPr>
              <w:t>$ 55.188</w:t>
            </w:r>
          </w:p>
        </w:tc>
        <w:tc>
          <w:tcPr>
            <w:tcW w:w="290" w:type="pct"/>
            <w:tcBorders>
              <w:top w:val="nil"/>
              <w:left w:val="nil"/>
              <w:bottom w:val="single" w:sz="8" w:space="0" w:color="auto"/>
              <w:right w:val="single" w:sz="8" w:space="0" w:color="auto"/>
            </w:tcBorders>
            <w:vAlign w:val="center"/>
            <w:hideMark/>
          </w:tcPr>
          <w:p w14:paraId="5BB85DCF" w14:textId="77777777" w:rsidR="00F57370" w:rsidRDefault="00F57370">
            <w:pPr>
              <w:jc w:val="center"/>
              <w:rPr>
                <w:rFonts w:ascii="Arial" w:hAnsi="Arial" w:cs="Arial"/>
                <w:color w:val="333333"/>
                <w:sz w:val="18"/>
                <w:szCs w:val="18"/>
              </w:rPr>
            </w:pPr>
            <w:r>
              <w:rPr>
                <w:rFonts w:ascii="Arial" w:hAnsi="Arial" w:cs="Arial"/>
                <w:color w:val="333333"/>
                <w:sz w:val="18"/>
                <w:szCs w:val="18"/>
              </w:rPr>
              <w:t>42%</w:t>
            </w:r>
          </w:p>
        </w:tc>
        <w:tc>
          <w:tcPr>
            <w:tcW w:w="880" w:type="pct"/>
            <w:tcBorders>
              <w:top w:val="nil"/>
              <w:left w:val="nil"/>
              <w:bottom w:val="single" w:sz="8" w:space="0" w:color="auto"/>
              <w:right w:val="single" w:sz="8" w:space="0" w:color="auto"/>
            </w:tcBorders>
            <w:vAlign w:val="center"/>
            <w:hideMark/>
          </w:tcPr>
          <w:p w14:paraId="4AF3C5EF" w14:textId="77777777" w:rsidR="00F57370" w:rsidRDefault="00F57370">
            <w:pPr>
              <w:jc w:val="right"/>
              <w:rPr>
                <w:rFonts w:ascii="Arial" w:hAnsi="Arial" w:cs="Arial"/>
                <w:color w:val="333333"/>
                <w:sz w:val="18"/>
                <w:szCs w:val="18"/>
              </w:rPr>
            </w:pPr>
            <w:r>
              <w:rPr>
                <w:rFonts w:ascii="Arial" w:hAnsi="Arial" w:cs="Arial"/>
                <w:color w:val="333333"/>
                <w:sz w:val="18"/>
                <w:szCs w:val="18"/>
              </w:rPr>
              <w:t>$ 11.469</w:t>
            </w:r>
          </w:p>
        </w:tc>
        <w:tc>
          <w:tcPr>
            <w:tcW w:w="414" w:type="pct"/>
            <w:tcBorders>
              <w:top w:val="nil"/>
              <w:left w:val="nil"/>
              <w:bottom w:val="single" w:sz="8" w:space="0" w:color="auto"/>
              <w:right w:val="single" w:sz="8" w:space="0" w:color="auto"/>
            </w:tcBorders>
            <w:vAlign w:val="center"/>
            <w:hideMark/>
          </w:tcPr>
          <w:p w14:paraId="04FD45B5" w14:textId="77777777" w:rsidR="00F57370" w:rsidRDefault="00F57370">
            <w:pPr>
              <w:jc w:val="center"/>
              <w:rPr>
                <w:rFonts w:ascii="Arial" w:hAnsi="Arial" w:cs="Arial"/>
                <w:color w:val="333333"/>
                <w:sz w:val="18"/>
                <w:szCs w:val="18"/>
              </w:rPr>
            </w:pPr>
            <w:r>
              <w:rPr>
                <w:rFonts w:ascii="Arial" w:hAnsi="Arial" w:cs="Arial"/>
                <w:color w:val="333333"/>
                <w:sz w:val="18"/>
                <w:szCs w:val="18"/>
              </w:rPr>
              <w:t>9%</w:t>
            </w:r>
          </w:p>
        </w:tc>
        <w:tc>
          <w:tcPr>
            <w:tcW w:w="470" w:type="pct"/>
            <w:tcBorders>
              <w:top w:val="nil"/>
              <w:left w:val="nil"/>
              <w:bottom w:val="single" w:sz="8" w:space="0" w:color="auto"/>
              <w:right w:val="single" w:sz="8" w:space="0" w:color="auto"/>
            </w:tcBorders>
            <w:vAlign w:val="center"/>
            <w:hideMark/>
          </w:tcPr>
          <w:p w14:paraId="0367E91B" w14:textId="77777777" w:rsidR="00F57370" w:rsidRDefault="00F57370">
            <w:pPr>
              <w:jc w:val="right"/>
              <w:rPr>
                <w:rFonts w:ascii="Arial" w:hAnsi="Arial" w:cs="Arial"/>
                <w:color w:val="333333"/>
                <w:sz w:val="18"/>
                <w:szCs w:val="18"/>
              </w:rPr>
            </w:pPr>
            <w:r>
              <w:rPr>
                <w:rFonts w:ascii="Arial" w:hAnsi="Arial" w:cs="Arial"/>
                <w:color w:val="333333"/>
                <w:sz w:val="18"/>
                <w:szCs w:val="18"/>
              </w:rPr>
              <w:t>$ 11.469</w:t>
            </w:r>
          </w:p>
        </w:tc>
        <w:tc>
          <w:tcPr>
            <w:tcW w:w="404" w:type="pct"/>
            <w:tcBorders>
              <w:top w:val="nil"/>
              <w:left w:val="nil"/>
              <w:bottom w:val="single" w:sz="8" w:space="0" w:color="auto"/>
              <w:right w:val="single" w:sz="8" w:space="0" w:color="auto"/>
            </w:tcBorders>
            <w:vAlign w:val="center"/>
            <w:hideMark/>
          </w:tcPr>
          <w:p w14:paraId="446654B3" w14:textId="77777777" w:rsidR="00F57370" w:rsidRDefault="00F57370">
            <w:pPr>
              <w:jc w:val="center"/>
              <w:rPr>
                <w:rFonts w:ascii="Arial" w:hAnsi="Arial" w:cs="Arial"/>
                <w:color w:val="333333"/>
                <w:sz w:val="18"/>
                <w:szCs w:val="18"/>
              </w:rPr>
            </w:pPr>
            <w:r>
              <w:rPr>
                <w:rFonts w:ascii="Arial" w:hAnsi="Arial" w:cs="Arial"/>
                <w:color w:val="333333"/>
                <w:sz w:val="18"/>
                <w:szCs w:val="18"/>
              </w:rPr>
              <w:t>9%</w:t>
            </w:r>
          </w:p>
        </w:tc>
      </w:tr>
      <w:tr w:rsidR="00F57370" w14:paraId="7C73667F" w14:textId="77777777" w:rsidTr="008B5E15">
        <w:trPr>
          <w:trHeight w:val="495"/>
        </w:trPr>
        <w:tc>
          <w:tcPr>
            <w:tcW w:w="921" w:type="pct"/>
            <w:tcBorders>
              <w:top w:val="nil"/>
              <w:left w:val="single" w:sz="8" w:space="0" w:color="auto"/>
              <w:bottom w:val="single" w:sz="8" w:space="0" w:color="auto"/>
              <w:right w:val="single" w:sz="8" w:space="0" w:color="auto"/>
            </w:tcBorders>
            <w:vAlign w:val="center"/>
            <w:hideMark/>
          </w:tcPr>
          <w:p w14:paraId="488425EF" w14:textId="77777777" w:rsidR="00F57370" w:rsidRDefault="00F57370">
            <w:pPr>
              <w:rPr>
                <w:rFonts w:ascii="Arial" w:hAnsi="Arial" w:cs="Arial"/>
                <w:color w:val="333333"/>
                <w:sz w:val="18"/>
                <w:szCs w:val="18"/>
              </w:rPr>
            </w:pPr>
            <w:r>
              <w:rPr>
                <w:rFonts w:ascii="Arial" w:hAnsi="Arial" w:cs="Arial"/>
                <w:color w:val="333333"/>
                <w:sz w:val="18"/>
                <w:szCs w:val="18"/>
              </w:rPr>
              <w:t>Integración de la información técnica.</w:t>
            </w:r>
          </w:p>
        </w:tc>
        <w:tc>
          <w:tcPr>
            <w:tcW w:w="811" w:type="pct"/>
            <w:tcBorders>
              <w:top w:val="nil"/>
              <w:left w:val="nil"/>
              <w:bottom w:val="single" w:sz="8" w:space="0" w:color="auto"/>
              <w:right w:val="single" w:sz="8" w:space="0" w:color="auto"/>
            </w:tcBorders>
            <w:vAlign w:val="center"/>
            <w:hideMark/>
          </w:tcPr>
          <w:p w14:paraId="10B00EDB" w14:textId="77777777" w:rsidR="00F57370" w:rsidRDefault="00F57370">
            <w:pPr>
              <w:jc w:val="right"/>
              <w:rPr>
                <w:rFonts w:ascii="Arial" w:hAnsi="Arial" w:cs="Arial"/>
                <w:color w:val="333333"/>
                <w:sz w:val="18"/>
                <w:szCs w:val="18"/>
              </w:rPr>
            </w:pPr>
            <w:r>
              <w:rPr>
                <w:rFonts w:ascii="Arial" w:hAnsi="Arial" w:cs="Arial"/>
                <w:color w:val="333333"/>
                <w:sz w:val="18"/>
                <w:szCs w:val="18"/>
              </w:rPr>
              <w:t>$ 19.783</w:t>
            </w:r>
          </w:p>
        </w:tc>
        <w:tc>
          <w:tcPr>
            <w:tcW w:w="811" w:type="pct"/>
            <w:tcBorders>
              <w:top w:val="nil"/>
              <w:left w:val="nil"/>
              <w:bottom w:val="single" w:sz="8" w:space="0" w:color="auto"/>
              <w:right w:val="single" w:sz="8" w:space="0" w:color="auto"/>
            </w:tcBorders>
            <w:vAlign w:val="center"/>
            <w:hideMark/>
          </w:tcPr>
          <w:p w14:paraId="4D36908B" w14:textId="77777777" w:rsidR="00F57370" w:rsidRDefault="00F57370">
            <w:pPr>
              <w:jc w:val="right"/>
              <w:rPr>
                <w:rFonts w:ascii="Arial" w:hAnsi="Arial" w:cs="Arial"/>
                <w:color w:val="333333"/>
                <w:sz w:val="18"/>
                <w:szCs w:val="18"/>
              </w:rPr>
            </w:pPr>
            <w:r>
              <w:rPr>
                <w:rFonts w:ascii="Arial" w:hAnsi="Arial" w:cs="Arial"/>
                <w:color w:val="333333"/>
                <w:sz w:val="18"/>
                <w:szCs w:val="18"/>
              </w:rPr>
              <w:t>$ 1.068</w:t>
            </w:r>
          </w:p>
        </w:tc>
        <w:tc>
          <w:tcPr>
            <w:tcW w:w="290" w:type="pct"/>
            <w:tcBorders>
              <w:top w:val="nil"/>
              <w:left w:val="nil"/>
              <w:bottom w:val="single" w:sz="8" w:space="0" w:color="auto"/>
              <w:right w:val="single" w:sz="8" w:space="0" w:color="auto"/>
            </w:tcBorders>
            <w:vAlign w:val="center"/>
            <w:hideMark/>
          </w:tcPr>
          <w:p w14:paraId="41540C0C" w14:textId="77777777" w:rsidR="00F57370" w:rsidRDefault="00F57370">
            <w:pPr>
              <w:jc w:val="center"/>
              <w:rPr>
                <w:rFonts w:ascii="Arial" w:hAnsi="Arial" w:cs="Arial"/>
                <w:color w:val="333333"/>
                <w:sz w:val="18"/>
                <w:szCs w:val="18"/>
              </w:rPr>
            </w:pPr>
            <w:r>
              <w:rPr>
                <w:rFonts w:ascii="Arial" w:hAnsi="Arial" w:cs="Arial"/>
                <w:color w:val="333333"/>
                <w:sz w:val="18"/>
                <w:szCs w:val="18"/>
              </w:rPr>
              <w:t>5%</w:t>
            </w:r>
          </w:p>
        </w:tc>
        <w:tc>
          <w:tcPr>
            <w:tcW w:w="880" w:type="pct"/>
            <w:tcBorders>
              <w:top w:val="nil"/>
              <w:left w:val="nil"/>
              <w:bottom w:val="single" w:sz="8" w:space="0" w:color="auto"/>
              <w:right w:val="single" w:sz="8" w:space="0" w:color="auto"/>
            </w:tcBorders>
            <w:vAlign w:val="center"/>
            <w:hideMark/>
          </w:tcPr>
          <w:p w14:paraId="505F033F" w14:textId="77777777" w:rsidR="00F57370" w:rsidRDefault="00F57370">
            <w:pPr>
              <w:jc w:val="right"/>
              <w:rPr>
                <w:rFonts w:ascii="Arial" w:hAnsi="Arial" w:cs="Arial"/>
                <w:color w:val="333333"/>
                <w:sz w:val="18"/>
                <w:szCs w:val="18"/>
              </w:rPr>
            </w:pPr>
            <w:r>
              <w:rPr>
                <w:rFonts w:ascii="Arial" w:hAnsi="Arial" w:cs="Arial"/>
                <w:color w:val="333333"/>
                <w:sz w:val="18"/>
                <w:szCs w:val="18"/>
              </w:rPr>
              <w:t>$ 411</w:t>
            </w:r>
          </w:p>
        </w:tc>
        <w:tc>
          <w:tcPr>
            <w:tcW w:w="414" w:type="pct"/>
            <w:tcBorders>
              <w:top w:val="nil"/>
              <w:left w:val="nil"/>
              <w:bottom w:val="single" w:sz="8" w:space="0" w:color="auto"/>
              <w:right w:val="single" w:sz="8" w:space="0" w:color="auto"/>
            </w:tcBorders>
            <w:vAlign w:val="center"/>
            <w:hideMark/>
          </w:tcPr>
          <w:p w14:paraId="680C6E63" w14:textId="77777777" w:rsidR="00F57370" w:rsidRDefault="00F57370">
            <w:pPr>
              <w:jc w:val="center"/>
              <w:rPr>
                <w:rFonts w:ascii="Arial" w:hAnsi="Arial" w:cs="Arial"/>
                <w:color w:val="333333"/>
                <w:sz w:val="18"/>
                <w:szCs w:val="18"/>
              </w:rPr>
            </w:pPr>
            <w:r>
              <w:rPr>
                <w:rFonts w:ascii="Arial" w:hAnsi="Arial" w:cs="Arial"/>
                <w:color w:val="333333"/>
                <w:sz w:val="18"/>
                <w:szCs w:val="18"/>
              </w:rPr>
              <w:t>2%</w:t>
            </w:r>
          </w:p>
        </w:tc>
        <w:tc>
          <w:tcPr>
            <w:tcW w:w="470" w:type="pct"/>
            <w:tcBorders>
              <w:top w:val="nil"/>
              <w:left w:val="nil"/>
              <w:bottom w:val="single" w:sz="8" w:space="0" w:color="auto"/>
              <w:right w:val="single" w:sz="8" w:space="0" w:color="auto"/>
            </w:tcBorders>
            <w:vAlign w:val="center"/>
            <w:hideMark/>
          </w:tcPr>
          <w:p w14:paraId="3FF3B863" w14:textId="77777777" w:rsidR="00F57370" w:rsidRDefault="00F57370">
            <w:pPr>
              <w:jc w:val="right"/>
              <w:rPr>
                <w:rFonts w:ascii="Arial" w:hAnsi="Arial" w:cs="Arial"/>
                <w:color w:val="333333"/>
                <w:sz w:val="18"/>
                <w:szCs w:val="18"/>
              </w:rPr>
            </w:pPr>
            <w:r>
              <w:rPr>
                <w:rFonts w:ascii="Arial" w:hAnsi="Arial" w:cs="Arial"/>
                <w:color w:val="333333"/>
                <w:sz w:val="18"/>
                <w:szCs w:val="18"/>
              </w:rPr>
              <w:t>$ 407</w:t>
            </w:r>
          </w:p>
        </w:tc>
        <w:tc>
          <w:tcPr>
            <w:tcW w:w="404" w:type="pct"/>
            <w:tcBorders>
              <w:top w:val="nil"/>
              <w:left w:val="nil"/>
              <w:bottom w:val="single" w:sz="8" w:space="0" w:color="auto"/>
              <w:right w:val="single" w:sz="8" w:space="0" w:color="auto"/>
            </w:tcBorders>
            <w:vAlign w:val="center"/>
            <w:hideMark/>
          </w:tcPr>
          <w:p w14:paraId="03F58170" w14:textId="77777777" w:rsidR="00F57370" w:rsidRDefault="00F57370">
            <w:pPr>
              <w:jc w:val="center"/>
              <w:rPr>
                <w:rFonts w:ascii="Arial" w:hAnsi="Arial" w:cs="Arial"/>
                <w:color w:val="333333"/>
                <w:sz w:val="18"/>
                <w:szCs w:val="18"/>
              </w:rPr>
            </w:pPr>
            <w:r>
              <w:rPr>
                <w:rFonts w:ascii="Arial" w:hAnsi="Arial" w:cs="Arial"/>
                <w:color w:val="333333"/>
                <w:sz w:val="18"/>
                <w:szCs w:val="18"/>
              </w:rPr>
              <w:t>2%</w:t>
            </w:r>
          </w:p>
        </w:tc>
      </w:tr>
      <w:tr w:rsidR="00F57370" w14:paraId="679B9AD4" w14:textId="77777777" w:rsidTr="008B5E15">
        <w:trPr>
          <w:trHeight w:val="495"/>
        </w:trPr>
        <w:tc>
          <w:tcPr>
            <w:tcW w:w="921" w:type="pct"/>
            <w:tcBorders>
              <w:top w:val="nil"/>
              <w:left w:val="single" w:sz="8" w:space="0" w:color="auto"/>
              <w:bottom w:val="single" w:sz="8" w:space="0" w:color="auto"/>
              <w:right w:val="single" w:sz="8" w:space="0" w:color="auto"/>
            </w:tcBorders>
            <w:vAlign w:val="center"/>
            <w:hideMark/>
          </w:tcPr>
          <w:p w14:paraId="72301AE8" w14:textId="77777777" w:rsidR="00F57370" w:rsidRDefault="00F57370">
            <w:pPr>
              <w:rPr>
                <w:rFonts w:ascii="Arial" w:hAnsi="Arial" w:cs="Arial"/>
                <w:color w:val="333333"/>
                <w:sz w:val="18"/>
                <w:szCs w:val="18"/>
              </w:rPr>
            </w:pPr>
            <w:r>
              <w:rPr>
                <w:rFonts w:ascii="Arial" w:hAnsi="Arial" w:cs="Arial"/>
                <w:color w:val="333333"/>
                <w:sz w:val="18"/>
                <w:szCs w:val="18"/>
              </w:rPr>
              <w:t>Mejoramiento de la Información Técnica</w:t>
            </w:r>
          </w:p>
        </w:tc>
        <w:tc>
          <w:tcPr>
            <w:tcW w:w="811" w:type="pct"/>
            <w:tcBorders>
              <w:top w:val="nil"/>
              <w:left w:val="nil"/>
              <w:bottom w:val="single" w:sz="8" w:space="0" w:color="auto"/>
              <w:right w:val="single" w:sz="8" w:space="0" w:color="auto"/>
            </w:tcBorders>
            <w:vAlign w:val="center"/>
            <w:hideMark/>
          </w:tcPr>
          <w:p w14:paraId="3A853164" w14:textId="77777777" w:rsidR="00F57370" w:rsidRDefault="00F57370">
            <w:pPr>
              <w:jc w:val="right"/>
              <w:rPr>
                <w:rFonts w:ascii="Arial" w:hAnsi="Arial" w:cs="Arial"/>
                <w:color w:val="333333"/>
                <w:sz w:val="18"/>
                <w:szCs w:val="18"/>
              </w:rPr>
            </w:pPr>
            <w:r>
              <w:rPr>
                <w:rFonts w:ascii="Arial" w:hAnsi="Arial" w:cs="Arial"/>
                <w:color w:val="333333"/>
                <w:sz w:val="18"/>
                <w:szCs w:val="18"/>
              </w:rPr>
              <w:t>$ 17.719</w:t>
            </w:r>
          </w:p>
        </w:tc>
        <w:tc>
          <w:tcPr>
            <w:tcW w:w="811" w:type="pct"/>
            <w:tcBorders>
              <w:top w:val="nil"/>
              <w:left w:val="nil"/>
              <w:bottom w:val="single" w:sz="8" w:space="0" w:color="auto"/>
              <w:right w:val="single" w:sz="8" w:space="0" w:color="auto"/>
            </w:tcBorders>
            <w:vAlign w:val="center"/>
            <w:hideMark/>
          </w:tcPr>
          <w:p w14:paraId="22C48D97"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290" w:type="pct"/>
            <w:tcBorders>
              <w:top w:val="nil"/>
              <w:left w:val="nil"/>
              <w:bottom w:val="single" w:sz="8" w:space="0" w:color="auto"/>
              <w:right w:val="single" w:sz="8" w:space="0" w:color="auto"/>
            </w:tcBorders>
            <w:vAlign w:val="center"/>
            <w:hideMark/>
          </w:tcPr>
          <w:p w14:paraId="69789F89"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c>
          <w:tcPr>
            <w:tcW w:w="880" w:type="pct"/>
            <w:tcBorders>
              <w:top w:val="nil"/>
              <w:left w:val="nil"/>
              <w:bottom w:val="single" w:sz="8" w:space="0" w:color="auto"/>
              <w:right w:val="single" w:sz="8" w:space="0" w:color="auto"/>
            </w:tcBorders>
            <w:vAlign w:val="center"/>
            <w:hideMark/>
          </w:tcPr>
          <w:p w14:paraId="538D4820"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414" w:type="pct"/>
            <w:tcBorders>
              <w:top w:val="nil"/>
              <w:left w:val="nil"/>
              <w:bottom w:val="single" w:sz="8" w:space="0" w:color="auto"/>
              <w:right w:val="single" w:sz="8" w:space="0" w:color="auto"/>
            </w:tcBorders>
            <w:vAlign w:val="center"/>
            <w:hideMark/>
          </w:tcPr>
          <w:p w14:paraId="6E14C90A"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c>
          <w:tcPr>
            <w:tcW w:w="470" w:type="pct"/>
            <w:tcBorders>
              <w:top w:val="nil"/>
              <w:left w:val="nil"/>
              <w:bottom w:val="single" w:sz="8" w:space="0" w:color="auto"/>
              <w:right w:val="single" w:sz="8" w:space="0" w:color="auto"/>
            </w:tcBorders>
            <w:vAlign w:val="center"/>
            <w:hideMark/>
          </w:tcPr>
          <w:p w14:paraId="2E718789"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404" w:type="pct"/>
            <w:tcBorders>
              <w:top w:val="nil"/>
              <w:left w:val="nil"/>
              <w:bottom w:val="single" w:sz="8" w:space="0" w:color="auto"/>
              <w:right w:val="single" w:sz="8" w:space="0" w:color="auto"/>
            </w:tcBorders>
            <w:vAlign w:val="center"/>
            <w:hideMark/>
          </w:tcPr>
          <w:p w14:paraId="546952D5"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r>
      <w:tr w:rsidR="00F57370" w14:paraId="619950B5" w14:textId="77777777" w:rsidTr="008B5E15">
        <w:trPr>
          <w:trHeight w:val="297"/>
        </w:trPr>
        <w:tc>
          <w:tcPr>
            <w:tcW w:w="921" w:type="pct"/>
            <w:tcBorders>
              <w:top w:val="nil"/>
              <w:left w:val="single" w:sz="8" w:space="0" w:color="auto"/>
              <w:bottom w:val="single" w:sz="8" w:space="0" w:color="auto"/>
              <w:right w:val="single" w:sz="8" w:space="0" w:color="auto"/>
            </w:tcBorders>
            <w:noWrap/>
            <w:vAlign w:val="center"/>
            <w:hideMark/>
          </w:tcPr>
          <w:p w14:paraId="578FB4F8" w14:textId="77777777" w:rsidR="00F57370" w:rsidRDefault="00F57370">
            <w:pPr>
              <w:rPr>
                <w:rFonts w:ascii="Arial" w:hAnsi="Arial" w:cs="Arial"/>
                <w:color w:val="000000"/>
                <w:sz w:val="18"/>
                <w:szCs w:val="18"/>
              </w:rPr>
            </w:pPr>
            <w:r>
              <w:rPr>
                <w:rFonts w:ascii="Arial" w:hAnsi="Arial" w:cs="Arial"/>
                <w:sz w:val="18"/>
                <w:szCs w:val="18"/>
              </w:rPr>
              <w:t>4*1000</w:t>
            </w:r>
          </w:p>
        </w:tc>
        <w:tc>
          <w:tcPr>
            <w:tcW w:w="811" w:type="pct"/>
            <w:tcBorders>
              <w:top w:val="nil"/>
              <w:left w:val="nil"/>
              <w:bottom w:val="single" w:sz="8" w:space="0" w:color="auto"/>
              <w:right w:val="single" w:sz="8" w:space="0" w:color="auto"/>
            </w:tcBorders>
            <w:vAlign w:val="center"/>
            <w:hideMark/>
          </w:tcPr>
          <w:p w14:paraId="3F1E74E5" w14:textId="77777777" w:rsidR="00F57370" w:rsidRDefault="00F57370">
            <w:pPr>
              <w:jc w:val="right"/>
              <w:rPr>
                <w:rFonts w:ascii="Arial" w:hAnsi="Arial" w:cs="Arial"/>
                <w:color w:val="333333"/>
                <w:sz w:val="18"/>
                <w:szCs w:val="18"/>
              </w:rPr>
            </w:pPr>
            <w:r>
              <w:rPr>
                <w:rFonts w:ascii="Arial" w:hAnsi="Arial" w:cs="Arial"/>
                <w:color w:val="333333"/>
                <w:sz w:val="18"/>
                <w:szCs w:val="18"/>
              </w:rPr>
              <w:t>$ 745</w:t>
            </w:r>
          </w:p>
        </w:tc>
        <w:tc>
          <w:tcPr>
            <w:tcW w:w="811" w:type="pct"/>
            <w:tcBorders>
              <w:top w:val="nil"/>
              <w:left w:val="nil"/>
              <w:bottom w:val="single" w:sz="8" w:space="0" w:color="auto"/>
              <w:right w:val="single" w:sz="8" w:space="0" w:color="auto"/>
            </w:tcBorders>
            <w:vAlign w:val="center"/>
            <w:hideMark/>
          </w:tcPr>
          <w:p w14:paraId="0E775720"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290" w:type="pct"/>
            <w:tcBorders>
              <w:top w:val="nil"/>
              <w:left w:val="nil"/>
              <w:bottom w:val="single" w:sz="8" w:space="0" w:color="auto"/>
              <w:right w:val="single" w:sz="8" w:space="0" w:color="auto"/>
            </w:tcBorders>
            <w:vAlign w:val="center"/>
            <w:hideMark/>
          </w:tcPr>
          <w:p w14:paraId="1356299D"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c>
          <w:tcPr>
            <w:tcW w:w="880" w:type="pct"/>
            <w:tcBorders>
              <w:top w:val="nil"/>
              <w:left w:val="nil"/>
              <w:bottom w:val="single" w:sz="8" w:space="0" w:color="auto"/>
              <w:right w:val="single" w:sz="8" w:space="0" w:color="auto"/>
            </w:tcBorders>
            <w:vAlign w:val="center"/>
            <w:hideMark/>
          </w:tcPr>
          <w:p w14:paraId="6B872E58"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414" w:type="pct"/>
            <w:tcBorders>
              <w:top w:val="nil"/>
              <w:left w:val="nil"/>
              <w:bottom w:val="single" w:sz="8" w:space="0" w:color="auto"/>
              <w:right w:val="single" w:sz="8" w:space="0" w:color="auto"/>
            </w:tcBorders>
            <w:vAlign w:val="center"/>
            <w:hideMark/>
          </w:tcPr>
          <w:p w14:paraId="3C09DCA8" w14:textId="77777777" w:rsidR="00F57370" w:rsidRDefault="00F57370">
            <w:pPr>
              <w:jc w:val="center"/>
              <w:rPr>
                <w:rFonts w:ascii="Arial" w:hAnsi="Arial" w:cs="Arial"/>
                <w:color w:val="333333"/>
                <w:sz w:val="18"/>
                <w:szCs w:val="18"/>
              </w:rPr>
            </w:pPr>
            <w:r>
              <w:rPr>
                <w:rFonts w:ascii="Arial" w:hAnsi="Arial" w:cs="Arial"/>
                <w:color w:val="333333"/>
                <w:sz w:val="18"/>
                <w:szCs w:val="18"/>
              </w:rPr>
              <w:t>0%</w:t>
            </w:r>
          </w:p>
        </w:tc>
        <w:tc>
          <w:tcPr>
            <w:tcW w:w="470" w:type="pct"/>
            <w:tcBorders>
              <w:top w:val="nil"/>
              <w:left w:val="nil"/>
              <w:bottom w:val="single" w:sz="8" w:space="0" w:color="auto"/>
              <w:right w:val="single" w:sz="8" w:space="0" w:color="auto"/>
            </w:tcBorders>
            <w:vAlign w:val="center"/>
            <w:hideMark/>
          </w:tcPr>
          <w:p w14:paraId="6162E814" w14:textId="77777777" w:rsidR="00F57370" w:rsidRDefault="00F57370">
            <w:pPr>
              <w:jc w:val="right"/>
              <w:rPr>
                <w:rFonts w:ascii="Arial" w:hAnsi="Arial" w:cs="Arial"/>
                <w:color w:val="333333"/>
                <w:sz w:val="18"/>
                <w:szCs w:val="18"/>
              </w:rPr>
            </w:pPr>
            <w:r>
              <w:rPr>
                <w:rFonts w:ascii="Arial" w:hAnsi="Arial" w:cs="Arial"/>
                <w:color w:val="333333"/>
                <w:sz w:val="18"/>
                <w:szCs w:val="18"/>
              </w:rPr>
              <w:t>$ 0</w:t>
            </w:r>
          </w:p>
        </w:tc>
        <w:tc>
          <w:tcPr>
            <w:tcW w:w="404" w:type="pct"/>
            <w:tcBorders>
              <w:top w:val="nil"/>
              <w:left w:val="nil"/>
              <w:bottom w:val="single" w:sz="8" w:space="0" w:color="auto"/>
              <w:right w:val="single" w:sz="8" w:space="0" w:color="auto"/>
            </w:tcBorders>
            <w:vAlign w:val="center"/>
            <w:hideMark/>
          </w:tcPr>
          <w:p w14:paraId="2A6E394F" w14:textId="77777777" w:rsidR="00F57370" w:rsidRDefault="00F57370">
            <w:pPr>
              <w:jc w:val="center"/>
              <w:rPr>
                <w:rFonts w:ascii="Arial" w:hAnsi="Arial" w:cs="Arial"/>
                <w:color w:val="333333"/>
                <w:sz w:val="18"/>
                <w:szCs w:val="18"/>
              </w:rPr>
            </w:pPr>
            <w:r>
              <w:rPr>
                <w:rFonts w:ascii="Arial" w:hAnsi="Arial" w:cs="Arial"/>
                <w:color w:val="333333"/>
                <w:sz w:val="18"/>
                <w:szCs w:val="18"/>
              </w:rPr>
              <w:t>$ 0</w:t>
            </w:r>
          </w:p>
        </w:tc>
      </w:tr>
      <w:tr w:rsidR="00F57370" w:rsidRPr="00F57370" w14:paraId="380CCCE5" w14:textId="77777777" w:rsidTr="008B5E15">
        <w:trPr>
          <w:trHeight w:val="35"/>
        </w:trPr>
        <w:tc>
          <w:tcPr>
            <w:tcW w:w="921" w:type="pct"/>
            <w:tcBorders>
              <w:top w:val="nil"/>
              <w:left w:val="single" w:sz="8" w:space="0" w:color="auto"/>
              <w:bottom w:val="single" w:sz="8" w:space="0" w:color="auto"/>
              <w:right w:val="single" w:sz="8" w:space="0" w:color="auto"/>
            </w:tcBorders>
            <w:shd w:val="clear" w:color="auto" w:fill="4F81BD" w:themeFill="accent1"/>
            <w:vAlign w:val="center"/>
            <w:hideMark/>
          </w:tcPr>
          <w:p w14:paraId="51BA14C2" w14:textId="77777777" w:rsidR="00F57370" w:rsidRPr="00F57370" w:rsidRDefault="00F57370">
            <w:pPr>
              <w:rPr>
                <w:rFonts w:ascii="Arial" w:hAnsi="Arial" w:cs="Arial"/>
                <w:b/>
                <w:bCs/>
                <w:color w:val="000000"/>
                <w:sz w:val="18"/>
                <w:szCs w:val="18"/>
              </w:rPr>
            </w:pPr>
            <w:r w:rsidRPr="00F57370">
              <w:rPr>
                <w:rFonts w:ascii="Arial" w:hAnsi="Arial" w:cs="Arial"/>
                <w:b/>
                <w:bCs/>
                <w:sz w:val="18"/>
                <w:szCs w:val="18"/>
              </w:rPr>
              <w:t>Total a 30 de junio</w:t>
            </w:r>
          </w:p>
        </w:tc>
        <w:tc>
          <w:tcPr>
            <w:tcW w:w="811" w:type="pct"/>
            <w:tcBorders>
              <w:top w:val="nil"/>
              <w:left w:val="nil"/>
              <w:bottom w:val="single" w:sz="8" w:space="0" w:color="auto"/>
              <w:right w:val="single" w:sz="8" w:space="0" w:color="auto"/>
            </w:tcBorders>
            <w:shd w:val="clear" w:color="auto" w:fill="4F81BD" w:themeFill="accent1"/>
            <w:vAlign w:val="center"/>
            <w:hideMark/>
          </w:tcPr>
          <w:p w14:paraId="6ABB2A9E" w14:textId="77777777" w:rsidR="00F57370" w:rsidRPr="00F57370" w:rsidRDefault="00F57370">
            <w:pPr>
              <w:jc w:val="right"/>
              <w:rPr>
                <w:rFonts w:ascii="Arial" w:hAnsi="Arial" w:cs="Arial"/>
                <w:b/>
                <w:bCs/>
                <w:color w:val="333333"/>
                <w:sz w:val="18"/>
                <w:szCs w:val="18"/>
              </w:rPr>
            </w:pPr>
            <w:r w:rsidRPr="00F57370">
              <w:rPr>
                <w:rFonts w:ascii="Arial" w:hAnsi="Arial" w:cs="Arial"/>
                <w:b/>
                <w:bCs/>
                <w:color w:val="333333"/>
                <w:sz w:val="18"/>
                <w:szCs w:val="18"/>
              </w:rPr>
              <w:t>187.000</w:t>
            </w:r>
          </w:p>
        </w:tc>
        <w:tc>
          <w:tcPr>
            <w:tcW w:w="811" w:type="pct"/>
            <w:tcBorders>
              <w:top w:val="nil"/>
              <w:left w:val="nil"/>
              <w:bottom w:val="single" w:sz="8" w:space="0" w:color="auto"/>
              <w:right w:val="single" w:sz="8" w:space="0" w:color="auto"/>
            </w:tcBorders>
            <w:shd w:val="clear" w:color="auto" w:fill="4F81BD" w:themeFill="accent1"/>
            <w:vAlign w:val="center"/>
            <w:hideMark/>
          </w:tcPr>
          <w:p w14:paraId="295EEEEE" w14:textId="77777777" w:rsidR="00F57370" w:rsidRPr="00F57370" w:rsidRDefault="00F57370">
            <w:pPr>
              <w:jc w:val="right"/>
              <w:rPr>
                <w:rFonts w:ascii="Arial" w:hAnsi="Arial" w:cs="Arial"/>
                <w:b/>
                <w:bCs/>
                <w:color w:val="333333"/>
                <w:sz w:val="18"/>
                <w:szCs w:val="18"/>
              </w:rPr>
            </w:pPr>
            <w:r w:rsidRPr="00F57370">
              <w:rPr>
                <w:rFonts w:ascii="Arial" w:hAnsi="Arial" w:cs="Arial"/>
                <w:b/>
                <w:bCs/>
                <w:color w:val="333333"/>
                <w:sz w:val="18"/>
                <w:szCs w:val="18"/>
              </w:rPr>
              <w:t>$ 70.864</w:t>
            </w:r>
          </w:p>
        </w:tc>
        <w:tc>
          <w:tcPr>
            <w:tcW w:w="290" w:type="pct"/>
            <w:tcBorders>
              <w:top w:val="nil"/>
              <w:left w:val="nil"/>
              <w:bottom w:val="single" w:sz="8" w:space="0" w:color="auto"/>
              <w:right w:val="single" w:sz="8" w:space="0" w:color="auto"/>
            </w:tcBorders>
            <w:shd w:val="clear" w:color="auto" w:fill="4F81BD" w:themeFill="accent1"/>
            <w:vAlign w:val="center"/>
            <w:hideMark/>
          </w:tcPr>
          <w:p w14:paraId="3A00D9C8" w14:textId="77777777" w:rsidR="00F57370" w:rsidRPr="00F57370" w:rsidRDefault="00F57370">
            <w:pPr>
              <w:jc w:val="center"/>
              <w:rPr>
                <w:rFonts w:ascii="Arial" w:hAnsi="Arial" w:cs="Arial"/>
                <w:b/>
                <w:bCs/>
                <w:color w:val="333333"/>
                <w:sz w:val="18"/>
                <w:szCs w:val="18"/>
              </w:rPr>
            </w:pPr>
            <w:r w:rsidRPr="00F57370">
              <w:rPr>
                <w:rFonts w:ascii="Arial" w:hAnsi="Arial" w:cs="Arial"/>
                <w:b/>
                <w:bCs/>
                <w:color w:val="333333"/>
                <w:sz w:val="18"/>
                <w:szCs w:val="18"/>
              </w:rPr>
              <w:t>38%</w:t>
            </w:r>
          </w:p>
        </w:tc>
        <w:tc>
          <w:tcPr>
            <w:tcW w:w="880" w:type="pct"/>
            <w:tcBorders>
              <w:top w:val="nil"/>
              <w:left w:val="nil"/>
              <w:bottom w:val="single" w:sz="8" w:space="0" w:color="auto"/>
              <w:right w:val="single" w:sz="8" w:space="0" w:color="auto"/>
            </w:tcBorders>
            <w:shd w:val="clear" w:color="auto" w:fill="4F81BD" w:themeFill="accent1"/>
            <w:vAlign w:val="center"/>
            <w:hideMark/>
          </w:tcPr>
          <w:p w14:paraId="4DAFA5C5" w14:textId="77777777" w:rsidR="00F57370" w:rsidRPr="00F57370" w:rsidRDefault="00F57370">
            <w:pPr>
              <w:jc w:val="right"/>
              <w:rPr>
                <w:rFonts w:ascii="Arial" w:hAnsi="Arial" w:cs="Arial"/>
                <w:b/>
                <w:bCs/>
                <w:color w:val="333333"/>
                <w:sz w:val="18"/>
                <w:szCs w:val="18"/>
              </w:rPr>
            </w:pPr>
            <w:r w:rsidRPr="00F57370">
              <w:rPr>
                <w:rFonts w:ascii="Arial" w:hAnsi="Arial" w:cs="Arial"/>
                <w:b/>
                <w:bCs/>
                <w:color w:val="333333"/>
                <w:sz w:val="18"/>
                <w:szCs w:val="18"/>
              </w:rPr>
              <w:t>$ 11.880</w:t>
            </w:r>
          </w:p>
        </w:tc>
        <w:tc>
          <w:tcPr>
            <w:tcW w:w="414" w:type="pct"/>
            <w:tcBorders>
              <w:top w:val="nil"/>
              <w:left w:val="nil"/>
              <w:bottom w:val="single" w:sz="8" w:space="0" w:color="auto"/>
              <w:right w:val="single" w:sz="8" w:space="0" w:color="auto"/>
            </w:tcBorders>
            <w:shd w:val="clear" w:color="auto" w:fill="4F81BD" w:themeFill="accent1"/>
            <w:vAlign w:val="center"/>
            <w:hideMark/>
          </w:tcPr>
          <w:p w14:paraId="667767C8" w14:textId="77777777" w:rsidR="00F57370" w:rsidRPr="00F57370" w:rsidRDefault="00F57370">
            <w:pPr>
              <w:jc w:val="center"/>
              <w:rPr>
                <w:rFonts w:ascii="Arial" w:hAnsi="Arial" w:cs="Arial"/>
                <w:b/>
                <w:bCs/>
                <w:color w:val="333333"/>
                <w:sz w:val="18"/>
                <w:szCs w:val="18"/>
              </w:rPr>
            </w:pPr>
            <w:r w:rsidRPr="00F57370">
              <w:rPr>
                <w:rFonts w:ascii="Arial" w:hAnsi="Arial" w:cs="Arial"/>
                <w:b/>
                <w:bCs/>
                <w:color w:val="333333"/>
                <w:sz w:val="18"/>
                <w:szCs w:val="18"/>
              </w:rPr>
              <w:t>6,35%</w:t>
            </w:r>
          </w:p>
        </w:tc>
        <w:tc>
          <w:tcPr>
            <w:tcW w:w="470" w:type="pct"/>
            <w:tcBorders>
              <w:top w:val="nil"/>
              <w:left w:val="nil"/>
              <w:bottom w:val="single" w:sz="8" w:space="0" w:color="auto"/>
              <w:right w:val="single" w:sz="8" w:space="0" w:color="auto"/>
            </w:tcBorders>
            <w:shd w:val="clear" w:color="auto" w:fill="4F81BD" w:themeFill="accent1"/>
            <w:vAlign w:val="center"/>
            <w:hideMark/>
          </w:tcPr>
          <w:p w14:paraId="0DD54F1B" w14:textId="77777777" w:rsidR="00F57370" w:rsidRPr="00F57370" w:rsidRDefault="00F57370">
            <w:pPr>
              <w:jc w:val="right"/>
              <w:rPr>
                <w:rFonts w:ascii="Arial" w:hAnsi="Arial" w:cs="Arial"/>
                <w:b/>
                <w:bCs/>
                <w:color w:val="333333"/>
                <w:sz w:val="18"/>
                <w:szCs w:val="18"/>
              </w:rPr>
            </w:pPr>
            <w:r w:rsidRPr="00F57370">
              <w:rPr>
                <w:rFonts w:ascii="Arial" w:hAnsi="Arial" w:cs="Arial"/>
                <w:b/>
                <w:bCs/>
                <w:color w:val="333333"/>
                <w:sz w:val="18"/>
                <w:szCs w:val="18"/>
              </w:rPr>
              <w:t>$ 11.876</w:t>
            </w:r>
          </w:p>
        </w:tc>
        <w:tc>
          <w:tcPr>
            <w:tcW w:w="404" w:type="pct"/>
            <w:tcBorders>
              <w:top w:val="nil"/>
              <w:left w:val="nil"/>
              <w:bottom w:val="single" w:sz="8" w:space="0" w:color="auto"/>
              <w:right w:val="single" w:sz="8" w:space="0" w:color="auto"/>
            </w:tcBorders>
            <w:shd w:val="clear" w:color="auto" w:fill="4F81BD" w:themeFill="accent1"/>
            <w:vAlign w:val="center"/>
            <w:hideMark/>
          </w:tcPr>
          <w:p w14:paraId="4B48846B" w14:textId="77777777" w:rsidR="00F57370" w:rsidRPr="00F57370" w:rsidRDefault="00F57370">
            <w:pPr>
              <w:jc w:val="center"/>
              <w:rPr>
                <w:rFonts w:ascii="Arial" w:hAnsi="Arial" w:cs="Arial"/>
                <w:b/>
                <w:bCs/>
                <w:color w:val="333333"/>
                <w:sz w:val="18"/>
                <w:szCs w:val="18"/>
              </w:rPr>
            </w:pPr>
            <w:r w:rsidRPr="00F57370">
              <w:rPr>
                <w:rFonts w:ascii="Arial" w:hAnsi="Arial" w:cs="Arial"/>
                <w:b/>
                <w:bCs/>
                <w:color w:val="333333"/>
                <w:sz w:val="18"/>
                <w:szCs w:val="18"/>
              </w:rPr>
              <w:t>6,35%</w:t>
            </w:r>
          </w:p>
        </w:tc>
      </w:tr>
    </w:tbl>
    <w:p w14:paraId="2651C3DD" w14:textId="5E1D46BB" w:rsidR="00C02282" w:rsidRPr="00F57370" w:rsidRDefault="00F57370" w:rsidP="00C02282">
      <w:pPr>
        <w:spacing w:after="0" w:line="240" w:lineRule="auto"/>
        <w:jc w:val="center"/>
        <w:rPr>
          <w:rFonts w:ascii="Arial" w:eastAsia="Calibri" w:hAnsi="Arial" w:cs="Arial"/>
          <w:sz w:val="16"/>
          <w:szCs w:val="16"/>
        </w:rPr>
      </w:pPr>
      <w:r w:rsidRPr="00F57370">
        <w:rPr>
          <w:rFonts w:ascii="Arial" w:hAnsi="Arial" w:cs="Arial"/>
          <w:sz w:val="16"/>
          <w:szCs w:val="16"/>
          <w:lang w:eastAsia="es-ES"/>
        </w:rPr>
        <w:t xml:space="preserve"> </w:t>
      </w:r>
      <w:r w:rsidR="00C02282" w:rsidRPr="00F57370">
        <w:rPr>
          <w:rFonts w:ascii="Arial" w:hAnsi="Arial" w:cs="Arial"/>
          <w:sz w:val="16"/>
          <w:szCs w:val="16"/>
          <w:lang w:eastAsia="es-ES"/>
        </w:rPr>
        <w:t>Millones de pesos</w:t>
      </w:r>
    </w:p>
    <w:p w14:paraId="29D3CEFA" w14:textId="77777777" w:rsidR="00C02282" w:rsidRPr="00F57370" w:rsidRDefault="00C02282" w:rsidP="00C02282">
      <w:pPr>
        <w:jc w:val="center"/>
        <w:rPr>
          <w:rFonts w:ascii="Arial" w:hAnsi="Arial" w:cs="Arial"/>
          <w:bCs/>
          <w:lang w:val="es-MX" w:eastAsia="es-ES"/>
        </w:rPr>
      </w:pPr>
      <w:r w:rsidRPr="00F57370">
        <w:rPr>
          <w:rFonts w:ascii="Calibri" w:hAnsi="Calibri" w:cs="Calibri"/>
          <w:sz w:val="18"/>
          <w:szCs w:val="18"/>
        </w:rPr>
        <w:t>Fuente SIIF</w:t>
      </w:r>
    </w:p>
    <w:p w14:paraId="3DB8108E" w14:textId="242F5019" w:rsidR="00C02282" w:rsidRPr="00F57370" w:rsidRDefault="00C02282" w:rsidP="00C02282">
      <w:pPr>
        <w:rPr>
          <w:rFonts w:ascii="Arial" w:eastAsia="Batang" w:hAnsi="Arial" w:cs="Arial"/>
          <w:b/>
        </w:rPr>
      </w:pPr>
      <w:r w:rsidRPr="00F57370">
        <w:rPr>
          <w:rFonts w:ascii="Arial" w:eastAsia="Batang" w:hAnsi="Arial" w:cs="Arial"/>
          <w:b/>
        </w:rPr>
        <w:t>Actividades Desarrolladas durante el I</w:t>
      </w:r>
      <w:r w:rsidR="00F57370">
        <w:rPr>
          <w:rFonts w:ascii="Arial" w:eastAsia="Batang" w:hAnsi="Arial" w:cs="Arial"/>
          <w:b/>
        </w:rPr>
        <w:t>I</w:t>
      </w:r>
      <w:r w:rsidRPr="00F57370">
        <w:rPr>
          <w:rFonts w:ascii="Arial" w:eastAsia="Batang" w:hAnsi="Arial" w:cs="Arial"/>
          <w:b/>
        </w:rPr>
        <w:t xml:space="preserve"> Trimestre 2018</w:t>
      </w:r>
    </w:p>
    <w:p w14:paraId="0ABC6D4F" w14:textId="77777777" w:rsidR="00F57370" w:rsidRDefault="00F57370" w:rsidP="00F57370">
      <w:pPr>
        <w:tabs>
          <w:tab w:val="left" w:pos="7725"/>
        </w:tabs>
        <w:jc w:val="both"/>
        <w:rPr>
          <w:rFonts w:ascii="Arial" w:eastAsia="Batang" w:hAnsi="Arial" w:cs="Arial"/>
        </w:rPr>
      </w:pPr>
      <w:r>
        <w:rPr>
          <w:rFonts w:ascii="Arial" w:eastAsia="Batang" w:hAnsi="Arial" w:cs="Arial"/>
        </w:rPr>
        <w:t>En el II Trimestre se realizaron pagos por $ 11.388 millones correspondientes a la adquisición y procesamiento de batimetría y datos meta oceanográficos. Adicionalmente se realizaron pagos por $ 491 millones correspondientes a servicios profesionales.</w:t>
      </w:r>
    </w:p>
    <w:p w14:paraId="7F42C20F" w14:textId="5C7B905E" w:rsidR="00C02282" w:rsidRPr="00F57370" w:rsidRDefault="00F57370" w:rsidP="00C02282">
      <w:pPr>
        <w:tabs>
          <w:tab w:val="left" w:pos="7725"/>
        </w:tabs>
        <w:jc w:val="both"/>
        <w:rPr>
          <w:rFonts w:ascii="Arial" w:eastAsia="Batang" w:hAnsi="Arial" w:cs="Arial"/>
        </w:rPr>
      </w:pPr>
      <w:r>
        <w:rPr>
          <w:rFonts w:ascii="Arial" w:eastAsia="Batang" w:hAnsi="Arial" w:cs="Arial"/>
        </w:rPr>
        <w:t xml:space="preserve">Adicionalmente, se adelantaron actividades de estructuración técnica de proyectos de adquisición, integración y mejoramiento de datos, incluyendo el envío, recepción y análisis de sondeos de mercado. Se realizaron estas actividades para los proyectos: sísmica 2D Perdices, </w:t>
      </w:r>
      <w:proofErr w:type="spellStart"/>
      <w:r>
        <w:rPr>
          <w:rFonts w:ascii="Arial" w:eastAsia="Batang" w:hAnsi="Arial" w:cs="Arial"/>
        </w:rPr>
        <w:t>magnetotelúrica</w:t>
      </w:r>
      <w:proofErr w:type="spellEnd"/>
      <w:r>
        <w:rPr>
          <w:rFonts w:ascii="Arial" w:eastAsia="Batang" w:hAnsi="Arial" w:cs="Arial"/>
        </w:rPr>
        <w:t xml:space="preserve"> Cordillera, </w:t>
      </w:r>
      <w:proofErr w:type="spellStart"/>
      <w:r>
        <w:rPr>
          <w:rFonts w:ascii="Arial" w:eastAsia="Batang" w:hAnsi="Arial" w:cs="Arial"/>
        </w:rPr>
        <w:t>aerogeofísica</w:t>
      </w:r>
      <w:proofErr w:type="spellEnd"/>
      <w:r>
        <w:rPr>
          <w:rFonts w:ascii="Arial" w:eastAsia="Batang" w:hAnsi="Arial" w:cs="Arial"/>
        </w:rPr>
        <w:t xml:space="preserve"> VMM, integración de información G&amp;G Cordillera, correlación de núcleos Caribe continental y actualización de la estimación de recursos exploratorios en las cuencas del país, procesamiento y reprocesamiento de información geofísica.</w:t>
      </w:r>
    </w:p>
    <w:p w14:paraId="3F1BB143" w14:textId="0B5E5FC3" w:rsidR="00C02282" w:rsidRPr="007B73C3" w:rsidRDefault="00C02282" w:rsidP="00C02282">
      <w:pPr>
        <w:tabs>
          <w:tab w:val="left" w:pos="7725"/>
        </w:tabs>
        <w:jc w:val="both"/>
        <w:rPr>
          <w:rFonts w:ascii="Arial" w:eastAsia="Batang" w:hAnsi="Arial" w:cs="Arial"/>
          <w:b/>
        </w:rPr>
      </w:pPr>
      <w:r w:rsidRPr="007B73C3">
        <w:rPr>
          <w:rFonts w:ascii="Arial" w:eastAsia="Batang" w:hAnsi="Arial" w:cs="Arial"/>
          <w:b/>
        </w:rPr>
        <w:t>Actividades a Realizar durante el II</w:t>
      </w:r>
      <w:r w:rsidR="00F57370" w:rsidRPr="007B73C3">
        <w:rPr>
          <w:rFonts w:ascii="Arial" w:eastAsia="Batang" w:hAnsi="Arial" w:cs="Arial"/>
          <w:b/>
        </w:rPr>
        <w:t>I</w:t>
      </w:r>
      <w:r w:rsidRPr="007B73C3">
        <w:rPr>
          <w:rFonts w:ascii="Arial" w:eastAsia="Batang" w:hAnsi="Arial" w:cs="Arial"/>
          <w:b/>
        </w:rPr>
        <w:t xml:space="preserve"> Trimestre 2018</w:t>
      </w:r>
    </w:p>
    <w:p w14:paraId="27CB74C9" w14:textId="77777777" w:rsidR="00F57370" w:rsidRPr="007B73C3" w:rsidRDefault="00F57370" w:rsidP="00F57370">
      <w:pPr>
        <w:tabs>
          <w:tab w:val="left" w:pos="7725"/>
        </w:tabs>
        <w:jc w:val="both"/>
        <w:rPr>
          <w:rFonts w:ascii="Arial" w:eastAsia="Batang" w:hAnsi="Arial" w:cs="Arial"/>
        </w:rPr>
      </w:pPr>
      <w:r w:rsidRPr="007B73C3">
        <w:rPr>
          <w:rFonts w:ascii="Arial" w:eastAsia="Batang" w:hAnsi="Arial" w:cs="Arial"/>
        </w:rPr>
        <w:t xml:space="preserve">Durante el </w:t>
      </w:r>
      <w:r w:rsidRPr="007B73C3">
        <w:rPr>
          <w:rFonts w:ascii="Arial" w:eastAsia="Batang" w:hAnsi="Arial" w:cs="Arial"/>
          <w:b/>
        </w:rPr>
        <w:t>III trimestre de 2018</w:t>
      </w:r>
      <w:r w:rsidRPr="007B73C3">
        <w:rPr>
          <w:rFonts w:ascii="Arial" w:eastAsia="Batang" w:hAnsi="Arial" w:cs="Arial"/>
        </w:rPr>
        <w:t xml:space="preserve"> se tiene planeado contratar los proyectos que fueron estructurados durante el trimestre anterior, mencionados en el párrafo anterior.</w:t>
      </w:r>
    </w:p>
    <w:p w14:paraId="246C1BE7" w14:textId="6DFAC76F" w:rsidR="00C02282" w:rsidRPr="007B73C3" w:rsidRDefault="00F57370" w:rsidP="00C02282">
      <w:pPr>
        <w:tabs>
          <w:tab w:val="left" w:pos="7725"/>
        </w:tabs>
        <w:jc w:val="both"/>
        <w:rPr>
          <w:rFonts w:ascii="Arial" w:eastAsia="Batang" w:hAnsi="Arial" w:cs="Arial"/>
        </w:rPr>
      </w:pPr>
      <w:r w:rsidRPr="007B73C3">
        <w:rPr>
          <w:rFonts w:ascii="Arial" w:eastAsia="Batang" w:hAnsi="Arial" w:cs="Arial"/>
        </w:rPr>
        <w:t>Adicionalmente, se planea finalizar la adquisición de datos de batimetría y datos meta oceanográficos, e iniciar las actividades de procesamiento de información.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920"/>
      </w:tblGrid>
      <w:tr w:rsidR="00C02282" w:rsidRPr="006A67B4" w14:paraId="104AA70C" w14:textId="77777777" w:rsidTr="006A67B4">
        <w:trPr>
          <w:trHeight w:val="232"/>
        </w:trPr>
        <w:tc>
          <w:tcPr>
            <w:tcW w:w="8920" w:type="dxa"/>
          </w:tcPr>
          <w:p w14:paraId="6277281C" w14:textId="77777777" w:rsidR="00C02282" w:rsidRPr="007B73C3" w:rsidRDefault="00C02282" w:rsidP="006A67B4">
            <w:pPr>
              <w:autoSpaceDE w:val="0"/>
              <w:autoSpaceDN w:val="0"/>
              <w:adjustRightInd w:val="0"/>
              <w:jc w:val="both"/>
              <w:rPr>
                <w:rFonts w:ascii="Arial" w:hAnsi="Arial" w:cs="Arial"/>
                <w:b/>
                <w:color w:val="000000" w:themeColor="text1"/>
              </w:rPr>
            </w:pPr>
            <w:r w:rsidRPr="007B73C3">
              <w:rPr>
                <w:rFonts w:ascii="Arial" w:hAnsi="Arial" w:cs="Arial"/>
                <w:b/>
                <w:color w:val="000000" w:themeColor="text1"/>
              </w:rPr>
              <w:lastRenderedPageBreak/>
              <w:t xml:space="preserve">Proyecto: Fortalecimiento de La Gestión Articulada para La Sostenibilidad Del Sector De Hidrocarburos </w:t>
            </w:r>
          </w:p>
        </w:tc>
      </w:tr>
    </w:tbl>
    <w:p w14:paraId="2D6758AB" w14:textId="77777777" w:rsidR="00F57370" w:rsidRPr="00F57370" w:rsidRDefault="00F57370" w:rsidP="00F57370">
      <w:pPr>
        <w:pStyle w:val="Prrafodelista"/>
        <w:suppressAutoHyphens/>
        <w:autoSpaceDN w:val="0"/>
        <w:ind w:left="720"/>
        <w:jc w:val="both"/>
        <w:textAlignment w:val="baseline"/>
        <w:rPr>
          <w:rFonts w:eastAsia="Batang" w:cs="Arial"/>
          <w:color w:val="000000" w:themeColor="text1"/>
          <w:lang w:val="es-ES" w:eastAsia="es-ES"/>
        </w:rPr>
      </w:pPr>
      <w:r w:rsidRPr="00F57370">
        <w:rPr>
          <w:rFonts w:eastAsia="Batang" w:cs="Arial"/>
          <w:color w:val="000000" w:themeColor="text1"/>
          <w:lang w:val="es-ES" w:eastAsia="es-ES"/>
        </w:rPr>
        <w:t xml:space="preserve">El proyecto identificado con código BPIN </w:t>
      </w:r>
      <w:r w:rsidRPr="00F57370">
        <w:rPr>
          <w:rStyle w:val="subheader"/>
          <w:rFonts w:cs="Arial"/>
        </w:rPr>
        <w:t>2015011000068</w:t>
      </w:r>
      <w:r w:rsidRPr="00F57370">
        <w:rPr>
          <w:rFonts w:eastAsia="Batang" w:cs="Arial"/>
          <w:color w:val="000000" w:themeColor="text1"/>
          <w:lang w:val="es-ES" w:eastAsia="es-ES"/>
        </w:rPr>
        <w:t xml:space="preserve">, tiene como objetivo principal mejorar la capacidad de articulación y gestión institucional de los aspectos sociales, ambientales y de seguridad en las áreas de interés hidrocarburífero, el proyecto cuenta con clasificación 2103 Consolidación productiva del Sector de Hidrocarburos,1900 Intersubsectorial Minas y Energía. </w:t>
      </w:r>
    </w:p>
    <w:p w14:paraId="45525DAA" w14:textId="77777777" w:rsidR="00F57370" w:rsidRDefault="00F57370" w:rsidP="00F57370">
      <w:pPr>
        <w:pStyle w:val="Default"/>
        <w:ind w:left="720"/>
        <w:jc w:val="both"/>
        <w:rPr>
          <w:rFonts w:eastAsia="Batang"/>
          <w:color w:val="000000" w:themeColor="text1"/>
          <w:sz w:val="22"/>
          <w:szCs w:val="22"/>
          <w:lang w:val="es-ES" w:eastAsia="es-ES"/>
        </w:rPr>
      </w:pPr>
      <w:bookmarkStart w:id="173" w:name="_Toc412623098"/>
      <w:r>
        <w:rPr>
          <w:rFonts w:eastAsia="Batang"/>
          <w:color w:val="000000" w:themeColor="text1"/>
          <w:sz w:val="22"/>
          <w:szCs w:val="22"/>
        </w:rPr>
        <w:t xml:space="preserve">Este proyecto tiene como objetivos </w:t>
      </w:r>
      <w:bookmarkEnd w:id="173"/>
      <w:r>
        <w:rPr>
          <w:rFonts w:eastAsia="Batang"/>
          <w:color w:val="000000" w:themeColor="text1"/>
          <w:sz w:val="22"/>
          <w:szCs w:val="22"/>
        </w:rPr>
        <w:t>específicos fortalecer los mecanismos del gobierno nacional para articular los actores que intervienen en la ejecución de las políticas del sector de hidrocarburos; mejorar la gestión socio ambiental en los procesos del sector de hidrocarburos en la ejecución de las actividades de exploración y explotación; implementar procesos de comunicación y participación entre los grupos de interés relacionados con las operaciones de hidrocarburos; y generar conocimiento ambiental y social relacionado con las nuevas fronteras de desarrollo del sector de hidrocarburos.</w:t>
      </w:r>
    </w:p>
    <w:p w14:paraId="03E01974" w14:textId="77777777" w:rsidR="00F57370" w:rsidRDefault="00F57370" w:rsidP="00F57370">
      <w:pPr>
        <w:pStyle w:val="Default"/>
        <w:ind w:left="720"/>
        <w:jc w:val="both"/>
        <w:rPr>
          <w:rFonts w:eastAsia="Batang"/>
          <w:color w:val="000000" w:themeColor="text1"/>
          <w:sz w:val="22"/>
          <w:szCs w:val="22"/>
        </w:rPr>
      </w:pPr>
    </w:p>
    <w:p w14:paraId="473D30AF" w14:textId="77777777" w:rsidR="00F57370" w:rsidRPr="00F57370" w:rsidRDefault="00F57370" w:rsidP="00F57370">
      <w:pPr>
        <w:pStyle w:val="Prrafodelista"/>
        <w:ind w:left="720"/>
        <w:jc w:val="both"/>
        <w:rPr>
          <w:rFonts w:eastAsia="Batang" w:cs="Arial"/>
          <w:lang w:val="es-ES" w:eastAsia="es-ES"/>
        </w:rPr>
      </w:pPr>
      <w:r w:rsidRPr="00F57370">
        <w:rPr>
          <w:rFonts w:eastAsia="Batang" w:cs="Arial"/>
          <w:lang w:val="es-ES" w:eastAsia="es-ES"/>
        </w:rPr>
        <w:t xml:space="preserve">A continuación, se hace referencia a la ejecución presupuestal: </w:t>
      </w:r>
    </w:p>
    <w:p w14:paraId="16423E91" w14:textId="3DAEC5AE" w:rsidR="00C02282" w:rsidRPr="00CC5938" w:rsidRDefault="00C02282" w:rsidP="00C02282">
      <w:pPr>
        <w:pStyle w:val="Descripcin"/>
        <w:keepNext/>
        <w:jc w:val="center"/>
      </w:pPr>
      <w:bookmarkStart w:id="174" w:name="_Toc525652534"/>
      <w:r w:rsidRPr="00CC5938">
        <w:t xml:space="preserve">Tabla </w:t>
      </w:r>
      <w:r w:rsidRPr="00CC5938">
        <w:fldChar w:fldCharType="begin"/>
      </w:r>
      <w:r w:rsidRPr="00CC5938">
        <w:instrText xml:space="preserve"> SEQ Tabla \* ARABIC </w:instrText>
      </w:r>
      <w:r w:rsidRPr="00CC5938">
        <w:fldChar w:fldCharType="separate"/>
      </w:r>
      <w:r w:rsidR="008B4625">
        <w:rPr>
          <w:noProof/>
        </w:rPr>
        <w:t>89</w:t>
      </w:r>
      <w:r w:rsidRPr="00CC5938">
        <w:fldChar w:fldCharType="end"/>
      </w:r>
      <w:r w:rsidR="00F57370" w:rsidRPr="00CC5938">
        <w:t xml:space="preserve"> </w:t>
      </w:r>
      <w:r w:rsidRPr="00CC5938">
        <w:t>Ejecución Inversión Fortalecimiento de la Gestión Articulada para La Sostenibilidad del Sector de Hidrocarburos a 3</w:t>
      </w:r>
      <w:r w:rsidR="00F57370" w:rsidRPr="00CC5938">
        <w:t xml:space="preserve">0 de junio de  2018 </w:t>
      </w:r>
      <w:r w:rsidRPr="00CC5938">
        <w:t xml:space="preserve"> ANH</w:t>
      </w:r>
      <w:bookmarkEnd w:id="174"/>
    </w:p>
    <w:tbl>
      <w:tblPr>
        <w:tblW w:w="9448" w:type="dxa"/>
        <w:tblInd w:w="-10" w:type="dxa"/>
        <w:tblCellMar>
          <w:left w:w="70" w:type="dxa"/>
          <w:right w:w="70" w:type="dxa"/>
        </w:tblCellMar>
        <w:tblLook w:val="04A0" w:firstRow="1" w:lastRow="0" w:firstColumn="1" w:lastColumn="0" w:noHBand="0" w:noVBand="1"/>
      </w:tblPr>
      <w:tblGrid>
        <w:gridCol w:w="1552"/>
        <w:gridCol w:w="1552"/>
        <w:gridCol w:w="851"/>
        <w:gridCol w:w="1868"/>
        <w:gridCol w:w="1425"/>
        <w:gridCol w:w="1539"/>
        <w:gridCol w:w="661"/>
      </w:tblGrid>
      <w:tr w:rsidR="00CC5938" w14:paraId="3204F3E1" w14:textId="77777777" w:rsidTr="00CC5938">
        <w:trPr>
          <w:trHeight w:val="666"/>
        </w:trPr>
        <w:tc>
          <w:tcPr>
            <w:tcW w:w="1538"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3F6BD3F9" w14:textId="77777777" w:rsidR="00CC5938" w:rsidRDefault="00CC5938">
            <w:pPr>
              <w:jc w:val="center"/>
              <w:rPr>
                <w:rFonts w:ascii="Arial" w:hAnsi="Arial" w:cs="Arial"/>
                <w:b/>
                <w:bCs/>
                <w:sz w:val="20"/>
                <w:szCs w:val="20"/>
              </w:rPr>
            </w:pPr>
            <w:r>
              <w:rPr>
                <w:rFonts w:ascii="Arial" w:hAnsi="Arial" w:cs="Arial"/>
                <w:b/>
                <w:bCs/>
                <w:sz w:val="20"/>
                <w:szCs w:val="20"/>
              </w:rPr>
              <w:t>APROPIACIÓN   DISPONIBLE</w:t>
            </w:r>
          </w:p>
        </w:tc>
        <w:tc>
          <w:tcPr>
            <w:tcW w:w="1537" w:type="dxa"/>
            <w:tcBorders>
              <w:top w:val="single" w:sz="8" w:space="0" w:color="auto"/>
              <w:left w:val="nil"/>
              <w:bottom w:val="single" w:sz="8" w:space="0" w:color="auto"/>
              <w:right w:val="single" w:sz="8" w:space="0" w:color="auto"/>
            </w:tcBorders>
            <w:shd w:val="clear" w:color="auto" w:fill="4F81BD" w:themeFill="accent1"/>
            <w:vAlign w:val="center"/>
            <w:hideMark/>
          </w:tcPr>
          <w:p w14:paraId="26AFCEFA" w14:textId="77777777" w:rsidR="00CC5938" w:rsidRDefault="00CC5938">
            <w:pPr>
              <w:jc w:val="center"/>
              <w:rPr>
                <w:rFonts w:ascii="Arial" w:hAnsi="Arial" w:cs="Arial"/>
                <w:b/>
                <w:bCs/>
                <w:sz w:val="20"/>
                <w:szCs w:val="20"/>
              </w:rPr>
            </w:pPr>
            <w:r>
              <w:rPr>
                <w:rFonts w:ascii="Arial" w:hAnsi="Arial" w:cs="Arial"/>
                <w:b/>
                <w:bCs/>
                <w:sz w:val="20"/>
                <w:szCs w:val="20"/>
              </w:rPr>
              <w:t>COMPROMISO</w:t>
            </w:r>
          </w:p>
        </w:tc>
        <w:tc>
          <w:tcPr>
            <w:tcW w:w="855" w:type="dxa"/>
            <w:tcBorders>
              <w:top w:val="single" w:sz="8" w:space="0" w:color="auto"/>
              <w:left w:val="nil"/>
              <w:bottom w:val="single" w:sz="8" w:space="0" w:color="auto"/>
              <w:right w:val="single" w:sz="8" w:space="0" w:color="auto"/>
            </w:tcBorders>
            <w:shd w:val="clear" w:color="auto" w:fill="4F81BD" w:themeFill="accent1"/>
            <w:vAlign w:val="center"/>
            <w:hideMark/>
          </w:tcPr>
          <w:p w14:paraId="41A4064A" w14:textId="77777777" w:rsidR="00CC5938" w:rsidRDefault="00CC5938">
            <w:pPr>
              <w:jc w:val="center"/>
              <w:rPr>
                <w:rFonts w:ascii="Arial" w:hAnsi="Arial" w:cs="Arial"/>
                <w:b/>
                <w:bCs/>
                <w:sz w:val="20"/>
                <w:szCs w:val="20"/>
              </w:rPr>
            </w:pPr>
            <w:r>
              <w:rPr>
                <w:rFonts w:ascii="Arial" w:hAnsi="Arial" w:cs="Arial"/>
                <w:b/>
                <w:bCs/>
                <w:sz w:val="20"/>
                <w:szCs w:val="20"/>
              </w:rPr>
              <w:t>%</w:t>
            </w:r>
          </w:p>
        </w:tc>
        <w:tc>
          <w:tcPr>
            <w:tcW w:w="1873" w:type="dxa"/>
            <w:tcBorders>
              <w:top w:val="single" w:sz="8" w:space="0" w:color="auto"/>
              <w:left w:val="nil"/>
              <w:bottom w:val="single" w:sz="8" w:space="0" w:color="auto"/>
              <w:right w:val="single" w:sz="8" w:space="0" w:color="auto"/>
            </w:tcBorders>
            <w:shd w:val="clear" w:color="auto" w:fill="4F81BD" w:themeFill="accent1"/>
            <w:vAlign w:val="center"/>
            <w:hideMark/>
          </w:tcPr>
          <w:p w14:paraId="4C922AEF" w14:textId="77777777" w:rsidR="00CC5938" w:rsidRDefault="00CC5938">
            <w:pPr>
              <w:jc w:val="center"/>
              <w:rPr>
                <w:rFonts w:ascii="Arial" w:hAnsi="Arial" w:cs="Arial"/>
                <w:b/>
                <w:bCs/>
                <w:sz w:val="20"/>
                <w:szCs w:val="20"/>
              </w:rPr>
            </w:pPr>
            <w:r>
              <w:rPr>
                <w:rFonts w:ascii="Arial" w:hAnsi="Arial" w:cs="Arial"/>
                <w:b/>
                <w:bCs/>
                <w:sz w:val="20"/>
                <w:szCs w:val="20"/>
              </w:rPr>
              <w:t xml:space="preserve"> OBLIGACIÓN  </w:t>
            </w:r>
          </w:p>
        </w:tc>
        <w:tc>
          <w:tcPr>
            <w:tcW w:w="1435" w:type="dxa"/>
            <w:tcBorders>
              <w:top w:val="single" w:sz="8" w:space="0" w:color="auto"/>
              <w:left w:val="nil"/>
              <w:bottom w:val="single" w:sz="8" w:space="0" w:color="auto"/>
              <w:right w:val="single" w:sz="8" w:space="0" w:color="auto"/>
            </w:tcBorders>
            <w:shd w:val="clear" w:color="auto" w:fill="4F81BD" w:themeFill="accent1"/>
            <w:vAlign w:val="center"/>
            <w:hideMark/>
          </w:tcPr>
          <w:p w14:paraId="1E85FBCD" w14:textId="77777777" w:rsidR="00CC5938" w:rsidRDefault="00CC5938">
            <w:pPr>
              <w:jc w:val="center"/>
              <w:rPr>
                <w:rFonts w:ascii="Arial" w:hAnsi="Arial" w:cs="Arial"/>
                <w:b/>
                <w:bCs/>
                <w:sz w:val="20"/>
                <w:szCs w:val="20"/>
              </w:rPr>
            </w:pPr>
            <w:r>
              <w:rPr>
                <w:rFonts w:ascii="Arial" w:hAnsi="Arial" w:cs="Arial"/>
                <w:b/>
                <w:bCs/>
                <w:sz w:val="20"/>
                <w:szCs w:val="20"/>
              </w:rPr>
              <w:t>%</w:t>
            </w:r>
          </w:p>
        </w:tc>
        <w:tc>
          <w:tcPr>
            <w:tcW w:w="1548" w:type="dxa"/>
            <w:tcBorders>
              <w:top w:val="single" w:sz="8" w:space="0" w:color="auto"/>
              <w:left w:val="nil"/>
              <w:bottom w:val="single" w:sz="8" w:space="0" w:color="auto"/>
              <w:right w:val="single" w:sz="8" w:space="0" w:color="auto"/>
            </w:tcBorders>
            <w:shd w:val="clear" w:color="auto" w:fill="4F81BD" w:themeFill="accent1"/>
            <w:vAlign w:val="center"/>
            <w:hideMark/>
          </w:tcPr>
          <w:p w14:paraId="1519AD4F" w14:textId="77777777" w:rsidR="00CC5938" w:rsidRDefault="00CC5938">
            <w:pPr>
              <w:jc w:val="center"/>
              <w:rPr>
                <w:rFonts w:ascii="Arial" w:hAnsi="Arial" w:cs="Arial"/>
                <w:b/>
                <w:bCs/>
                <w:sz w:val="20"/>
                <w:szCs w:val="20"/>
              </w:rPr>
            </w:pPr>
            <w:r>
              <w:rPr>
                <w:rFonts w:ascii="Arial" w:hAnsi="Arial" w:cs="Arial"/>
                <w:b/>
                <w:bCs/>
                <w:sz w:val="20"/>
                <w:szCs w:val="20"/>
              </w:rPr>
              <w:t xml:space="preserve"> PAGO  </w:t>
            </w:r>
          </w:p>
        </w:tc>
        <w:tc>
          <w:tcPr>
            <w:tcW w:w="662" w:type="dxa"/>
            <w:tcBorders>
              <w:top w:val="single" w:sz="8" w:space="0" w:color="auto"/>
              <w:left w:val="nil"/>
              <w:bottom w:val="single" w:sz="8" w:space="0" w:color="auto"/>
              <w:right w:val="single" w:sz="8" w:space="0" w:color="auto"/>
            </w:tcBorders>
            <w:shd w:val="clear" w:color="auto" w:fill="4F81BD" w:themeFill="accent1"/>
            <w:vAlign w:val="center"/>
            <w:hideMark/>
          </w:tcPr>
          <w:p w14:paraId="151A6E44" w14:textId="77777777" w:rsidR="00CC5938" w:rsidRDefault="00CC5938">
            <w:pPr>
              <w:jc w:val="center"/>
              <w:rPr>
                <w:rFonts w:ascii="Arial" w:hAnsi="Arial" w:cs="Arial"/>
                <w:b/>
                <w:bCs/>
                <w:sz w:val="20"/>
                <w:szCs w:val="20"/>
              </w:rPr>
            </w:pPr>
            <w:r>
              <w:rPr>
                <w:rFonts w:ascii="Arial" w:hAnsi="Arial" w:cs="Arial"/>
                <w:b/>
                <w:bCs/>
                <w:sz w:val="20"/>
                <w:szCs w:val="20"/>
              </w:rPr>
              <w:t>%</w:t>
            </w:r>
          </w:p>
        </w:tc>
      </w:tr>
      <w:tr w:rsidR="00CC5938" w14:paraId="4EB188D5" w14:textId="77777777" w:rsidTr="00CC5938">
        <w:trPr>
          <w:trHeight w:val="269"/>
        </w:trPr>
        <w:tc>
          <w:tcPr>
            <w:tcW w:w="1538" w:type="dxa"/>
            <w:tcBorders>
              <w:top w:val="nil"/>
              <w:left w:val="single" w:sz="8" w:space="0" w:color="auto"/>
              <w:bottom w:val="single" w:sz="8" w:space="0" w:color="auto"/>
              <w:right w:val="single" w:sz="8" w:space="0" w:color="auto"/>
            </w:tcBorders>
            <w:shd w:val="clear" w:color="auto" w:fill="F7F6F3"/>
            <w:vAlign w:val="center"/>
            <w:hideMark/>
          </w:tcPr>
          <w:p w14:paraId="030CDC07" w14:textId="77777777" w:rsidR="00CC5938" w:rsidRDefault="00CC5938">
            <w:pPr>
              <w:jc w:val="center"/>
              <w:rPr>
                <w:rFonts w:ascii="Arial" w:hAnsi="Arial" w:cs="Arial"/>
                <w:color w:val="333333"/>
                <w:sz w:val="20"/>
                <w:szCs w:val="20"/>
              </w:rPr>
            </w:pPr>
            <w:r>
              <w:rPr>
                <w:rFonts w:ascii="Arial" w:hAnsi="Arial" w:cs="Arial"/>
                <w:color w:val="333333"/>
                <w:sz w:val="20"/>
                <w:szCs w:val="20"/>
                <w:lang w:val="es-ES"/>
              </w:rPr>
              <w:t>$ 49.123</w:t>
            </w:r>
          </w:p>
        </w:tc>
        <w:tc>
          <w:tcPr>
            <w:tcW w:w="1537" w:type="dxa"/>
            <w:tcBorders>
              <w:top w:val="nil"/>
              <w:left w:val="nil"/>
              <w:bottom w:val="single" w:sz="8" w:space="0" w:color="auto"/>
              <w:right w:val="single" w:sz="8" w:space="0" w:color="auto"/>
            </w:tcBorders>
            <w:shd w:val="clear" w:color="auto" w:fill="F7F6F3"/>
            <w:vAlign w:val="center"/>
            <w:hideMark/>
          </w:tcPr>
          <w:p w14:paraId="1F61B17E" w14:textId="77777777" w:rsidR="00CC5938" w:rsidRDefault="00CC5938">
            <w:pPr>
              <w:jc w:val="center"/>
              <w:rPr>
                <w:rFonts w:ascii="Arial" w:hAnsi="Arial" w:cs="Arial"/>
                <w:color w:val="333333"/>
                <w:sz w:val="20"/>
                <w:szCs w:val="20"/>
              </w:rPr>
            </w:pPr>
            <w:r>
              <w:rPr>
                <w:rFonts w:ascii="Arial" w:hAnsi="Arial" w:cs="Arial"/>
                <w:color w:val="333333"/>
                <w:sz w:val="20"/>
                <w:szCs w:val="20"/>
                <w:lang w:val="es-ES"/>
              </w:rPr>
              <w:t>$ 44.699</w:t>
            </w:r>
          </w:p>
        </w:tc>
        <w:tc>
          <w:tcPr>
            <w:tcW w:w="855" w:type="dxa"/>
            <w:tcBorders>
              <w:top w:val="nil"/>
              <w:left w:val="nil"/>
              <w:bottom w:val="single" w:sz="8" w:space="0" w:color="auto"/>
              <w:right w:val="single" w:sz="8" w:space="0" w:color="auto"/>
            </w:tcBorders>
            <w:shd w:val="clear" w:color="auto" w:fill="F7F6F3"/>
            <w:vAlign w:val="center"/>
            <w:hideMark/>
          </w:tcPr>
          <w:p w14:paraId="01E2E40E" w14:textId="77777777" w:rsidR="00CC5938" w:rsidRDefault="00CC5938">
            <w:pPr>
              <w:jc w:val="center"/>
              <w:rPr>
                <w:rFonts w:ascii="Arial" w:hAnsi="Arial" w:cs="Arial"/>
                <w:b/>
                <w:bCs/>
                <w:color w:val="333333"/>
                <w:sz w:val="20"/>
                <w:szCs w:val="20"/>
              </w:rPr>
            </w:pPr>
            <w:r>
              <w:rPr>
                <w:rFonts w:ascii="Arial" w:hAnsi="Arial" w:cs="Arial"/>
                <w:b/>
                <w:bCs/>
                <w:color w:val="333333"/>
                <w:sz w:val="20"/>
                <w:szCs w:val="20"/>
                <w:lang w:val="es-ES"/>
              </w:rPr>
              <w:t>91%</w:t>
            </w:r>
          </w:p>
        </w:tc>
        <w:tc>
          <w:tcPr>
            <w:tcW w:w="1873" w:type="dxa"/>
            <w:tcBorders>
              <w:top w:val="nil"/>
              <w:left w:val="nil"/>
              <w:bottom w:val="single" w:sz="8" w:space="0" w:color="auto"/>
              <w:right w:val="single" w:sz="8" w:space="0" w:color="auto"/>
            </w:tcBorders>
            <w:shd w:val="clear" w:color="auto" w:fill="F7F6F3"/>
            <w:vAlign w:val="center"/>
            <w:hideMark/>
          </w:tcPr>
          <w:p w14:paraId="785396D1" w14:textId="77777777" w:rsidR="00CC5938" w:rsidRDefault="00CC5938">
            <w:pPr>
              <w:jc w:val="center"/>
              <w:rPr>
                <w:rFonts w:ascii="Arial" w:hAnsi="Arial" w:cs="Arial"/>
                <w:color w:val="333333"/>
                <w:sz w:val="20"/>
                <w:szCs w:val="20"/>
              </w:rPr>
            </w:pPr>
            <w:r>
              <w:rPr>
                <w:rFonts w:ascii="Arial" w:hAnsi="Arial" w:cs="Arial"/>
                <w:color w:val="333333"/>
                <w:sz w:val="20"/>
                <w:szCs w:val="20"/>
                <w:lang w:val="es-ES"/>
              </w:rPr>
              <w:t>$ 12.911</w:t>
            </w:r>
          </w:p>
        </w:tc>
        <w:tc>
          <w:tcPr>
            <w:tcW w:w="1435" w:type="dxa"/>
            <w:tcBorders>
              <w:top w:val="nil"/>
              <w:left w:val="nil"/>
              <w:bottom w:val="single" w:sz="8" w:space="0" w:color="auto"/>
              <w:right w:val="single" w:sz="8" w:space="0" w:color="auto"/>
            </w:tcBorders>
            <w:shd w:val="clear" w:color="auto" w:fill="F7F6F3"/>
            <w:vAlign w:val="center"/>
            <w:hideMark/>
          </w:tcPr>
          <w:p w14:paraId="39CDD6CD" w14:textId="77777777" w:rsidR="00CC5938" w:rsidRDefault="00CC5938">
            <w:pPr>
              <w:jc w:val="center"/>
              <w:rPr>
                <w:rFonts w:ascii="Arial" w:hAnsi="Arial" w:cs="Arial"/>
                <w:b/>
                <w:bCs/>
                <w:color w:val="333333"/>
                <w:sz w:val="20"/>
                <w:szCs w:val="20"/>
              </w:rPr>
            </w:pPr>
            <w:r>
              <w:rPr>
                <w:rFonts w:ascii="Arial" w:hAnsi="Arial" w:cs="Arial"/>
                <w:b/>
                <w:bCs/>
                <w:color w:val="333333"/>
                <w:sz w:val="20"/>
                <w:szCs w:val="20"/>
                <w:lang w:val="es-ES"/>
              </w:rPr>
              <w:t>26%</w:t>
            </w:r>
          </w:p>
        </w:tc>
        <w:tc>
          <w:tcPr>
            <w:tcW w:w="1548" w:type="dxa"/>
            <w:tcBorders>
              <w:top w:val="nil"/>
              <w:left w:val="nil"/>
              <w:bottom w:val="single" w:sz="8" w:space="0" w:color="auto"/>
              <w:right w:val="single" w:sz="8" w:space="0" w:color="auto"/>
            </w:tcBorders>
            <w:shd w:val="clear" w:color="auto" w:fill="F7F6F3"/>
            <w:vAlign w:val="center"/>
            <w:hideMark/>
          </w:tcPr>
          <w:p w14:paraId="28B63F14" w14:textId="77777777" w:rsidR="00CC5938" w:rsidRDefault="00CC5938">
            <w:pPr>
              <w:jc w:val="center"/>
              <w:rPr>
                <w:rFonts w:ascii="Arial" w:hAnsi="Arial" w:cs="Arial"/>
                <w:color w:val="333333"/>
                <w:sz w:val="20"/>
                <w:szCs w:val="20"/>
              </w:rPr>
            </w:pPr>
            <w:r>
              <w:rPr>
                <w:rFonts w:ascii="Arial" w:hAnsi="Arial" w:cs="Arial"/>
                <w:color w:val="333333"/>
                <w:sz w:val="20"/>
                <w:szCs w:val="20"/>
                <w:lang w:val="es-ES"/>
              </w:rPr>
              <w:t>$ 12.911</w:t>
            </w:r>
          </w:p>
        </w:tc>
        <w:tc>
          <w:tcPr>
            <w:tcW w:w="662" w:type="dxa"/>
            <w:tcBorders>
              <w:top w:val="nil"/>
              <w:left w:val="nil"/>
              <w:bottom w:val="single" w:sz="8" w:space="0" w:color="auto"/>
              <w:right w:val="single" w:sz="8" w:space="0" w:color="auto"/>
            </w:tcBorders>
            <w:shd w:val="clear" w:color="auto" w:fill="F7F6F3"/>
            <w:vAlign w:val="center"/>
            <w:hideMark/>
          </w:tcPr>
          <w:p w14:paraId="729EBC7A" w14:textId="77777777" w:rsidR="00CC5938" w:rsidRDefault="00CC5938">
            <w:pPr>
              <w:jc w:val="center"/>
              <w:rPr>
                <w:rFonts w:ascii="Arial" w:hAnsi="Arial" w:cs="Arial"/>
                <w:b/>
                <w:bCs/>
                <w:color w:val="333333"/>
                <w:sz w:val="20"/>
                <w:szCs w:val="20"/>
              </w:rPr>
            </w:pPr>
            <w:r>
              <w:rPr>
                <w:rFonts w:ascii="Arial" w:hAnsi="Arial" w:cs="Arial"/>
                <w:b/>
                <w:bCs/>
                <w:color w:val="333333"/>
                <w:sz w:val="20"/>
                <w:szCs w:val="20"/>
                <w:lang w:val="es-ES"/>
              </w:rPr>
              <w:t>26%</w:t>
            </w:r>
          </w:p>
        </w:tc>
      </w:tr>
    </w:tbl>
    <w:p w14:paraId="45919E0E" w14:textId="0BDB3E9B" w:rsidR="00C02282" w:rsidRPr="00CC5938" w:rsidRDefault="00CC5938" w:rsidP="00C02282">
      <w:pPr>
        <w:spacing w:after="0" w:line="240" w:lineRule="auto"/>
        <w:jc w:val="center"/>
        <w:rPr>
          <w:rFonts w:ascii="Arial" w:eastAsia="Calibri" w:hAnsi="Arial" w:cs="Arial"/>
          <w:sz w:val="16"/>
          <w:szCs w:val="16"/>
        </w:rPr>
      </w:pPr>
      <w:r w:rsidRPr="00CC5938">
        <w:rPr>
          <w:rFonts w:ascii="Arial" w:hAnsi="Arial" w:cs="Arial"/>
          <w:sz w:val="16"/>
          <w:szCs w:val="16"/>
          <w:lang w:eastAsia="es-ES"/>
        </w:rPr>
        <w:t xml:space="preserve"> </w:t>
      </w:r>
      <w:r w:rsidR="00C02282" w:rsidRPr="00CC5938">
        <w:rPr>
          <w:rFonts w:ascii="Arial" w:hAnsi="Arial" w:cs="Arial"/>
          <w:sz w:val="16"/>
          <w:szCs w:val="16"/>
          <w:lang w:eastAsia="es-ES"/>
        </w:rPr>
        <w:t>Millones de pesos</w:t>
      </w:r>
    </w:p>
    <w:p w14:paraId="7E696B34" w14:textId="77777777" w:rsidR="00C02282" w:rsidRPr="00CC5938" w:rsidRDefault="00C02282" w:rsidP="00C02282">
      <w:pPr>
        <w:jc w:val="center"/>
        <w:rPr>
          <w:rFonts w:ascii="Arial" w:hAnsi="Arial" w:cs="Arial"/>
          <w:bCs/>
          <w:lang w:val="es-MX" w:eastAsia="es-ES"/>
        </w:rPr>
      </w:pPr>
      <w:r w:rsidRPr="00CC5938">
        <w:rPr>
          <w:rFonts w:ascii="Calibri" w:hAnsi="Calibri" w:cs="Calibri"/>
          <w:sz w:val="18"/>
          <w:szCs w:val="18"/>
        </w:rPr>
        <w:t>Fuente SIIF</w:t>
      </w:r>
    </w:p>
    <w:p w14:paraId="2D42AE37" w14:textId="7FADB1F5" w:rsidR="00C02282" w:rsidRPr="00CC5938" w:rsidRDefault="00C02282" w:rsidP="00C02282">
      <w:pPr>
        <w:pStyle w:val="Descripcin"/>
        <w:keepNext/>
        <w:jc w:val="center"/>
      </w:pPr>
      <w:bookmarkStart w:id="175" w:name="_Toc525652535"/>
      <w:r w:rsidRPr="00CC5938">
        <w:t xml:space="preserve">Tabla </w:t>
      </w:r>
      <w:r w:rsidRPr="00CC5938">
        <w:fldChar w:fldCharType="begin"/>
      </w:r>
      <w:r w:rsidRPr="00CC5938">
        <w:instrText xml:space="preserve"> SEQ Tabla \* ARABIC </w:instrText>
      </w:r>
      <w:r w:rsidRPr="00CC5938">
        <w:fldChar w:fldCharType="separate"/>
      </w:r>
      <w:r w:rsidR="008B4625">
        <w:rPr>
          <w:noProof/>
        </w:rPr>
        <w:t>90</w:t>
      </w:r>
      <w:r w:rsidRPr="00CC5938">
        <w:fldChar w:fldCharType="end"/>
      </w:r>
      <w:r w:rsidR="00CC5938">
        <w:t xml:space="preserve"> </w:t>
      </w:r>
      <w:r w:rsidRPr="00CC5938">
        <w:t>Ejecución Inversión Fortalecimiento de la Gestión Articulada para La Sostenibilidad del Sector de Hidrocarburos – Por Programas a 3</w:t>
      </w:r>
      <w:r w:rsidR="00CC5938">
        <w:t>0 junio de 2018</w:t>
      </w:r>
      <w:r w:rsidRPr="00CC5938">
        <w:t xml:space="preserve"> ANH</w:t>
      </w:r>
      <w:bookmarkEnd w:id="175"/>
    </w:p>
    <w:tbl>
      <w:tblPr>
        <w:tblStyle w:val="Tablaconcuadrcula"/>
        <w:tblW w:w="9634" w:type="dxa"/>
        <w:tblLook w:val="04A0" w:firstRow="1" w:lastRow="0" w:firstColumn="1" w:lastColumn="0" w:noHBand="0" w:noVBand="1"/>
      </w:tblPr>
      <w:tblGrid>
        <w:gridCol w:w="2547"/>
        <w:gridCol w:w="1391"/>
        <w:gridCol w:w="1392"/>
        <w:gridCol w:w="679"/>
        <w:gridCol w:w="1452"/>
        <w:gridCol w:w="708"/>
        <w:gridCol w:w="898"/>
        <w:gridCol w:w="567"/>
      </w:tblGrid>
      <w:tr w:rsidR="00CC5938" w14:paraId="3DC487FD" w14:textId="77777777" w:rsidTr="00CC5938">
        <w:trPr>
          <w:trHeight w:val="315"/>
        </w:trPr>
        <w:tc>
          <w:tcPr>
            <w:tcW w:w="2547"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1A3791EC"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RUBRO PRESUPUESTAL</w:t>
            </w:r>
          </w:p>
        </w:tc>
        <w:tc>
          <w:tcPr>
            <w:tcW w:w="1391"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0E5BC1C"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xml:space="preserve">APROPIACION </w:t>
            </w:r>
          </w:p>
        </w:tc>
        <w:tc>
          <w:tcPr>
            <w:tcW w:w="1392"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86E72E8"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xml:space="preserve"> COMPROMISO  </w:t>
            </w:r>
          </w:p>
        </w:tc>
        <w:tc>
          <w:tcPr>
            <w:tcW w:w="679"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03B2E55"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w:t>
            </w:r>
          </w:p>
        </w:tc>
        <w:tc>
          <w:tcPr>
            <w:tcW w:w="1452"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296D5CFB"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xml:space="preserve"> OBLIGACIONES  </w:t>
            </w:r>
          </w:p>
        </w:tc>
        <w:tc>
          <w:tcPr>
            <w:tcW w:w="70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6394C473"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w:t>
            </w:r>
          </w:p>
        </w:tc>
        <w:tc>
          <w:tcPr>
            <w:tcW w:w="89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5D41639D"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xml:space="preserve"> PAGO </w:t>
            </w: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30977732"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w:t>
            </w:r>
          </w:p>
        </w:tc>
      </w:tr>
      <w:tr w:rsidR="00CC5938" w14:paraId="43AF167E" w14:textId="77777777" w:rsidTr="00CC5938">
        <w:trPr>
          <w:trHeight w:val="315"/>
        </w:trPr>
        <w:tc>
          <w:tcPr>
            <w:tcW w:w="2547" w:type="dxa"/>
            <w:tcBorders>
              <w:top w:val="single" w:sz="4" w:space="0" w:color="000000"/>
              <w:left w:val="single" w:sz="4" w:space="0" w:color="000000"/>
              <w:bottom w:val="single" w:sz="4" w:space="0" w:color="000000"/>
              <w:right w:val="single" w:sz="4" w:space="0" w:color="000000"/>
            </w:tcBorders>
            <w:hideMark/>
          </w:tcPr>
          <w:p w14:paraId="37A1D20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Mecanismo de articulación</w:t>
            </w:r>
          </w:p>
        </w:tc>
        <w:tc>
          <w:tcPr>
            <w:tcW w:w="1391" w:type="dxa"/>
            <w:tcBorders>
              <w:top w:val="single" w:sz="4" w:space="0" w:color="000000"/>
              <w:left w:val="single" w:sz="4" w:space="0" w:color="000000"/>
              <w:bottom w:val="single" w:sz="4" w:space="0" w:color="000000"/>
              <w:right w:val="single" w:sz="4" w:space="0" w:color="000000"/>
            </w:tcBorders>
            <w:hideMark/>
          </w:tcPr>
          <w:p w14:paraId="5603E7BB"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$ 19.123</w:t>
            </w:r>
          </w:p>
        </w:tc>
        <w:tc>
          <w:tcPr>
            <w:tcW w:w="1392" w:type="dxa"/>
            <w:tcBorders>
              <w:top w:val="single" w:sz="4" w:space="0" w:color="000000"/>
              <w:left w:val="single" w:sz="4" w:space="0" w:color="000000"/>
              <w:bottom w:val="single" w:sz="4" w:space="0" w:color="000000"/>
              <w:right w:val="single" w:sz="4" w:space="0" w:color="000000"/>
            </w:tcBorders>
            <w:hideMark/>
          </w:tcPr>
          <w:p w14:paraId="6EDDD4CF"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$ 19.123</w:t>
            </w:r>
          </w:p>
        </w:tc>
        <w:tc>
          <w:tcPr>
            <w:tcW w:w="679" w:type="dxa"/>
            <w:tcBorders>
              <w:top w:val="single" w:sz="4" w:space="0" w:color="000000"/>
              <w:left w:val="single" w:sz="4" w:space="0" w:color="000000"/>
              <w:bottom w:val="single" w:sz="4" w:space="0" w:color="000000"/>
              <w:right w:val="single" w:sz="4" w:space="0" w:color="000000"/>
            </w:tcBorders>
            <w:hideMark/>
          </w:tcPr>
          <w:p w14:paraId="4F3A0E45"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100%</w:t>
            </w:r>
          </w:p>
        </w:tc>
        <w:tc>
          <w:tcPr>
            <w:tcW w:w="1452" w:type="dxa"/>
            <w:tcBorders>
              <w:top w:val="single" w:sz="4" w:space="0" w:color="000000"/>
              <w:left w:val="single" w:sz="4" w:space="0" w:color="000000"/>
              <w:bottom w:val="single" w:sz="4" w:space="0" w:color="000000"/>
              <w:right w:val="single" w:sz="4" w:space="0" w:color="000000"/>
            </w:tcBorders>
            <w:hideMark/>
          </w:tcPr>
          <w:p w14:paraId="01425DB0"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$ 10.216</w:t>
            </w:r>
          </w:p>
        </w:tc>
        <w:tc>
          <w:tcPr>
            <w:tcW w:w="708" w:type="dxa"/>
            <w:tcBorders>
              <w:top w:val="single" w:sz="4" w:space="0" w:color="000000"/>
              <w:left w:val="single" w:sz="4" w:space="0" w:color="000000"/>
              <w:bottom w:val="single" w:sz="4" w:space="0" w:color="000000"/>
              <w:right w:val="single" w:sz="4" w:space="0" w:color="000000"/>
            </w:tcBorders>
            <w:hideMark/>
          </w:tcPr>
          <w:p w14:paraId="6A10DCA3"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53%</w:t>
            </w:r>
          </w:p>
        </w:tc>
        <w:tc>
          <w:tcPr>
            <w:tcW w:w="898" w:type="dxa"/>
            <w:tcBorders>
              <w:top w:val="single" w:sz="4" w:space="0" w:color="000000"/>
              <w:left w:val="single" w:sz="4" w:space="0" w:color="000000"/>
              <w:bottom w:val="single" w:sz="4" w:space="0" w:color="000000"/>
              <w:right w:val="single" w:sz="4" w:space="0" w:color="000000"/>
            </w:tcBorders>
            <w:hideMark/>
          </w:tcPr>
          <w:p w14:paraId="23ED3FCB"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$ 10.216</w:t>
            </w:r>
          </w:p>
        </w:tc>
        <w:tc>
          <w:tcPr>
            <w:tcW w:w="567" w:type="dxa"/>
            <w:tcBorders>
              <w:top w:val="single" w:sz="4" w:space="0" w:color="000000"/>
              <w:left w:val="single" w:sz="4" w:space="0" w:color="000000"/>
              <w:bottom w:val="single" w:sz="4" w:space="0" w:color="000000"/>
              <w:right w:val="single" w:sz="4" w:space="0" w:color="000000"/>
            </w:tcBorders>
            <w:hideMark/>
          </w:tcPr>
          <w:p w14:paraId="5FB5273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53%</w:t>
            </w:r>
          </w:p>
        </w:tc>
      </w:tr>
      <w:tr w:rsidR="00CC5938" w14:paraId="6D515327" w14:textId="77777777" w:rsidTr="00CC5938">
        <w:trPr>
          <w:trHeight w:val="315"/>
        </w:trPr>
        <w:tc>
          <w:tcPr>
            <w:tcW w:w="2547" w:type="dxa"/>
            <w:tcBorders>
              <w:top w:val="single" w:sz="4" w:space="0" w:color="000000"/>
              <w:left w:val="single" w:sz="4" w:space="0" w:color="000000"/>
              <w:bottom w:val="single" w:sz="4" w:space="0" w:color="000000"/>
              <w:right w:val="single" w:sz="4" w:space="0" w:color="000000"/>
            </w:tcBorders>
            <w:hideMark/>
          </w:tcPr>
          <w:p w14:paraId="2EFEB69E"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Mecanismo de articulación</w:t>
            </w:r>
          </w:p>
        </w:tc>
        <w:tc>
          <w:tcPr>
            <w:tcW w:w="1391" w:type="dxa"/>
            <w:tcBorders>
              <w:top w:val="single" w:sz="4" w:space="0" w:color="000000"/>
              <w:left w:val="single" w:sz="4" w:space="0" w:color="000000"/>
              <w:bottom w:val="single" w:sz="4" w:space="0" w:color="000000"/>
              <w:right w:val="single" w:sz="4" w:space="0" w:color="000000"/>
            </w:tcBorders>
            <w:hideMark/>
          </w:tcPr>
          <w:p w14:paraId="7CB092E0"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$ 12.689</w:t>
            </w:r>
          </w:p>
        </w:tc>
        <w:tc>
          <w:tcPr>
            <w:tcW w:w="1392" w:type="dxa"/>
            <w:tcBorders>
              <w:top w:val="single" w:sz="4" w:space="0" w:color="000000"/>
              <w:left w:val="single" w:sz="4" w:space="0" w:color="000000"/>
              <w:bottom w:val="single" w:sz="4" w:space="0" w:color="000000"/>
              <w:right w:val="single" w:sz="4" w:space="0" w:color="000000"/>
            </w:tcBorders>
            <w:hideMark/>
          </w:tcPr>
          <w:p w14:paraId="1CFFA685"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$ 9.461</w:t>
            </w:r>
          </w:p>
        </w:tc>
        <w:tc>
          <w:tcPr>
            <w:tcW w:w="679" w:type="dxa"/>
            <w:tcBorders>
              <w:top w:val="single" w:sz="4" w:space="0" w:color="000000"/>
              <w:left w:val="single" w:sz="4" w:space="0" w:color="000000"/>
              <w:bottom w:val="single" w:sz="4" w:space="0" w:color="000000"/>
              <w:right w:val="single" w:sz="4" w:space="0" w:color="000000"/>
            </w:tcBorders>
            <w:hideMark/>
          </w:tcPr>
          <w:p w14:paraId="16A3FBA2"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75%</w:t>
            </w:r>
          </w:p>
        </w:tc>
        <w:tc>
          <w:tcPr>
            <w:tcW w:w="1452" w:type="dxa"/>
            <w:tcBorders>
              <w:top w:val="single" w:sz="4" w:space="0" w:color="000000"/>
              <w:left w:val="single" w:sz="4" w:space="0" w:color="000000"/>
              <w:bottom w:val="single" w:sz="4" w:space="0" w:color="000000"/>
              <w:right w:val="single" w:sz="4" w:space="0" w:color="000000"/>
            </w:tcBorders>
            <w:hideMark/>
          </w:tcPr>
          <w:p w14:paraId="2BF93BF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$ 900</w:t>
            </w:r>
          </w:p>
        </w:tc>
        <w:tc>
          <w:tcPr>
            <w:tcW w:w="708" w:type="dxa"/>
            <w:tcBorders>
              <w:top w:val="single" w:sz="4" w:space="0" w:color="000000"/>
              <w:left w:val="single" w:sz="4" w:space="0" w:color="000000"/>
              <w:bottom w:val="single" w:sz="4" w:space="0" w:color="000000"/>
              <w:right w:val="single" w:sz="4" w:space="0" w:color="000000"/>
            </w:tcBorders>
            <w:hideMark/>
          </w:tcPr>
          <w:p w14:paraId="137F0CFD"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7%</w:t>
            </w:r>
          </w:p>
        </w:tc>
        <w:tc>
          <w:tcPr>
            <w:tcW w:w="898" w:type="dxa"/>
            <w:tcBorders>
              <w:top w:val="single" w:sz="4" w:space="0" w:color="000000"/>
              <w:left w:val="single" w:sz="4" w:space="0" w:color="000000"/>
              <w:bottom w:val="single" w:sz="4" w:space="0" w:color="000000"/>
              <w:right w:val="single" w:sz="4" w:space="0" w:color="000000"/>
            </w:tcBorders>
            <w:hideMark/>
          </w:tcPr>
          <w:p w14:paraId="0C22029B"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$ 900</w:t>
            </w:r>
          </w:p>
        </w:tc>
        <w:tc>
          <w:tcPr>
            <w:tcW w:w="567" w:type="dxa"/>
            <w:tcBorders>
              <w:top w:val="single" w:sz="4" w:space="0" w:color="000000"/>
              <w:left w:val="single" w:sz="4" w:space="0" w:color="000000"/>
              <w:bottom w:val="single" w:sz="4" w:space="0" w:color="000000"/>
              <w:right w:val="single" w:sz="4" w:space="0" w:color="000000"/>
            </w:tcBorders>
            <w:hideMark/>
          </w:tcPr>
          <w:p w14:paraId="0FCAACB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7%</w:t>
            </w:r>
          </w:p>
        </w:tc>
      </w:tr>
      <w:tr w:rsidR="00CC5938" w14:paraId="60DE1811" w14:textId="77777777" w:rsidTr="00CC5938">
        <w:trPr>
          <w:trHeight w:val="315"/>
        </w:trPr>
        <w:tc>
          <w:tcPr>
            <w:tcW w:w="2547" w:type="dxa"/>
            <w:tcBorders>
              <w:top w:val="single" w:sz="4" w:space="0" w:color="000000"/>
              <w:left w:val="single" w:sz="4" w:space="0" w:color="000000"/>
              <w:bottom w:val="single" w:sz="4" w:space="0" w:color="000000"/>
              <w:right w:val="single" w:sz="4" w:space="0" w:color="000000"/>
            </w:tcBorders>
            <w:hideMark/>
          </w:tcPr>
          <w:p w14:paraId="63EFFB79"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Gestión socio ambiental</w:t>
            </w:r>
          </w:p>
        </w:tc>
        <w:tc>
          <w:tcPr>
            <w:tcW w:w="1391" w:type="dxa"/>
            <w:tcBorders>
              <w:top w:val="single" w:sz="4" w:space="0" w:color="000000"/>
              <w:left w:val="single" w:sz="4" w:space="0" w:color="000000"/>
              <w:bottom w:val="single" w:sz="4" w:space="0" w:color="000000"/>
              <w:right w:val="single" w:sz="4" w:space="0" w:color="000000"/>
            </w:tcBorders>
            <w:hideMark/>
          </w:tcPr>
          <w:p w14:paraId="088F37FD"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$ 2.749</w:t>
            </w:r>
          </w:p>
        </w:tc>
        <w:tc>
          <w:tcPr>
            <w:tcW w:w="1392" w:type="dxa"/>
            <w:tcBorders>
              <w:top w:val="single" w:sz="4" w:space="0" w:color="000000"/>
              <w:left w:val="single" w:sz="4" w:space="0" w:color="000000"/>
              <w:bottom w:val="single" w:sz="4" w:space="0" w:color="000000"/>
              <w:right w:val="single" w:sz="4" w:space="0" w:color="000000"/>
            </w:tcBorders>
            <w:hideMark/>
          </w:tcPr>
          <w:p w14:paraId="79638F04"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$ 2.749</w:t>
            </w:r>
          </w:p>
        </w:tc>
        <w:tc>
          <w:tcPr>
            <w:tcW w:w="679" w:type="dxa"/>
            <w:tcBorders>
              <w:top w:val="single" w:sz="4" w:space="0" w:color="000000"/>
              <w:left w:val="single" w:sz="4" w:space="0" w:color="000000"/>
              <w:bottom w:val="single" w:sz="4" w:space="0" w:color="000000"/>
              <w:right w:val="single" w:sz="4" w:space="0" w:color="000000"/>
            </w:tcBorders>
            <w:hideMark/>
          </w:tcPr>
          <w:p w14:paraId="7B728FCD"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100%</w:t>
            </w:r>
          </w:p>
        </w:tc>
        <w:tc>
          <w:tcPr>
            <w:tcW w:w="1452" w:type="dxa"/>
            <w:tcBorders>
              <w:top w:val="single" w:sz="4" w:space="0" w:color="000000"/>
              <w:left w:val="single" w:sz="4" w:space="0" w:color="000000"/>
              <w:bottom w:val="single" w:sz="4" w:space="0" w:color="000000"/>
              <w:right w:val="single" w:sz="4" w:space="0" w:color="000000"/>
            </w:tcBorders>
            <w:hideMark/>
          </w:tcPr>
          <w:p w14:paraId="75039558"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$ 730</w:t>
            </w:r>
          </w:p>
        </w:tc>
        <w:tc>
          <w:tcPr>
            <w:tcW w:w="708" w:type="dxa"/>
            <w:tcBorders>
              <w:top w:val="single" w:sz="4" w:space="0" w:color="000000"/>
              <w:left w:val="single" w:sz="4" w:space="0" w:color="000000"/>
              <w:bottom w:val="single" w:sz="4" w:space="0" w:color="000000"/>
              <w:right w:val="single" w:sz="4" w:space="0" w:color="000000"/>
            </w:tcBorders>
            <w:hideMark/>
          </w:tcPr>
          <w:p w14:paraId="25854423"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27%</w:t>
            </w:r>
          </w:p>
        </w:tc>
        <w:tc>
          <w:tcPr>
            <w:tcW w:w="898" w:type="dxa"/>
            <w:tcBorders>
              <w:top w:val="single" w:sz="4" w:space="0" w:color="000000"/>
              <w:left w:val="single" w:sz="4" w:space="0" w:color="000000"/>
              <w:bottom w:val="single" w:sz="4" w:space="0" w:color="000000"/>
              <w:right w:val="single" w:sz="4" w:space="0" w:color="000000"/>
            </w:tcBorders>
            <w:hideMark/>
          </w:tcPr>
          <w:p w14:paraId="0493AD3D"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$ 730</w:t>
            </w:r>
          </w:p>
        </w:tc>
        <w:tc>
          <w:tcPr>
            <w:tcW w:w="567" w:type="dxa"/>
            <w:tcBorders>
              <w:top w:val="single" w:sz="4" w:space="0" w:color="000000"/>
              <w:left w:val="single" w:sz="4" w:space="0" w:color="000000"/>
              <w:bottom w:val="single" w:sz="4" w:space="0" w:color="000000"/>
              <w:right w:val="single" w:sz="4" w:space="0" w:color="000000"/>
            </w:tcBorders>
            <w:hideMark/>
          </w:tcPr>
          <w:p w14:paraId="3069AB51"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27%</w:t>
            </w:r>
          </w:p>
        </w:tc>
      </w:tr>
      <w:tr w:rsidR="00CC5938" w14:paraId="1131C756" w14:textId="77777777" w:rsidTr="00CC5938">
        <w:trPr>
          <w:trHeight w:val="525"/>
        </w:trPr>
        <w:tc>
          <w:tcPr>
            <w:tcW w:w="2547" w:type="dxa"/>
            <w:tcBorders>
              <w:top w:val="single" w:sz="4" w:space="0" w:color="000000"/>
              <w:left w:val="single" w:sz="4" w:space="0" w:color="000000"/>
              <w:bottom w:val="single" w:sz="4" w:space="0" w:color="000000"/>
              <w:right w:val="single" w:sz="4" w:space="0" w:color="000000"/>
            </w:tcBorders>
            <w:hideMark/>
          </w:tcPr>
          <w:p w14:paraId="434E359E"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Procesos de comunicación y participación</w:t>
            </w:r>
          </w:p>
        </w:tc>
        <w:tc>
          <w:tcPr>
            <w:tcW w:w="1391" w:type="dxa"/>
            <w:tcBorders>
              <w:top w:val="single" w:sz="4" w:space="0" w:color="000000"/>
              <w:left w:val="single" w:sz="4" w:space="0" w:color="000000"/>
              <w:bottom w:val="single" w:sz="4" w:space="0" w:color="000000"/>
              <w:right w:val="single" w:sz="4" w:space="0" w:color="000000"/>
            </w:tcBorders>
            <w:hideMark/>
          </w:tcPr>
          <w:p w14:paraId="2A6BC864"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$ 9.485</w:t>
            </w:r>
          </w:p>
        </w:tc>
        <w:tc>
          <w:tcPr>
            <w:tcW w:w="1392" w:type="dxa"/>
            <w:tcBorders>
              <w:top w:val="single" w:sz="4" w:space="0" w:color="000000"/>
              <w:left w:val="single" w:sz="4" w:space="0" w:color="000000"/>
              <w:bottom w:val="single" w:sz="4" w:space="0" w:color="000000"/>
              <w:right w:val="single" w:sz="4" w:space="0" w:color="000000"/>
            </w:tcBorders>
            <w:hideMark/>
          </w:tcPr>
          <w:p w14:paraId="03F35D94"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$ 8.489</w:t>
            </w:r>
          </w:p>
        </w:tc>
        <w:tc>
          <w:tcPr>
            <w:tcW w:w="679" w:type="dxa"/>
            <w:tcBorders>
              <w:top w:val="single" w:sz="4" w:space="0" w:color="000000"/>
              <w:left w:val="single" w:sz="4" w:space="0" w:color="000000"/>
              <w:bottom w:val="single" w:sz="4" w:space="0" w:color="000000"/>
              <w:right w:val="single" w:sz="4" w:space="0" w:color="000000"/>
            </w:tcBorders>
            <w:hideMark/>
          </w:tcPr>
          <w:p w14:paraId="2A59A18D"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89%</w:t>
            </w:r>
          </w:p>
        </w:tc>
        <w:tc>
          <w:tcPr>
            <w:tcW w:w="1452" w:type="dxa"/>
            <w:tcBorders>
              <w:top w:val="single" w:sz="4" w:space="0" w:color="000000"/>
              <w:left w:val="single" w:sz="4" w:space="0" w:color="000000"/>
              <w:bottom w:val="single" w:sz="4" w:space="0" w:color="000000"/>
              <w:right w:val="single" w:sz="4" w:space="0" w:color="000000"/>
            </w:tcBorders>
            <w:hideMark/>
          </w:tcPr>
          <w:p w14:paraId="4B976D32"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$ 730</w:t>
            </w:r>
          </w:p>
        </w:tc>
        <w:tc>
          <w:tcPr>
            <w:tcW w:w="708" w:type="dxa"/>
            <w:tcBorders>
              <w:top w:val="single" w:sz="4" w:space="0" w:color="000000"/>
              <w:left w:val="single" w:sz="4" w:space="0" w:color="000000"/>
              <w:bottom w:val="single" w:sz="4" w:space="0" w:color="000000"/>
              <w:right w:val="single" w:sz="4" w:space="0" w:color="000000"/>
            </w:tcBorders>
            <w:hideMark/>
          </w:tcPr>
          <w:p w14:paraId="0B45023D"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8%</w:t>
            </w:r>
          </w:p>
        </w:tc>
        <w:tc>
          <w:tcPr>
            <w:tcW w:w="898" w:type="dxa"/>
            <w:tcBorders>
              <w:top w:val="single" w:sz="4" w:space="0" w:color="000000"/>
              <w:left w:val="single" w:sz="4" w:space="0" w:color="000000"/>
              <w:bottom w:val="single" w:sz="4" w:space="0" w:color="000000"/>
              <w:right w:val="single" w:sz="4" w:space="0" w:color="000000"/>
            </w:tcBorders>
            <w:hideMark/>
          </w:tcPr>
          <w:p w14:paraId="7173A74A"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$ 730</w:t>
            </w:r>
          </w:p>
        </w:tc>
        <w:tc>
          <w:tcPr>
            <w:tcW w:w="567" w:type="dxa"/>
            <w:tcBorders>
              <w:top w:val="single" w:sz="4" w:space="0" w:color="000000"/>
              <w:left w:val="single" w:sz="4" w:space="0" w:color="000000"/>
              <w:bottom w:val="single" w:sz="4" w:space="0" w:color="000000"/>
              <w:right w:val="single" w:sz="4" w:space="0" w:color="000000"/>
            </w:tcBorders>
            <w:hideMark/>
          </w:tcPr>
          <w:p w14:paraId="7CE5A682"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8%</w:t>
            </w:r>
          </w:p>
        </w:tc>
      </w:tr>
      <w:tr w:rsidR="00CC5938" w14:paraId="4FF9CAC7" w14:textId="77777777" w:rsidTr="00CC5938">
        <w:trPr>
          <w:trHeight w:val="315"/>
        </w:trPr>
        <w:tc>
          <w:tcPr>
            <w:tcW w:w="2547" w:type="dxa"/>
            <w:tcBorders>
              <w:top w:val="single" w:sz="4" w:space="0" w:color="000000"/>
              <w:left w:val="single" w:sz="4" w:space="0" w:color="000000"/>
              <w:bottom w:val="single" w:sz="4" w:space="0" w:color="000000"/>
              <w:right w:val="single" w:sz="4" w:space="0" w:color="000000"/>
            </w:tcBorders>
            <w:noWrap/>
            <w:hideMark/>
          </w:tcPr>
          <w:p w14:paraId="3DB8D654"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Conocimiento Ambiental y Social</w:t>
            </w:r>
          </w:p>
        </w:tc>
        <w:tc>
          <w:tcPr>
            <w:tcW w:w="1391" w:type="dxa"/>
            <w:tcBorders>
              <w:top w:val="single" w:sz="4" w:space="0" w:color="000000"/>
              <w:left w:val="single" w:sz="4" w:space="0" w:color="000000"/>
              <w:bottom w:val="single" w:sz="4" w:space="0" w:color="000000"/>
              <w:right w:val="single" w:sz="4" w:space="0" w:color="000000"/>
            </w:tcBorders>
            <w:hideMark/>
          </w:tcPr>
          <w:p w14:paraId="7703352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$ 4.880</w:t>
            </w:r>
          </w:p>
        </w:tc>
        <w:tc>
          <w:tcPr>
            <w:tcW w:w="1392" w:type="dxa"/>
            <w:tcBorders>
              <w:top w:val="single" w:sz="4" w:space="0" w:color="000000"/>
              <w:left w:val="single" w:sz="4" w:space="0" w:color="000000"/>
              <w:bottom w:val="single" w:sz="4" w:space="0" w:color="000000"/>
              <w:right w:val="single" w:sz="4" w:space="0" w:color="000000"/>
            </w:tcBorders>
            <w:hideMark/>
          </w:tcPr>
          <w:p w14:paraId="511BBEF6"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$ 4.876</w:t>
            </w:r>
          </w:p>
        </w:tc>
        <w:tc>
          <w:tcPr>
            <w:tcW w:w="679" w:type="dxa"/>
            <w:tcBorders>
              <w:top w:val="single" w:sz="4" w:space="0" w:color="000000"/>
              <w:left w:val="single" w:sz="4" w:space="0" w:color="000000"/>
              <w:bottom w:val="single" w:sz="4" w:space="0" w:color="000000"/>
              <w:right w:val="single" w:sz="4" w:space="0" w:color="000000"/>
            </w:tcBorders>
            <w:hideMark/>
          </w:tcPr>
          <w:p w14:paraId="3079C573"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100%</w:t>
            </w:r>
          </w:p>
        </w:tc>
        <w:tc>
          <w:tcPr>
            <w:tcW w:w="1452" w:type="dxa"/>
            <w:tcBorders>
              <w:top w:val="single" w:sz="4" w:space="0" w:color="000000"/>
              <w:left w:val="single" w:sz="4" w:space="0" w:color="000000"/>
              <w:bottom w:val="single" w:sz="4" w:space="0" w:color="000000"/>
              <w:right w:val="single" w:sz="4" w:space="0" w:color="000000"/>
            </w:tcBorders>
            <w:hideMark/>
          </w:tcPr>
          <w:p w14:paraId="4A989DB3"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$ 334</w:t>
            </w:r>
          </w:p>
        </w:tc>
        <w:tc>
          <w:tcPr>
            <w:tcW w:w="708" w:type="dxa"/>
            <w:tcBorders>
              <w:top w:val="single" w:sz="4" w:space="0" w:color="000000"/>
              <w:left w:val="single" w:sz="4" w:space="0" w:color="000000"/>
              <w:bottom w:val="single" w:sz="4" w:space="0" w:color="000000"/>
              <w:right w:val="single" w:sz="4" w:space="0" w:color="000000"/>
            </w:tcBorders>
            <w:hideMark/>
          </w:tcPr>
          <w:p w14:paraId="5BE6BC75"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7%</w:t>
            </w:r>
          </w:p>
        </w:tc>
        <w:tc>
          <w:tcPr>
            <w:tcW w:w="898" w:type="dxa"/>
            <w:tcBorders>
              <w:top w:val="single" w:sz="4" w:space="0" w:color="000000"/>
              <w:left w:val="single" w:sz="4" w:space="0" w:color="000000"/>
              <w:bottom w:val="single" w:sz="4" w:space="0" w:color="000000"/>
              <w:right w:val="single" w:sz="4" w:space="0" w:color="000000"/>
            </w:tcBorders>
            <w:hideMark/>
          </w:tcPr>
          <w:p w14:paraId="3DD8CBF1"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$ 334</w:t>
            </w:r>
          </w:p>
        </w:tc>
        <w:tc>
          <w:tcPr>
            <w:tcW w:w="567" w:type="dxa"/>
            <w:tcBorders>
              <w:top w:val="single" w:sz="4" w:space="0" w:color="000000"/>
              <w:left w:val="single" w:sz="4" w:space="0" w:color="000000"/>
              <w:bottom w:val="single" w:sz="4" w:space="0" w:color="000000"/>
              <w:right w:val="single" w:sz="4" w:space="0" w:color="000000"/>
            </w:tcBorders>
            <w:hideMark/>
          </w:tcPr>
          <w:p w14:paraId="4114A48F"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7%</w:t>
            </w:r>
          </w:p>
        </w:tc>
      </w:tr>
      <w:tr w:rsidR="00CC5938" w14:paraId="0CE65D66" w14:textId="77777777" w:rsidTr="00CC5938">
        <w:trPr>
          <w:trHeight w:val="315"/>
        </w:trPr>
        <w:tc>
          <w:tcPr>
            <w:tcW w:w="2547" w:type="dxa"/>
            <w:tcBorders>
              <w:top w:val="single" w:sz="4" w:space="0" w:color="000000"/>
              <w:left w:val="single" w:sz="4" w:space="0" w:color="000000"/>
              <w:bottom w:val="single" w:sz="4" w:space="0" w:color="000000"/>
              <w:right w:val="single" w:sz="4" w:space="0" w:color="000000"/>
            </w:tcBorders>
            <w:noWrap/>
            <w:hideMark/>
          </w:tcPr>
          <w:p w14:paraId="3CE5236A"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GMF 4*1000</w:t>
            </w:r>
          </w:p>
        </w:tc>
        <w:tc>
          <w:tcPr>
            <w:tcW w:w="1391" w:type="dxa"/>
            <w:tcBorders>
              <w:top w:val="single" w:sz="4" w:space="0" w:color="000000"/>
              <w:left w:val="single" w:sz="4" w:space="0" w:color="000000"/>
              <w:bottom w:val="single" w:sz="4" w:space="0" w:color="000000"/>
              <w:right w:val="single" w:sz="4" w:space="0" w:color="000000"/>
            </w:tcBorders>
            <w:hideMark/>
          </w:tcPr>
          <w:p w14:paraId="3D8C5B4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$ 195</w:t>
            </w:r>
          </w:p>
        </w:tc>
        <w:tc>
          <w:tcPr>
            <w:tcW w:w="1392" w:type="dxa"/>
            <w:tcBorders>
              <w:top w:val="single" w:sz="4" w:space="0" w:color="000000"/>
              <w:left w:val="single" w:sz="4" w:space="0" w:color="000000"/>
              <w:bottom w:val="single" w:sz="4" w:space="0" w:color="000000"/>
              <w:right w:val="single" w:sz="4" w:space="0" w:color="000000"/>
            </w:tcBorders>
            <w:hideMark/>
          </w:tcPr>
          <w:p w14:paraId="4C973884"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$ 0</w:t>
            </w:r>
          </w:p>
        </w:tc>
        <w:tc>
          <w:tcPr>
            <w:tcW w:w="679" w:type="dxa"/>
            <w:tcBorders>
              <w:top w:val="single" w:sz="4" w:space="0" w:color="000000"/>
              <w:left w:val="single" w:sz="4" w:space="0" w:color="000000"/>
              <w:bottom w:val="single" w:sz="4" w:space="0" w:color="000000"/>
              <w:right w:val="single" w:sz="4" w:space="0" w:color="000000"/>
            </w:tcBorders>
            <w:hideMark/>
          </w:tcPr>
          <w:p w14:paraId="60600BD9"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0%</w:t>
            </w:r>
          </w:p>
        </w:tc>
        <w:tc>
          <w:tcPr>
            <w:tcW w:w="1452" w:type="dxa"/>
            <w:tcBorders>
              <w:top w:val="single" w:sz="4" w:space="0" w:color="000000"/>
              <w:left w:val="single" w:sz="4" w:space="0" w:color="000000"/>
              <w:bottom w:val="single" w:sz="4" w:space="0" w:color="000000"/>
              <w:right w:val="single" w:sz="4" w:space="0" w:color="000000"/>
            </w:tcBorders>
            <w:hideMark/>
          </w:tcPr>
          <w:p w14:paraId="5FB37340"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$ 0</w:t>
            </w:r>
          </w:p>
        </w:tc>
        <w:tc>
          <w:tcPr>
            <w:tcW w:w="708" w:type="dxa"/>
            <w:tcBorders>
              <w:top w:val="single" w:sz="4" w:space="0" w:color="000000"/>
              <w:left w:val="single" w:sz="4" w:space="0" w:color="000000"/>
              <w:bottom w:val="single" w:sz="4" w:space="0" w:color="000000"/>
              <w:right w:val="single" w:sz="4" w:space="0" w:color="000000"/>
            </w:tcBorders>
            <w:hideMark/>
          </w:tcPr>
          <w:p w14:paraId="02593BEA"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0%</w:t>
            </w:r>
          </w:p>
        </w:tc>
        <w:tc>
          <w:tcPr>
            <w:tcW w:w="898" w:type="dxa"/>
            <w:tcBorders>
              <w:top w:val="single" w:sz="4" w:space="0" w:color="000000"/>
              <w:left w:val="single" w:sz="4" w:space="0" w:color="000000"/>
              <w:bottom w:val="single" w:sz="4" w:space="0" w:color="000000"/>
              <w:right w:val="single" w:sz="4" w:space="0" w:color="000000"/>
            </w:tcBorders>
            <w:hideMark/>
          </w:tcPr>
          <w:p w14:paraId="345C356F"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$ 0</w:t>
            </w:r>
          </w:p>
        </w:tc>
        <w:tc>
          <w:tcPr>
            <w:tcW w:w="567" w:type="dxa"/>
            <w:tcBorders>
              <w:top w:val="single" w:sz="4" w:space="0" w:color="000000"/>
              <w:left w:val="single" w:sz="4" w:space="0" w:color="000000"/>
              <w:bottom w:val="single" w:sz="4" w:space="0" w:color="000000"/>
              <w:right w:val="single" w:sz="4" w:space="0" w:color="000000"/>
            </w:tcBorders>
            <w:hideMark/>
          </w:tcPr>
          <w:p w14:paraId="507AAA5C" w14:textId="77777777" w:rsidR="00CC5938" w:rsidRDefault="00CC5938">
            <w:pPr>
              <w:jc w:val="center"/>
              <w:rPr>
                <w:rFonts w:ascii="Arial" w:hAnsi="Arial" w:cs="Arial"/>
                <w:bCs/>
                <w:sz w:val="16"/>
                <w:szCs w:val="16"/>
                <w:lang w:eastAsia="es-ES"/>
              </w:rPr>
            </w:pPr>
            <w:r>
              <w:rPr>
                <w:rFonts w:ascii="Arial" w:hAnsi="Arial" w:cs="Arial"/>
                <w:bCs/>
                <w:sz w:val="16"/>
                <w:szCs w:val="16"/>
                <w:lang w:eastAsia="es-ES"/>
              </w:rPr>
              <w:t>0%</w:t>
            </w:r>
          </w:p>
        </w:tc>
      </w:tr>
      <w:tr w:rsidR="00CC5938" w14:paraId="48B7B079" w14:textId="77777777" w:rsidTr="00CC5938">
        <w:trPr>
          <w:trHeight w:val="525"/>
        </w:trPr>
        <w:tc>
          <w:tcPr>
            <w:tcW w:w="2547"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7C99BA96"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Total, Proyecto a 30 de junio</w:t>
            </w:r>
          </w:p>
        </w:tc>
        <w:tc>
          <w:tcPr>
            <w:tcW w:w="1391"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309816F6"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49.121</w:t>
            </w:r>
          </w:p>
        </w:tc>
        <w:tc>
          <w:tcPr>
            <w:tcW w:w="1392"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55B5A89E"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$ 44.698</w:t>
            </w:r>
          </w:p>
        </w:tc>
        <w:tc>
          <w:tcPr>
            <w:tcW w:w="679"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351299A7"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91%</w:t>
            </w:r>
          </w:p>
        </w:tc>
        <w:tc>
          <w:tcPr>
            <w:tcW w:w="1452"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259D76DC"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$ 12.910</w:t>
            </w:r>
          </w:p>
        </w:tc>
        <w:tc>
          <w:tcPr>
            <w:tcW w:w="70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24E58B93"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26%</w:t>
            </w:r>
          </w:p>
        </w:tc>
        <w:tc>
          <w:tcPr>
            <w:tcW w:w="898"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15283BFB"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$ 12.910</w:t>
            </w:r>
          </w:p>
        </w:tc>
        <w:tc>
          <w:tcPr>
            <w:tcW w:w="567" w:type="dxa"/>
            <w:tcBorders>
              <w:top w:val="single" w:sz="4" w:space="0" w:color="000000"/>
              <w:left w:val="single" w:sz="4" w:space="0" w:color="000000"/>
              <w:bottom w:val="single" w:sz="4" w:space="0" w:color="000000"/>
              <w:right w:val="single" w:sz="4" w:space="0" w:color="000000"/>
            </w:tcBorders>
            <w:shd w:val="clear" w:color="auto" w:fill="4F81BD" w:themeFill="accent1"/>
            <w:hideMark/>
          </w:tcPr>
          <w:p w14:paraId="4391BACA" w14:textId="77777777" w:rsidR="00CC5938" w:rsidRDefault="00CC5938">
            <w:pPr>
              <w:jc w:val="center"/>
              <w:rPr>
                <w:rFonts w:ascii="Arial" w:hAnsi="Arial" w:cs="Arial"/>
                <w:b/>
                <w:bCs/>
                <w:sz w:val="16"/>
                <w:szCs w:val="16"/>
                <w:lang w:eastAsia="es-ES"/>
              </w:rPr>
            </w:pPr>
            <w:r>
              <w:rPr>
                <w:rFonts w:ascii="Arial" w:hAnsi="Arial" w:cs="Arial"/>
                <w:b/>
                <w:bCs/>
                <w:sz w:val="16"/>
                <w:szCs w:val="16"/>
                <w:lang w:eastAsia="es-ES"/>
              </w:rPr>
              <w:t>26%</w:t>
            </w:r>
          </w:p>
        </w:tc>
      </w:tr>
    </w:tbl>
    <w:p w14:paraId="53998050" w14:textId="49F9EAAC" w:rsidR="00C02282" w:rsidRPr="00CC5938" w:rsidRDefault="00CC5938" w:rsidP="00C02282">
      <w:pPr>
        <w:spacing w:after="0" w:line="240" w:lineRule="auto"/>
        <w:jc w:val="center"/>
        <w:rPr>
          <w:rFonts w:ascii="Arial" w:eastAsia="Calibri" w:hAnsi="Arial" w:cs="Arial"/>
          <w:sz w:val="16"/>
          <w:szCs w:val="16"/>
        </w:rPr>
      </w:pPr>
      <w:r w:rsidRPr="00CC5938">
        <w:rPr>
          <w:rFonts w:ascii="Arial" w:hAnsi="Arial" w:cs="Arial"/>
          <w:sz w:val="16"/>
          <w:szCs w:val="16"/>
          <w:lang w:eastAsia="es-ES"/>
        </w:rPr>
        <w:t xml:space="preserve"> </w:t>
      </w:r>
      <w:r w:rsidR="00C02282" w:rsidRPr="00CC5938">
        <w:rPr>
          <w:rFonts w:ascii="Arial" w:hAnsi="Arial" w:cs="Arial"/>
          <w:sz w:val="16"/>
          <w:szCs w:val="16"/>
          <w:lang w:eastAsia="es-ES"/>
        </w:rPr>
        <w:t>Millones de pesos</w:t>
      </w:r>
    </w:p>
    <w:p w14:paraId="42DC5E8B" w14:textId="77777777" w:rsidR="00C02282" w:rsidRPr="00CC5938" w:rsidRDefault="00C02282" w:rsidP="00C02282">
      <w:pPr>
        <w:jc w:val="center"/>
        <w:rPr>
          <w:rFonts w:ascii="Arial" w:hAnsi="Arial" w:cs="Arial"/>
          <w:bCs/>
          <w:lang w:val="es-MX" w:eastAsia="es-ES"/>
        </w:rPr>
      </w:pPr>
      <w:r w:rsidRPr="00CC5938">
        <w:rPr>
          <w:rFonts w:ascii="Calibri" w:hAnsi="Calibri" w:cs="Calibri"/>
          <w:sz w:val="18"/>
          <w:szCs w:val="18"/>
        </w:rPr>
        <w:t>Fuente SIIF</w:t>
      </w:r>
    </w:p>
    <w:p w14:paraId="4A648418" w14:textId="13ACA4B9" w:rsidR="00C02282" w:rsidRPr="00CC5938" w:rsidRDefault="00C02282" w:rsidP="00C02282">
      <w:pPr>
        <w:rPr>
          <w:rFonts w:ascii="Arial" w:eastAsia="Batang" w:hAnsi="Arial" w:cs="Arial"/>
          <w:b/>
          <w:color w:val="000000" w:themeColor="text1"/>
        </w:rPr>
      </w:pPr>
      <w:r w:rsidRPr="00CC5938">
        <w:rPr>
          <w:rFonts w:ascii="Arial" w:eastAsia="Batang" w:hAnsi="Arial" w:cs="Arial"/>
          <w:b/>
          <w:color w:val="000000" w:themeColor="text1"/>
        </w:rPr>
        <w:lastRenderedPageBreak/>
        <w:t>Actividades Desarrolladas durante el I</w:t>
      </w:r>
      <w:r w:rsidR="00CC5938" w:rsidRPr="00CC5938">
        <w:rPr>
          <w:rFonts w:ascii="Arial" w:eastAsia="Batang" w:hAnsi="Arial" w:cs="Arial"/>
          <w:b/>
          <w:color w:val="000000" w:themeColor="text1"/>
        </w:rPr>
        <w:t>I</w:t>
      </w:r>
      <w:r w:rsidRPr="00CC5938">
        <w:rPr>
          <w:rFonts w:ascii="Arial" w:eastAsia="Batang" w:hAnsi="Arial" w:cs="Arial"/>
          <w:b/>
          <w:color w:val="000000" w:themeColor="text1"/>
        </w:rPr>
        <w:t xml:space="preserve"> Trimestre 2018</w:t>
      </w:r>
    </w:p>
    <w:p w14:paraId="7D68FA89" w14:textId="77777777" w:rsidR="00CC5938" w:rsidRDefault="00CC5938" w:rsidP="00CC5938">
      <w:pPr>
        <w:tabs>
          <w:tab w:val="left" w:pos="7725"/>
        </w:tabs>
        <w:jc w:val="both"/>
        <w:rPr>
          <w:rFonts w:ascii="Arial" w:eastAsia="Batang" w:hAnsi="Arial" w:cs="Arial"/>
          <w:color w:val="000000" w:themeColor="text1"/>
        </w:rPr>
      </w:pPr>
      <w:r>
        <w:rPr>
          <w:rFonts w:ascii="Arial" w:eastAsia="Batang" w:hAnsi="Arial" w:cs="Arial"/>
          <w:color w:val="000000" w:themeColor="text1"/>
        </w:rPr>
        <w:t xml:space="preserve">A la fecha se encuentran contratados los siguientes convenios de la Gerencia de Seguridad, Comunidades y Medio Ambiente por el </w:t>
      </w:r>
      <w:r>
        <w:rPr>
          <w:rFonts w:ascii="Arial" w:hAnsi="Arial" w:cs="Arial"/>
          <w:b/>
          <w:color w:val="000000" w:themeColor="text1"/>
          <w:sz w:val="20"/>
          <w:szCs w:val="20"/>
        </w:rPr>
        <w:t>Mecanismo de articulación, Procesos de comunicación y participación</w:t>
      </w:r>
      <w:r>
        <w:rPr>
          <w:rFonts w:ascii="Arial" w:eastAsia="Batang" w:hAnsi="Arial" w:cs="Arial"/>
          <w:color w:val="000000" w:themeColor="text1"/>
        </w:rPr>
        <w:t xml:space="preserve">, </w:t>
      </w:r>
      <w:proofErr w:type="spellStart"/>
      <w:r>
        <w:rPr>
          <w:rFonts w:ascii="Arial" w:hAnsi="Arial" w:cs="Arial"/>
          <w:b/>
          <w:color w:val="000000" w:themeColor="text1"/>
          <w:sz w:val="20"/>
          <w:szCs w:val="20"/>
        </w:rPr>
        <w:t>Gestion</w:t>
      </w:r>
      <w:proofErr w:type="spellEnd"/>
      <w:r>
        <w:rPr>
          <w:rFonts w:ascii="Arial" w:hAnsi="Arial" w:cs="Arial"/>
          <w:b/>
          <w:color w:val="000000" w:themeColor="text1"/>
          <w:sz w:val="20"/>
          <w:szCs w:val="20"/>
        </w:rPr>
        <w:t xml:space="preserve"> socio ambiental y conocimiento ambiental y social </w:t>
      </w:r>
      <w:r>
        <w:rPr>
          <w:rFonts w:ascii="Arial" w:eastAsia="Batang" w:hAnsi="Arial" w:cs="Arial"/>
          <w:color w:val="000000" w:themeColor="text1"/>
        </w:rPr>
        <w:t>por un valor de $44.699.</w:t>
      </w:r>
    </w:p>
    <w:p w14:paraId="6B3AFBBA" w14:textId="77777777" w:rsidR="00CC5938" w:rsidRDefault="00CC5938" w:rsidP="008B4625">
      <w:pPr>
        <w:pStyle w:val="Prrafodelista"/>
        <w:numPr>
          <w:ilvl w:val="0"/>
          <w:numId w:val="44"/>
        </w:numPr>
        <w:tabs>
          <w:tab w:val="left" w:pos="7725"/>
        </w:tabs>
        <w:suppressAutoHyphens/>
        <w:autoSpaceDN w:val="0"/>
        <w:spacing w:after="0"/>
        <w:jc w:val="both"/>
        <w:rPr>
          <w:rFonts w:eastAsia="Batang" w:cs="Arial"/>
          <w:color w:val="000000" w:themeColor="text1"/>
        </w:rPr>
      </w:pPr>
      <w:r>
        <w:rPr>
          <w:rFonts w:eastAsia="Batang" w:cs="Arial"/>
          <w:color w:val="000000" w:themeColor="text1"/>
        </w:rPr>
        <w:t xml:space="preserve">Contrato 245 de 2018 Dirección General Marítima “Adquisición de información base </w:t>
      </w:r>
      <w:proofErr w:type="spellStart"/>
      <w:r>
        <w:rPr>
          <w:rFonts w:eastAsia="Batang" w:cs="Arial"/>
          <w:color w:val="000000" w:themeColor="text1"/>
        </w:rPr>
        <w:t>meteoceanográfica</w:t>
      </w:r>
      <w:proofErr w:type="spellEnd"/>
      <w:r>
        <w:rPr>
          <w:rFonts w:eastAsia="Batang" w:cs="Arial"/>
          <w:color w:val="000000" w:themeColor="text1"/>
        </w:rPr>
        <w:t xml:space="preserve">, batimétrica </w:t>
      </w:r>
      <w:proofErr w:type="spellStart"/>
      <w:r>
        <w:rPr>
          <w:rFonts w:eastAsia="Batang" w:cs="Arial"/>
          <w:color w:val="000000" w:themeColor="text1"/>
        </w:rPr>
        <w:t>multihaz</w:t>
      </w:r>
      <w:proofErr w:type="spellEnd"/>
      <w:r>
        <w:rPr>
          <w:rFonts w:eastAsia="Batang" w:cs="Arial"/>
          <w:color w:val="000000" w:themeColor="text1"/>
        </w:rPr>
        <w:t xml:space="preserve"> y procesamiento de dato”.</w:t>
      </w:r>
    </w:p>
    <w:p w14:paraId="18AAD398" w14:textId="77777777" w:rsidR="008B5E15" w:rsidRDefault="008B5E15" w:rsidP="008B5E15">
      <w:pPr>
        <w:pStyle w:val="Prrafodelista"/>
        <w:tabs>
          <w:tab w:val="left" w:pos="7725"/>
        </w:tabs>
        <w:suppressAutoHyphens/>
        <w:autoSpaceDN w:val="0"/>
        <w:spacing w:after="0"/>
        <w:ind w:left="720"/>
        <w:jc w:val="both"/>
        <w:rPr>
          <w:rFonts w:eastAsia="Batang" w:cs="Arial"/>
          <w:color w:val="000000" w:themeColor="text1"/>
        </w:rPr>
      </w:pPr>
    </w:p>
    <w:p w14:paraId="0837DC16" w14:textId="6818C0D7" w:rsidR="00CC5938" w:rsidRDefault="00CC5938" w:rsidP="008B4625">
      <w:pPr>
        <w:pStyle w:val="Prrafodelista"/>
        <w:numPr>
          <w:ilvl w:val="0"/>
          <w:numId w:val="44"/>
        </w:numPr>
        <w:tabs>
          <w:tab w:val="left" w:pos="7725"/>
        </w:tabs>
        <w:suppressAutoHyphens/>
        <w:autoSpaceDN w:val="0"/>
        <w:spacing w:after="0"/>
        <w:jc w:val="both"/>
        <w:rPr>
          <w:rFonts w:eastAsia="Batang" w:cs="Arial"/>
          <w:color w:val="000000" w:themeColor="text1"/>
        </w:rPr>
      </w:pPr>
      <w:r>
        <w:rPr>
          <w:rFonts w:eastAsia="Batang" w:cs="Arial"/>
          <w:color w:val="000000" w:themeColor="text1"/>
        </w:rPr>
        <w:t>Contrato 001 de 2018 Fundación Panamericana para el Desarrollo Colombia -FUPAD “Aunar esfuerzos técnicos, administrativos, económicos y apoyo de interés público entre la agencia nacional de hidrocarburos y el socio operador (por definir) para la ejecución de proyectos  de desarrollo social y ambiental en el marco de la ejecución de los contratos del sector de hidrocarburos en el territorio nacional que vinculen el fortalecimiento de la capacidades institucionales y de articulación interinstitucional de las autoridades y entes reguladores de las actividades del sector hidrocarburos en los aspectos ambientales, ordenamiento territorial, social, orden público y cultural”.</w:t>
      </w:r>
    </w:p>
    <w:p w14:paraId="22D42601" w14:textId="77777777" w:rsidR="00CC5938" w:rsidRDefault="00CC5938" w:rsidP="008B4625">
      <w:pPr>
        <w:pStyle w:val="Prrafodelista"/>
        <w:numPr>
          <w:ilvl w:val="0"/>
          <w:numId w:val="44"/>
        </w:numPr>
        <w:tabs>
          <w:tab w:val="left" w:pos="7725"/>
        </w:tabs>
        <w:suppressAutoHyphens/>
        <w:autoSpaceDN w:val="0"/>
        <w:spacing w:after="0"/>
        <w:jc w:val="both"/>
        <w:rPr>
          <w:rFonts w:eastAsia="Batang" w:cs="Arial"/>
          <w:color w:val="000000" w:themeColor="text1"/>
        </w:rPr>
      </w:pPr>
      <w:r>
        <w:rPr>
          <w:rFonts w:eastAsia="Batang" w:cs="Arial"/>
          <w:color w:val="000000" w:themeColor="text1"/>
        </w:rPr>
        <w:t xml:space="preserve">Contrato 340 de 2018 </w:t>
      </w:r>
      <w:proofErr w:type="spellStart"/>
      <w:r>
        <w:rPr>
          <w:rFonts w:eastAsia="Batang" w:cs="Arial"/>
          <w:color w:val="000000" w:themeColor="text1"/>
        </w:rPr>
        <w:t>Inst</w:t>
      </w:r>
      <w:proofErr w:type="spellEnd"/>
      <w:r>
        <w:rPr>
          <w:rFonts w:eastAsia="Batang" w:cs="Arial"/>
          <w:color w:val="000000" w:themeColor="text1"/>
        </w:rPr>
        <w:t xml:space="preserve"> </w:t>
      </w:r>
      <w:proofErr w:type="spellStart"/>
      <w:r>
        <w:rPr>
          <w:rFonts w:eastAsia="Batang" w:cs="Arial"/>
          <w:color w:val="000000" w:themeColor="text1"/>
        </w:rPr>
        <w:t>Invest</w:t>
      </w:r>
      <w:proofErr w:type="spellEnd"/>
      <w:r>
        <w:rPr>
          <w:rFonts w:eastAsia="Batang" w:cs="Arial"/>
          <w:color w:val="000000" w:themeColor="text1"/>
        </w:rPr>
        <w:t xml:space="preserve"> </w:t>
      </w:r>
      <w:proofErr w:type="spellStart"/>
      <w:r>
        <w:rPr>
          <w:rFonts w:eastAsia="Batang" w:cs="Arial"/>
          <w:color w:val="000000" w:themeColor="text1"/>
        </w:rPr>
        <w:t>Marin</w:t>
      </w:r>
      <w:proofErr w:type="spellEnd"/>
      <w:r>
        <w:rPr>
          <w:rFonts w:eastAsia="Batang" w:cs="Arial"/>
          <w:color w:val="000000" w:themeColor="text1"/>
        </w:rPr>
        <w:t xml:space="preserve"> </w:t>
      </w:r>
      <w:proofErr w:type="spellStart"/>
      <w:r>
        <w:rPr>
          <w:rFonts w:eastAsia="Batang" w:cs="Arial"/>
          <w:color w:val="000000" w:themeColor="text1"/>
        </w:rPr>
        <w:t>Cost</w:t>
      </w:r>
      <w:proofErr w:type="spellEnd"/>
      <w:r>
        <w:rPr>
          <w:rFonts w:eastAsia="Batang" w:cs="Arial"/>
          <w:color w:val="000000" w:themeColor="text1"/>
        </w:rPr>
        <w:t xml:space="preserve"> </w:t>
      </w:r>
      <w:proofErr w:type="spellStart"/>
      <w:r>
        <w:rPr>
          <w:rFonts w:eastAsia="Batang" w:cs="Arial"/>
          <w:color w:val="000000" w:themeColor="text1"/>
        </w:rPr>
        <w:t>Jose</w:t>
      </w:r>
      <w:proofErr w:type="spellEnd"/>
      <w:r>
        <w:rPr>
          <w:rFonts w:eastAsia="Batang" w:cs="Arial"/>
          <w:color w:val="000000" w:themeColor="text1"/>
        </w:rPr>
        <w:t xml:space="preserve"> Benito VI -INVEMAR “Caracterización Biológica del bloque de exploración de hidrocarburos COL-10 para crear una línea base de conocimiento biológico de los sistemas marinos presentes, como insumo base para su gestión, manejo y conservación”</w:t>
      </w:r>
      <w:r>
        <w:rPr>
          <w:rFonts w:cs="Arial"/>
          <w:color w:val="000000" w:themeColor="text1"/>
          <w:sz w:val="20"/>
          <w:szCs w:val="20"/>
        </w:rPr>
        <w:t xml:space="preserve"> </w:t>
      </w:r>
    </w:p>
    <w:p w14:paraId="2BC73C98" w14:textId="77777777" w:rsidR="00CC5938" w:rsidRDefault="00CC5938" w:rsidP="00CC5938">
      <w:pPr>
        <w:tabs>
          <w:tab w:val="left" w:pos="7725"/>
        </w:tabs>
        <w:jc w:val="both"/>
        <w:rPr>
          <w:rFonts w:ascii="Arial" w:eastAsia="Batang" w:hAnsi="Arial" w:cs="Arial"/>
          <w:bCs/>
          <w:color w:val="000000" w:themeColor="text1"/>
          <w:lang w:eastAsia="es-ES"/>
        </w:rPr>
      </w:pPr>
      <w:r>
        <w:rPr>
          <w:rFonts w:ascii="Arial" w:eastAsia="Batang" w:hAnsi="Arial" w:cs="Arial"/>
          <w:bCs/>
          <w:color w:val="000000" w:themeColor="text1"/>
          <w:lang w:eastAsia="es-ES"/>
        </w:rPr>
        <w:t>Así, a 30 de junio se comprometió el 91% de los recursos apropiados en el proyecto, correspondientes a $44.699 millones de pesos. Específicamente, durante en el II trimestre no hubo procesos de contratación.</w:t>
      </w:r>
    </w:p>
    <w:p w14:paraId="2649E9DD" w14:textId="156C693D" w:rsidR="00C02282" w:rsidRPr="00CC5938" w:rsidRDefault="00C02282" w:rsidP="00C02282">
      <w:pPr>
        <w:jc w:val="both"/>
        <w:rPr>
          <w:rFonts w:ascii="Arial" w:hAnsi="Arial" w:cs="Arial"/>
          <w:color w:val="000000" w:themeColor="text1"/>
          <w:lang w:val="es-ES" w:eastAsia="es-ES"/>
        </w:rPr>
      </w:pPr>
      <w:r w:rsidRPr="00CC5938">
        <w:rPr>
          <w:rFonts w:ascii="Arial" w:eastAsia="Batang" w:hAnsi="Arial" w:cs="Arial"/>
          <w:b/>
          <w:color w:val="000000" w:themeColor="text1"/>
        </w:rPr>
        <w:t>Actividades a Realizar durante el II</w:t>
      </w:r>
      <w:r w:rsidR="00CC5938" w:rsidRPr="00CC5938">
        <w:rPr>
          <w:rFonts w:ascii="Arial" w:eastAsia="Batang" w:hAnsi="Arial" w:cs="Arial"/>
          <w:b/>
          <w:color w:val="000000" w:themeColor="text1"/>
        </w:rPr>
        <w:t>I</w:t>
      </w:r>
      <w:r w:rsidRPr="00CC5938">
        <w:rPr>
          <w:rFonts w:ascii="Arial" w:eastAsia="Batang" w:hAnsi="Arial" w:cs="Arial"/>
          <w:b/>
          <w:color w:val="000000" w:themeColor="text1"/>
        </w:rPr>
        <w:t xml:space="preserve"> Trimestre 2018</w:t>
      </w:r>
    </w:p>
    <w:p w14:paraId="73AE96E8" w14:textId="77777777" w:rsidR="00CC5938" w:rsidRDefault="00CC5938" w:rsidP="00CC5938">
      <w:pPr>
        <w:jc w:val="both"/>
        <w:rPr>
          <w:rFonts w:ascii="Arial" w:eastAsia="Batang" w:hAnsi="Arial" w:cs="Arial"/>
          <w:bCs/>
          <w:color w:val="000000" w:themeColor="text1"/>
          <w:lang w:eastAsia="es-ES"/>
        </w:rPr>
      </w:pPr>
      <w:r>
        <w:rPr>
          <w:rFonts w:ascii="Arial" w:eastAsia="Batang" w:hAnsi="Arial" w:cs="Arial"/>
          <w:bCs/>
          <w:color w:val="000000" w:themeColor="text1"/>
          <w:lang w:eastAsia="es-ES"/>
        </w:rPr>
        <w:t>En el próximo trimestre se espera comprometer $3.087.000.000 cuyo objeto es “Interventoría técnica, administrativa, jurídica y financiera al Convenio que se suscriba para el Fortalecimiento de la capacidad institucional de entes reguladores de las actividades del sector hidrocarburos en los aspectos ambiental, ordenamiento territorial, social, orden público y cultural", respecto del convenio suscrito con la Fundación Panamericana para Desarrollo Colombia – FUPAD.</w:t>
      </w:r>
    </w:p>
    <w:p w14:paraId="41A53435" w14:textId="603A9B2C" w:rsidR="00C02282" w:rsidRPr="00CC5938" w:rsidRDefault="00CC5938" w:rsidP="00CC5938">
      <w:pPr>
        <w:autoSpaceDE w:val="0"/>
        <w:autoSpaceDN w:val="0"/>
        <w:adjustRightInd w:val="0"/>
        <w:jc w:val="both"/>
        <w:rPr>
          <w:rFonts w:ascii="Arial" w:hAnsi="Arial" w:cs="Arial"/>
          <w:b/>
          <w:color w:val="000000" w:themeColor="text1"/>
        </w:rPr>
      </w:pPr>
      <w:r w:rsidRPr="00CC5938">
        <w:rPr>
          <w:rFonts w:ascii="Arial" w:hAnsi="Arial" w:cs="Arial"/>
          <w:b/>
          <w:color w:val="000000" w:themeColor="text1"/>
        </w:rPr>
        <w:t xml:space="preserve"> </w:t>
      </w:r>
      <w:r w:rsidR="00C02282" w:rsidRPr="00CC5938">
        <w:rPr>
          <w:rFonts w:ascii="Arial" w:hAnsi="Arial" w:cs="Arial"/>
          <w:b/>
          <w:color w:val="000000" w:themeColor="text1"/>
        </w:rPr>
        <w:t xml:space="preserve">Proyecto: Adecuación Del Modelo De Promoción De Los Recursos </w:t>
      </w:r>
      <w:r w:rsidR="00576641" w:rsidRPr="00CC5938">
        <w:rPr>
          <w:rFonts w:ascii="Arial" w:hAnsi="Arial" w:cs="Arial"/>
          <w:b/>
          <w:color w:val="000000" w:themeColor="text1"/>
        </w:rPr>
        <w:t>Hidrocarburíferos</w:t>
      </w:r>
      <w:r w:rsidR="00C02282" w:rsidRPr="00CC5938">
        <w:rPr>
          <w:rFonts w:ascii="Arial" w:hAnsi="Arial" w:cs="Arial"/>
          <w:b/>
          <w:color w:val="000000" w:themeColor="text1"/>
        </w:rPr>
        <w:t xml:space="preserve"> Frente A Los Factores Externos</w:t>
      </w:r>
    </w:p>
    <w:p w14:paraId="4B635B07" w14:textId="77777777" w:rsidR="00CC5938" w:rsidRDefault="00CC5938" w:rsidP="00CC5938">
      <w:pPr>
        <w:autoSpaceDE w:val="0"/>
        <w:autoSpaceDN w:val="0"/>
        <w:adjustRightInd w:val="0"/>
        <w:jc w:val="both"/>
        <w:rPr>
          <w:rFonts w:ascii="Arial" w:hAnsi="Arial" w:cs="Arial"/>
          <w:lang w:val="es-MX"/>
        </w:rPr>
      </w:pPr>
      <w:r>
        <w:rPr>
          <w:rFonts w:ascii="Arial" w:hAnsi="Arial" w:cs="Arial"/>
          <w:color w:val="000000" w:themeColor="text1"/>
        </w:rPr>
        <w:t xml:space="preserve">Identificado con código BPIN 2016011000215 con programa Presupuestal 2103 Consolidación productiva del Sector de Hidrocarburos, 1900 Intersubsectorial Minas y Energía, tiene por objetivo </w:t>
      </w:r>
      <w:r>
        <w:rPr>
          <w:rFonts w:ascii="Arial" w:hAnsi="Arial" w:cs="Arial"/>
          <w:lang w:val="es-MX"/>
        </w:rPr>
        <w:t>adecuar el modelo de promoción de los recursos hidrocarburíferos frente a los factores externos través de un plan de promoción, con actividades que permitan mejorar la imagen de Colombia a nivel internacional, promocionar el modelo contractual y posicionar a la ANH ante los inversionistas.</w:t>
      </w:r>
    </w:p>
    <w:p w14:paraId="5691F51D" w14:textId="77777777" w:rsidR="00C02282" w:rsidRPr="00CC5938" w:rsidRDefault="00C02282" w:rsidP="00C02282">
      <w:pPr>
        <w:pStyle w:val="Default"/>
        <w:rPr>
          <w:sz w:val="22"/>
          <w:szCs w:val="22"/>
          <w:highlight w:val="yellow"/>
          <w:lang w:val="es-MX"/>
        </w:rPr>
      </w:pPr>
    </w:p>
    <w:p w14:paraId="387537B9" w14:textId="77777777" w:rsidR="00C02282" w:rsidRPr="001F24ED" w:rsidRDefault="00C02282" w:rsidP="00055F7C">
      <w:pPr>
        <w:pStyle w:val="Default"/>
        <w:numPr>
          <w:ilvl w:val="0"/>
          <w:numId w:val="3"/>
        </w:numPr>
        <w:jc w:val="both"/>
        <w:rPr>
          <w:sz w:val="22"/>
          <w:szCs w:val="22"/>
        </w:rPr>
      </w:pPr>
      <w:r w:rsidRPr="001F24ED">
        <w:rPr>
          <w:b/>
          <w:bCs/>
          <w:i/>
          <w:iCs/>
          <w:sz w:val="22"/>
          <w:szCs w:val="22"/>
        </w:rPr>
        <w:t xml:space="preserve">Segmentar el mercado para establecer las condiciones y el mercado objetivo de acuerdo con las áreas a ofertar.  </w:t>
      </w:r>
    </w:p>
    <w:p w14:paraId="03E7740D" w14:textId="77777777" w:rsidR="00C02282" w:rsidRPr="006A67B4" w:rsidRDefault="00C02282" w:rsidP="00C02282">
      <w:pPr>
        <w:pStyle w:val="Default"/>
        <w:rPr>
          <w:sz w:val="22"/>
          <w:szCs w:val="22"/>
          <w:highlight w:val="yellow"/>
        </w:rPr>
      </w:pPr>
    </w:p>
    <w:p w14:paraId="2E6AB507" w14:textId="77777777" w:rsidR="00CC5938" w:rsidRDefault="00CC5938" w:rsidP="00CC5938">
      <w:pPr>
        <w:ind w:left="360"/>
        <w:jc w:val="both"/>
        <w:rPr>
          <w:rFonts w:ascii="Arial" w:hAnsi="Arial" w:cs="Arial"/>
          <w:lang w:val="es-MX"/>
        </w:rPr>
      </w:pPr>
      <w:r>
        <w:rPr>
          <w:rFonts w:ascii="Arial" w:hAnsi="Arial" w:cs="Arial"/>
          <w:lang w:val="es-MX"/>
        </w:rPr>
        <w:t xml:space="preserve">Este objetivo consiste en identificar en la etapa preparatoria o de planificación, a clientes que potencialmente tengan interés con las áreas objetivo y establecer condiciones que sean atractivas para cada segmento del mercado. </w:t>
      </w:r>
    </w:p>
    <w:p w14:paraId="428A39B9" w14:textId="77777777" w:rsidR="00CC5938" w:rsidRDefault="00CC5938" w:rsidP="00CC5938">
      <w:pPr>
        <w:ind w:left="360"/>
        <w:jc w:val="both"/>
        <w:rPr>
          <w:rFonts w:ascii="Arial" w:hAnsi="Arial" w:cs="Arial"/>
          <w:lang w:val="es-MX"/>
        </w:rPr>
      </w:pPr>
      <w:r>
        <w:rPr>
          <w:rFonts w:ascii="Arial" w:hAnsi="Arial" w:cs="Arial"/>
          <w:lang w:val="es-MX"/>
        </w:rPr>
        <w:t xml:space="preserve">El propósito es que en la etapa preparatoria se pueda ofrecer a las compañías un paquete de información especializado acorde al área de su interés, de tal forma que puedan crearse condiciones diferenciadas por tipo de área en aspectos como: los requisitos de habilitación, términos fiscales, programas exploratorios y otros términos contractuales, dando mayor valor agregado al tradicionalmente ofertado por la Agencia. </w:t>
      </w:r>
    </w:p>
    <w:p w14:paraId="51257B6D" w14:textId="77777777" w:rsidR="00CC5938" w:rsidRDefault="00CC5938" w:rsidP="00CC5938">
      <w:pPr>
        <w:ind w:left="360"/>
        <w:jc w:val="both"/>
        <w:rPr>
          <w:rFonts w:ascii="Arial" w:hAnsi="Arial" w:cs="Arial"/>
          <w:lang w:val="es-MX"/>
        </w:rPr>
      </w:pPr>
      <w:r>
        <w:rPr>
          <w:rFonts w:ascii="Arial" w:hAnsi="Arial" w:cs="Arial"/>
          <w:lang w:val="es-MX"/>
        </w:rPr>
        <w:t>Esta diversificación permitirá identificar características específicas de los bloques a ofertar, concentrando esfuerzos de promoción hacia mercados totalmente objetivos, buscando incrementar el apetito de los inversionistas actuales con nuevas oportunidades exploratorias; y</w:t>
      </w:r>
      <w:r>
        <w:rPr>
          <w:rFonts w:ascii="Arial" w:hAnsi="Arial" w:cs="Arial"/>
          <w:lang w:val="es-MX"/>
        </w:rPr>
        <w:tab/>
        <w:t xml:space="preserve"> sobre todo, facilitar la participación de otros actores del sector, en especial operadores internacionales. </w:t>
      </w:r>
    </w:p>
    <w:p w14:paraId="7C969593" w14:textId="77777777" w:rsidR="00C02282" w:rsidRPr="00CC5938" w:rsidRDefault="00C02282" w:rsidP="00C02282">
      <w:pPr>
        <w:pStyle w:val="Default"/>
        <w:rPr>
          <w:sz w:val="22"/>
          <w:szCs w:val="22"/>
          <w:highlight w:val="yellow"/>
          <w:lang w:val="es-MX"/>
        </w:rPr>
      </w:pPr>
    </w:p>
    <w:p w14:paraId="37F531D2" w14:textId="77777777" w:rsidR="00C02282" w:rsidRPr="001F24ED" w:rsidRDefault="00C02282" w:rsidP="00055F7C">
      <w:pPr>
        <w:pStyle w:val="Default"/>
        <w:numPr>
          <w:ilvl w:val="0"/>
          <w:numId w:val="3"/>
        </w:numPr>
        <w:jc w:val="both"/>
        <w:rPr>
          <w:b/>
          <w:bCs/>
          <w:i/>
          <w:iCs/>
          <w:sz w:val="22"/>
          <w:szCs w:val="22"/>
        </w:rPr>
      </w:pPr>
      <w:r w:rsidRPr="001F24ED">
        <w:rPr>
          <w:b/>
          <w:bCs/>
          <w:i/>
          <w:iCs/>
          <w:sz w:val="22"/>
          <w:szCs w:val="22"/>
        </w:rPr>
        <w:t xml:space="preserve">Ampliar la divulgación y difusión del potencial de hidrocarburos para la atracción de inversión </w:t>
      </w:r>
    </w:p>
    <w:p w14:paraId="54852413" w14:textId="77777777" w:rsidR="00C02282" w:rsidRPr="001F24ED" w:rsidRDefault="00C02282" w:rsidP="00C02282">
      <w:pPr>
        <w:pStyle w:val="Default"/>
        <w:rPr>
          <w:sz w:val="22"/>
          <w:szCs w:val="22"/>
        </w:rPr>
      </w:pPr>
    </w:p>
    <w:p w14:paraId="12C5BE21" w14:textId="77777777" w:rsidR="00C02282" w:rsidRPr="001F24ED" w:rsidRDefault="00C02282" w:rsidP="00C02282">
      <w:pPr>
        <w:ind w:left="360"/>
        <w:jc w:val="both"/>
        <w:rPr>
          <w:rFonts w:ascii="Arial" w:hAnsi="Arial" w:cs="Arial"/>
          <w:lang w:val="es-MX"/>
        </w:rPr>
      </w:pPr>
      <w:r w:rsidRPr="001F24ED">
        <w:rPr>
          <w:rFonts w:ascii="Arial" w:hAnsi="Arial" w:cs="Arial"/>
          <w:lang w:val="es-MX"/>
        </w:rPr>
        <w:t xml:space="preserve">El segundo objetivo está enfocado a la promoción multicanal de las condiciones contractuales, económicas, divulgación de las recientes medidas adoptadas y exaltación de las ventajas competitivas, además de las nuevas oportunidades de inversión en el sector. </w:t>
      </w:r>
    </w:p>
    <w:p w14:paraId="471BA791" w14:textId="77777777" w:rsidR="00C02282" w:rsidRPr="001F24ED" w:rsidRDefault="00C02282" w:rsidP="00C02282">
      <w:pPr>
        <w:ind w:left="360"/>
        <w:jc w:val="both"/>
        <w:rPr>
          <w:rFonts w:ascii="Arial" w:hAnsi="Arial" w:cs="Arial"/>
          <w:lang w:val="es-MX"/>
        </w:rPr>
      </w:pPr>
      <w:r w:rsidRPr="001F24ED">
        <w:rPr>
          <w:rFonts w:ascii="Arial" w:hAnsi="Arial" w:cs="Arial"/>
          <w:lang w:val="es-MX"/>
        </w:rPr>
        <w:t xml:space="preserve">El propósito principal de este plan de promoción se orienta a buscar inversionistas de gran envergadura, que puedan desarrollar proyectos de exploración en aguas profundas y en aquellas zonas con buena prospectividad, logrando capturar su interés con apreciables paquetes de información. </w:t>
      </w:r>
    </w:p>
    <w:p w14:paraId="0AF84CA1" w14:textId="77777777" w:rsidR="00C02282" w:rsidRPr="001F24ED" w:rsidRDefault="00C02282" w:rsidP="00C02282">
      <w:pPr>
        <w:ind w:left="360"/>
        <w:jc w:val="both"/>
        <w:rPr>
          <w:rFonts w:ascii="Arial" w:hAnsi="Arial" w:cs="Arial"/>
          <w:lang w:val="es-MX"/>
        </w:rPr>
      </w:pPr>
      <w:r w:rsidRPr="001F24ED">
        <w:rPr>
          <w:rFonts w:ascii="Arial" w:hAnsi="Arial" w:cs="Arial"/>
          <w:lang w:val="es-MX"/>
        </w:rPr>
        <w:t xml:space="preserve">La Agencia quiere convocar a la industria en escenarios propios de negocio que incentiven la inversión en el sector, participar en espacios académicos y técnicos tanto nacionales como internacionales, que estratégicamente logren aumento del interés y posicionamiento del país como destino de inversión. </w:t>
      </w:r>
    </w:p>
    <w:p w14:paraId="72A085FD" w14:textId="77777777" w:rsidR="00C02282" w:rsidRPr="001F24ED" w:rsidRDefault="00C02282" w:rsidP="00C02282">
      <w:pPr>
        <w:ind w:left="360"/>
        <w:jc w:val="both"/>
        <w:rPr>
          <w:rFonts w:ascii="Arial" w:hAnsi="Arial" w:cs="Arial"/>
          <w:lang w:val="es-MX"/>
        </w:rPr>
      </w:pPr>
      <w:r w:rsidRPr="001F24ED">
        <w:rPr>
          <w:rFonts w:ascii="Arial" w:hAnsi="Arial" w:cs="Arial"/>
          <w:lang w:val="es-MX"/>
        </w:rPr>
        <w:t xml:space="preserve">En materia de comunicaciones, el modelo busca apoyar los esfuerzos de divulgación de la Estrategia Territorial de Hidrocarburos (ETH), mantener informado de manera constante a los medios de comunicación sobre los avances del </w:t>
      </w:r>
      <w:proofErr w:type="spellStart"/>
      <w:r w:rsidRPr="001F24ED">
        <w:rPr>
          <w:rFonts w:ascii="Arial" w:hAnsi="Arial" w:cs="Arial"/>
          <w:lang w:val="es-MX"/>
        </w:rPr>
        <w:t>Upstream</w:t>
      </w:r>
      <w:proofErr w:type="spellEnd"/>
      <w:r w:rsidRPr="001F24ED">
        <w:rPr>
          <w:rFonts w:ascii="Arial" w:hAnsi="Arial" w:cs="Arial"/>
          <w:lang w:val="es-MX"/>
        </w:rPr>
        <w:t xml:space="preserve">, resaltar las ventajas competitivas del sector de hidrocarburos y las oportunidades de inversión que serán ofrecidas al mercado. </w:t>
      </w:r>
    </w:p>
    <w:p w14:paraId="13414262" w14:textId="77777777" w:rsidR="00C02282" w:rsidRPr="001F24ED" w:rsidRDefault="00C02282" w:rsidP="00C02282">
      <w:pPr>
        <w:ind w:left="360"/>
        <w:jc w:val="both"/>
        <w:rPr>
          <w:rFonts w:ascii="Arial" w:hAnsi="Arial" w:cs="Arial"/>
          <w:lang w:val="es-MX"/>
        </w:rPr>
      </w:pPr>
      <w:r w:rsidRPr="001F24ED">
        <w:rPr>
          <w:rFonts w:ascii="Arial" w:hAnsi="Arial" w:cs="Arial"/>
          <w:lang w:val="es-MX"/>
        </w:rPr>
        <w:lastRenderedPageBreak/>
        <w:t xml:space="preserve">La estrategia de divulgación y difusión involucra un esquema de abordaje segmentado para clientes objetivo, con una fuerza comercial que facilitara la atracción y atención personalizada tanto en la etapa precontractual y contractual, proporcionando información relevante de las áreas en las que estén interesados y generando sinergias interinstitucionales y gestionando procesos internos para optimizar tiempos de respuesta. </w:t>
      </w:r>
    </w:p>
    <w:p w14:paraId="499C6CAA" w14:textId="77777777" w:rsidR="00C02282" w:rsidRPr="001F24ED" w:rsidRDefault="00C02282" w:rsidP="00C02282">
      <w:pPr>
        <w:ind w:left="360"/>
        <w:jc w:val="both"/>
        <w:rPr>
          <w:rFonts w:ascii="Arial" w:hAnsi="Arial" w:cs="Arial"/>
          <w:lang w:val="es-MX"/>
        </w:rPr>
      </w:pPr>
    </w:p>
    <w:p w14:paraId="11017F0A" w14:textId="77777777" w:rsidR="00C02282" w:rsidRPr="001F24ED" w:rsidRDefault="00C02282" w:rsidP="00055F7C">
      <w:pPr>
        <w:pStyle w:val="Default"/>
        <w:numPr>
          <w:ilvl w:val="0"/>
          <w:numId w:val="3"/>
        </w:numPr>
        <w:jc w:val="both"/>
        <w:rPr>
          <w:b/>
          <w:bCs/>
          <w:i/>
          <w:iCs/>
          <w:sz w:val="22"/>
          <w:szCs w:val="22"/>
        </w:rPr>
      </w:pPr>
      <w:r w:rsidRPr="001F24ED">
        <w:rPr>
          <w:b/>
          <w:bCs/>
          <w:i/>
          <w:iCs/>
          <w:sz w:val="22"/>
          <w:szCs w:val="22"/>
        </w:rPr>
        <w:t xml:space="preserve">Flexibilizar el proceso de adjudicación a un sistema dinámico y permanente. </w:t>
      </w:r>
    </w:p>
    <w:p w14:paraId="01736ED7" w14:textId="77777777" w:rsidR="00C02282" w:rsidRPr="001F24ED" w:rsidRDefault="00C02282" w:rsidP="00C02282">
      <w:pPr>
        <w:pStyle w:val="Default"/>
        <w:ind w:left="720"/>
        <w:jc w:val="both"/>
        <w:rPr>
          <w:b/>
          <w:bCs/>
          <w:i/>
          <w:iCs/>
          <w:sz w:val="22"/>
          <w:szCs w:val="22"/>
        </w:rPr>
      </w:pPr>
    </w:p>
    <w:p w14:paraId="446FD72B" w14:textId="77777777" w:rsidR="00C02282" w:rsidRPr="001F24ED" w:rsidRDefault="00C02282" w:rsidP="00C02282">
      <w:pPr>
        <w:ind w:left="360"/>
        <w:jc w:val="both"/>
        <w:rPr>
          <w:rFonts w:ascii="Arial" w:hAnsi="Arial" w:cs="Arial"/>
          <w:lang w:val="es-MX"/>
        </w:rPr>
      </w:pPr>
      <w:r w:rsidRPr="001F24ED">
        <w:rPr>
          <w:rFonts w:ascii="Arial" w:hAnsi="Arial" w:cs="Arial"/>
          <w:lang w:val="es-MX"/>
        </w:rPr>
        <w:t xml:space="preserve">El tercer objetivo relacionado con el proceso de adjudicación consiste en mantener una oferta permanente de áreas, con la implementación de nuevos mecanismos que permitan su asignación segmentada y con mayor frecuencia. </w:t>
      </w:r>
    </w:p>
    <w:p w14:paraId="119E54C8" w14:textId="77777777" w:rsidR="00C02282" w:rsidRPr="001F24ED" w:rsidRDefault="00C02282" w:rsidP="00C02282">
      <w:pPr>
        <w:ind w:left="360"/>
        <w:jc w:val="both"/>
        <w:rPr>
          <w:rFonts w:ascii="Arial" w:hAnsi="Arial" w:cs="Arial"/>
          <w:lang w:val="es-MX"/>
        </w:rPr>
      </w:pPr>
      <w:r w:rsidRPr="001F24ED">
        <w:rPr>
          <w:rFonts w:ascii="Arial" w:hAnsi="Arial" w:cs="Arial"/>
          <w:lang w:val="es-MX"/>
        </w:rPr>
        <w:t xml:space="preserve">Se encuentra fundamentado en garantizar la escogencia objetiva de contratistas, la introducción de mecanismos que posibiliten la adjudicación al ofrecimiento más favorable para la Nación, en un ambiente de pluralidad de oferentes, orientado con reglas de juego que garanticen la publicidad y transparencia. </w:t>
      </w:r>
    </w:p>
    <w:p w14:paraId="02273887" w14:textId="77777777" w:rsidR="00C02282" w:rsidRPr="001F24ED" w:rsidRDefault="00C02282" w:rsidP="00C02282">
      <w:pPr>
        <w:ind w:left="360"/>
        <w:jc w:val="both"/>
        <w:rPr>
          <w:rFonts w:ascii="Arial" w:hAnsi="Arial" w:cs="Arial"/>
          <w:lang w:val="es-MX"/>
        </w:rPr>
      </w:pPr>
      <w:r w:rsidRPr="001F24ED">
        <w:rPr>
          <w:rFonts w:ascii="Arial" w:hAnsi="Arial" w:cs="Arial"/>
          <w:lang w:val="es-MX"/>
        </w:rPr>
        <w:t>Adicionalmente, se proyecta implementar un modelo de habilitación permanente de oferentes que permitirá imprimirle celeridad a los procesos de adjudicación, así como la validación de las capacidades de manera más eficiente, optimizando los trámites de adjudicación y cesión de contratos.</w:t>
      </w:r>
    </w:p>
    <w:p w14:paraId="35B04B8A" w14:textId="77777777" w:rsidR="00C02282" w:rsidRPr="006A67B4" w:rsidRDefault="00C02282" w:rsidP="00C02282">
      <w:pPr>
        <w:jc w:val="center"/>
        <w:rPr>
          <w:rFonts w:ascii="Arial" w:hAnsi="Arial" w:cs="Arial"/>
          <w:b/>
          <w:highlight w:val="yellow"/>
        </w:rPr>
      </w:pPr>
      <w:r w:rsidRPr="006A67B4">
        <w:rPr>
          <w:rFonts w:ascii="Arial" w:hAnsi="Arial" w:cs="Arial"/>
          <w:b/>
          <w:sz w:val="16"/>
          <w:szCs w:val="16"/>
          <w:highlight w:val="yellow"/>
        </w:rPr>
        <w:t xml:space="preserve"> </w:t>
      </w:r>
    </w:p>
    <w:p w14:paraId="474EC553" w14:textId="779096F7" w:rsidR="00C02282" w:rsidRPr="001F24ED" w:rsidRDefault="00C02282" w:rsidP="00C02282">
      <w:pPr>
        <w:pStyle w:val="Descripcin"/>
        <w:keepNext/>
        <w:jc w:val="center"/>
      </w:pPr>
      <w:bookmarkStart w:id="176" w:name="_Toc525652536"/>
      <w:r w:rsidRPr="001F24ED">
        <w:t xml:space="preserve">Tabla </w:t>
      </w:r>
      <w:r w:rsidRPr="001F24ED">
        <w:fldChar w:fldCharType="begin"/>
      </w:r>
      <w:r w:rsidRPr="001F24ED">
        <w:instrText xml:space="preserve"> SEQ Tabla \* ARABIC </w:instrText>
      </w:r>
      <w:r w:rsidRPr="001F24ED">
        <w:fldChar w:fldCharType="separate"/>
      </w:r>
      <w:r w:rsidR="008B4625">
        <w:rPr>
          <w:noProof/>
        </w:rPr>
        <w:t>91</w:t>
      </w:r>
      <w:r w:rsidRPr="001F24ED">
        <w:fldChar w:fldCharType="end"/>
      </w:r>
      <w:r w:rsidRPr="001F24ED">
        <w:t xml:space="preserve"> Ejecución Inversión Adecuación Del Modelo De Promoción de Los Recursos </w:t>
      </w:r>
      <w:r w:rsidR="00576641">
        <w:t>Hidrocarburíferos</w:t>
      </w:r>
      <w:r w:rsidRPr="001F24ED">
        <w:t xml:space="preserve"> Frente a Los Factores Externos a 3</w:t>
      </w:r>
      <w:r w:rsidR="001F24ED" w:rsidRPr="001F24ED">
        <w:t xml:space="preserve">0 de junio de 2018 </w:t>
      </w:r>
      <w:r w:rsidRPr="001F24ED">
        <w:t xml:space="preserve"> ANH</w:t>
      </w:r>
      <w:bookmarkEnd w:id="176"/>
    </w:p>
    <w:tbl>
      <w:tblPr>
        <w:tblW w:w="8920" w:type="dxa"/>
        <w:tblCellMar>
          <w:left w:w="70" w:type="dxa"/>
          <w:right w:w="70" w:type="dxa"/>
        </w:tblCellMar>
        <w:tblLook w:val="04A0" w:firstRow="1" w:lastRow="0" w:firstColumn="1" w:lastColumn="0" w:noHBand="0" w:noVBand="1"/>
      </w:tblPr>
      <w:tblGrid>
        <w:gridCol w:w="2820"/>
        <w:gridCol w:w="1420"/>
        <w:gridCol w:w="720"/>
        <w:gridCol w:w="1580"/>
        <w:gridCol w:w="680"/>
        <w:gridCol w:w="1000"/>
        <w:gridCol w:w="700"/>
      </w:tblGrid>
      <w:tr w:rsidR="001F24ED" w14:paraId="51E394BE" w14:textId="77777777" w:rsidTr="001F24ED">
        <w:trPr>
          <w:trHeight w:val="525"/>
        </w:trPr>
        <w:tc>
          <w:tcPr>
            <w:tcW w:w="282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0DFB3D6C" w14:textId="77777777" w:rsidR="001F24ED" w:rsidRDefault="001F24ED">
            <w:pPr>
              <w:jc w:val="center"/>
              <w:rPr>
                <w:rFonts w:ascii="Arial" w:hAnsi="Arial" w:cs="Arial"/>
                <w:b/>
                <w:bCs/>
                <w:sz w:val="16"/>
                <w:szCs w:val="16"/>
              </w:rPr>
            </w:pPr>
            <w:r>
              <w:rPr>
                <w:rFonts w:ascii="Arial" w:hAnsi="Arial" w:cs="Arial"/>
                <w:b/>
                <w:bCs/>
                <w:sz w:val="16"/>
                <w:szCs w:val="16"/>
              </w:rPr>
              <w:t>APROPIACIÓN INICIAL</w:t>
            </w:r>
          </w:p>
        </w:tc>
        <w:tc>
          <w:tcPr>
            <w:tcW w:w="1420" w:type="dxa"/>
            <w:tcBorders>
              <w:top w:val="single" w:sz="8" w:space="0" w:color="auto"/>
              <w:left w:val="nil"/>
              <w:bottom w:val="single" w:sz="8" w:space="0" w:color="auto"/>
              <w:right w:val="single" w:sz="8" w:space="0" w:color="auto"/>
            </w:tcBorders>
            <w:shd w:val="clear" w:color="auto" w:fill="4F81BD" w:themeFill="accent1"/>
            <w:vAlign w:val="center"/>
            <w:hideMark/>
          </w:tcPr>
          <w:p w14:paraId="7A700F74" w14:textId="77777777" w:rsidR="001F24ED" w:rsidRDefault="001F24ED">
            <w:pPr>
              <w:jc w:val="center"/>
              <w:rPr>
                <w:rFonts w:ascii="Arial" w:hAnsi="Arial" w:cs="Arial"/>
                <w:b/>
                <w:bCs/>
                <w:sz w:val="16"/>
                <w:szCs w:val="16"/>
              </w:rPr>
            </w:pPr>
            <w:r>
              <w:rPr>
                <w:rFonts w:ascii="Arial" w:hAnsi="Arial" w:cs="Arial"/>
                <w:b/>
                <w:bCs/>
                <w:sz w:val="16"/>
                <w:szCs w:val="16"/>
              </w:rPr>
              <w:t>COMPROMISO</w:t>
            </w:r>
          </w:p>
        </w:tc>
        <w:tc>
          <w:tcPr>
            <w:tcW w:w="720" w:type="dxa"/>
            <w:tcBorders>
              <w:top w:val="single" w:sz="8" w:space="0" w:color="auto"/>
              <w:left w:val="nil"/>
              <w:bottom w:val="single" w:sz="8" w:space="0" w:color="auto"/>
              <w:right w:val="single" w:sz="8" w:space="0" w:color="auto"/>
            </w:tcBorders>
            <w:shd w:val="clear" w:color="auto" w:fill="4F81BD" w:themeFill="accent1"/>
            <w:vAlign w:val="center"/>
            <w:hideMark/>
          </w:tcPr>
          <w:p w14:paraId="380DD053" w14:textId="77777777" w:rsidR="001F24ED" w:rsidRDefault="001F24ED">
            <w:pPr>
              <w:jc w:val="center"/>
              <w:rPr>
                <w:rFonts w:ascii="Arial" w:hAnsi="Arial" w:cs="Arial"/>
                <w:b/>
                <w:bCs/>
                <w:sz w:val="16"/>
                <w:szCs w:val="16"/>
              </w:rPr>
            </w:pPr>
            <w:r>
              <w:rPr>
                <w:rFonts w:ascii="Arial" w:hAnsi="Arial" w:cs="Arial"/>
                <w:b/>
                <w:bCs/>
                <w:sz w:val="16"/>
                <w:szCs w:val="16"/>
              </w:rPr>
              <w:t>%</w:t>
            </w:r>
          </w:p>
        </w:tc>
        <w:tc>
          <w:tcPr>
            <w:tcW w:w="1580" w:type="dxa"/>
            <w:tcBorders>
              <w:top w:val="single" w:sz="8" w:space="0" w:color="auto"/>
              <w:left w:val="nil"/>
              <w:bottom w:val="single" w:sz="8" w:space="0" w:color="auto"/>
              <w:right w:val="single" w:sz="8" w:space="0" w:color="auto"/>
            </w:tcBorders>
            <w:shd w:val="clear" w:color="auto" w:fill="4F81BD" w:themeFill="accent1"/>
            <w:vAlign w:val="center"/>
            <w:hideMark/>
          </w:tcPr>
          <w:p w14:paraId="04FDCB4F" w14:textId="77777777" w:rsidR="001F24ED" w:rsidRDefault="001F24ED">
            <w:pPr>
              <w:jc w:val="center"/>
              <w:rPr>
                <w:rFonts w:ascii="Arial" w:hAnsi="Arial" w:cs="Arial"/>
                <w:b/>
                <w:bCs/>
                <w:sz w:val="16"/>
                <w:szCs w:val="16"/>
              </w:rPr>
            </w:pPr>
            <w:r>
              <w:rPr>
                <w:rFonts w:ascii="Arial" w:hAnsi="Arial" w:cs="Arial"/>
                <w:b/>
                <w:bCs/>
                <w:sz w:val="16"/>
                <w:szCs w:val="16"/>
              </w:rPr>
              <w:t>OBLIGACIÓN</w:t>
            </w:r>
          </w:p>
        </w:tc>
        <w:tc>
          <w:tcPr>
            <w:tcW w:w="680" w:type="dxa"/>
            <w:tcBorders>
              <w:top w:val="single" w:sz="8" w:space="0" w:color="auto"/>
              <w:left w:val="nil"/>
              <w:bottom w:val="single" w:sz="8" w:space="0" w:color="auto"/>
              <w:right w:val="single" w:sz="8" w:space="0" w:color="auto"/>
            </w:tcBorders>
            <w:shd w:val="clear" w:color="auto" w:fill="4F81BD" w:themeFill="accent1"/>
            <w:vAlign w:val="center"/>
            <w:hideMark/>
          </w:tcPr>
          <w:p w14:paraId="176D504C" w14:textId="77777777" w:rsidR="001F24ED" w:rsidRDefault="001F24ED">
            <w:pPr>
              <w:jc w:val="center"/>
              <w:rPr>
                <w:rFonts w:ascii="Arial" w:hAnsi="Arial" w:cs="Arial"/>
                <w:b/>
                <w:bCs/>
                <w:sz w:val="16"/>
                <w:szCs w:val="16"/>
              </w:rPr>
            </w:pPr>
            <w:r>
              <w:rPr>
                <w:rFonts w:ascii="Arial" w:hAnsi="Arial" w:cs="Arial"/>
                <w:b/>
                <w:bCs/>
                <w:sz w:val="16"/>
                <w:szCs w:val="16"/>
              </w:rPr>
              <w:t>%</w:t>
            </w:r>
          </w:p>
        </w:tc>
        <w:tc>
          <w:tcPr>
            <w:tcW w:w="1000" w:type="dxa"/>
            <w:tcBorders>
              <w:top w:val="single" w:sz="8" w:space="0" w:color="auto"/>
              <w:left w:val="nil"/>
              <w:bottom w:val="single" w:sz="8" w:space="0" w:color="auto"/>
              <w:right w:val="single" w:sz="8" w:space="0" w:color="auto"/>
            </w:tcBorders>
            <w:shd w:val="clear" w:color="auto" w:fill="4F81BD" w:themeFill="accent1"/>
            <w:vAlign w:val="center"/>
            <w:hideMark/>
          </w:tcPr>
          <w:p w14:paraId="57AE28BB" w14:textId="77777777" w:rsidR="001F24ED" w:rsidRDefault="001F24ED">
            <w:pPr>
              <w:jc w:val="center"/>
              <w:rPr>
                <w:rFonts w:ascii="Arial" w:hAnsi="Arial" w:cs="Arial"/>
                <w:b/>
                <w:bCs/>
                <w:sz w:val="16"/>
                <w:szCs w:val="16"/>
              </w:rPr>
            </w:pPr>
            <w:r>
              <w:rPr>
                <w:rFonts w:ascii="Arial" w:hAnsi="Arial" w:cs="Arial"/>
                <w:b/>
                <w:bCs/>
                <w:sz w:val="16"/>
                <w:szCs w:val="16"/>
              </w:rPr>
              <w:t>PAGO</w:t>
            </w:r>
          </w:p>
        </w:tc>
        <w:tc>
          <w:tcPr>
            <w:tcW w:w="700" w:type="dxa"/>
            <w:tcBorders>
              <w:top w:val="single" w:sz="8" w:space="0" w:color="auto"/>
              <w:left w:val="nil"/>
              <w:bottom w:val="single" w:sz="8" w:space="0" w:color="auto"/>
              <w:right w:val="single" w:sz="8" w:space="0" w:color="auto"/>
            </w:tcBorders>
            <w:shd w:val="clear" w:color="auto" w:fill="4F81BD" w:themeFill="accent1"/>
            <w:vAlign w:val="center"/>
            <w:hideMark/>
          </w:tcPr>
          <w:p w14:paraId="4F5D85D1" w14:textId="77777777" w:rsidR="001F24ED" w:rsidRDefault="001F24ED">
            <w:pPr>
              <w:jc w:val="center"/>
              <w:rPr>
                <w:rFonts w:ascii="Arial" w:hAnsi="Arial" w:cs="Arial"/>
                <w:b/>
                <w:bCs/>
                <w:sz w:val="16"/>
                <w:szCs w:val="16"/>
              </w:rPr>
            </w:pPr>
            <w:r>
              <w:rPr>
                <w:rFonts w:ascii="Arial" w:hAnsi="Arial" w:cs="Arial"/>
                <w:b/>
                <w:bCs/>
                <w:sz w:val="16"/>
                <w:szCs w:val="16"/>
              </w:rPr>
              <w:t>%</w:t>
            </w:r>
          </w:p>
        </w:tc>
      </w:tr>
      <w:tr w:rsidR="001F24ED" w14:paraId="6FA4DAFE" w14:textId="77777777" w:rsidTr="001F24ED">
        <w:trPr>
          <w:trHeight w:val="315"/>
        </w:trPr>
        <w:tc>
          <w:tcPr>
            <w:tcW w:w="2820" w:type="dxa"/>
            <w:tcBorders>
              <w:top w:val="nil"/>
              <w:left w:val="single" w:sz="8" w:space="0" w:color="auto"/>
              <w:bottom w:val="single" w:sz="8" w:space="0" w:color="auto"/>
              <w:right w:val="single" w:sz="8" w:space="0" w:color="auto"/>
            </w:tcBorders>
            <w:shd w:val="clear" w:color="auto" w:fill="F7F6F3"/>
            <w:vAlign w:val="center"/>
            <w:hideMark/>
          </w:tcPr>
          <w:p w14:paraId="22CE137E" w14:textId="77777777" w:rsidR="001F24ED" w:rsidRDefault="001F24ED">
            <w:pPr>
              <w:jc w:val="center"/>
              <w:rPr>
                <w:rFonts w:ascii="Arial" w:hAnsi="Arial" w:cs="Arial"/>
                <w:b/>
                <w:bCs/>
                <w:color w:val="000000"/>
                <w:sz w:val="16"/>
                <w:szCs w:val="16"/>
              </w:rPr>
            </w:pPr>
            <w:r>
              <w:rPr>
                <w:rFonts w:ascii="Arial" w:hAnsi="Arial" w:cs="Arial"/>
                <w:b/>
                <w:bCs/>
                <w:sz w:val="16"/>
                <w:szCs w:val="16"/>
              </w:rPr>
              <w:t>$ 10.082</w:t>
            </w:r>
          </w:p>
        </w:tc>
        <w:tc>
          <w:tcPr>
            <w:tcW w:w="1420" w:type="dxa"/>
            <w:tcBorders>
              <w:top w:val="nil"/>
              <w:left w:val="nil"/>
              <w:bottom w:val="single" w:sz="8" w:space="0" w:color="auto"/>
              <w:right w:val="single" w:sz="8" w:space="0" w:color="auto"/>
            </w:tcBorders>
            <w:shd w:val="clear" w:color="auto" w:fill="F7F6F3"/>
            <w:vAlign w:val="center"/>
            <w:hideMark/>
          </w:tcPr>
          <w:p w14:paraId="56CE93C7" w14:textId="77777777" w:rsidR="001F24ED" w:rsidRDefault="001F24ED">
            <w:pPr>
              <w:jc w:val="center"/>
              <w:rPr>
                <w:rFonts w:ascii="Arial" w:hAnsi="Arial" w:cs="Arial"/>
                <w:b/>
                <w:bCs/>
                <w:color w:val="000000"/>
                <w:sz w:val="16"/>
                <w:szCs w:val="16"/>
              </w:rPr>
            </w:pPr>
            <w:r>
              <w:rPr>
                <w:rFonts w:ascii="Arial" w:hAnsi="Arial" w:cs="Arial"/>
                <w:b/>
                <w:bCs/>
                <w:sz w:val="16"/>
                <w:szCs w:val="16"/>
              </w:rPr>
              <w:t>$ 4.773</w:t>
            </w:r>
          </w:p>
        </w:tc>
        <w:tc>
          <w:tcPr>
            <w:tcW w:w="720" w:type="dxa"/>
            <w:tcBorders>
              <w:top w:val="nil"/>
              <w:left w:val="nil"/>
              <w:bottom w:val="single" w:sz="8" w:space="0" w:color="auto"/>
              <w:right w:val="single" w:sz="8" w:space="0" w:color="auto"/>
            </w:tcBorders>
            <w:shd w:val="clear" w:color="auto" w:fill="F7F6F3"/>
            <w:vAlign w:val="center"/>
            <w:hideMark/>
          </w:tcPr>
          <w:p w14:paraId="4E080C50" w14:textId="77777777" w:rsidR="001F24ED" w:rsidRDefault="001F24ED">
            <w:pPr>
              <w:jc w:val="center"/>
              <w:rPr>
                <w:rFonts w:ascii="Arial" w:hAnsi="Arial" w:cs="Arial"/>
                <w:b/>
                <w:bCs/>
                <w:color w:val="000000"/>
                <w:sz w:val="16"/>
                <w:szCs w:val="16"/>
              </w:rPr>
            </w:pPr>
            <w:r>
              <w:rPr>
                <w:rFonts w:ascii="Arial" w:hAnsi="Arial" w:cs="Arial"/>
                <w:b/>
                <w:bCs/>
                <w:sz w:val="16"/>
                <w:szCs w:val="16"/>
              </w:rPr>
              <w:t>47 %</w:t>
            </w:r>
          </w:p>
        </w:tc>
        <w:tc>
          <w:tcPr>
            <w:tcW w:w="1580" w:type="dxa"/>
            <w:tcBorders>
              <w:top w:val="nil"/>
              <w:left w:val="nil"/>
              <w:bottom w:val="single" w:sz="8" w:space="0" w:color="auto"/>
              <w:right w:val="single" w:sz="8" w:space="0" w:color="auto"/>
            </w:tcBorders>
            <w:shd w:val="clear" w:color="auto" w:fill="F7F6F3"/>
            <w:vAlign w:val="center"/>
            <w:hideMark/>
          </w:tcPr>
          <w:p w14:paraId="25CD3CCB" w14:textId="77777777" w:rsidR="001F24ED" w:rsidRDefault="001F24ED">
            <w:pPr>
              <w:jc w:val="center"/>
              <w:rPr>
                <w:rFonts w:ascii="Arial" w:hAnsi="Arial" w:cs="Arial"/>
                <w:b/>
                <w:bCs/>
                <w:color w:val="000000"/>
                <w:sz w:val="16"/>
                <w:szCs w:val="16"/>
              </w:rPr>
            </w:pPr>
            <w:r>
              <w:rPr>
                <w:rFonts w:ascii="Arial" w:hAnsi="Arial" w:cs="Arial"/>
                <w:b/>
                <w:bCs/>
                <w:sz w:val="16"/>
                <w:szCs w:val="16"/>
              </w:rPr>
              <w:t>$ 1.558</w:t>
            </w:r>
          </w:p>
        </w:tc>
        <w:tc>
          <w:tcPr>
            <w:tcW w:w="680" w:type="dxa"/>
            <w:tcBorders>
              <w:top w:val="nil"/>
              <w:left w:val="nil"/>
              <w:bottom w:val="single" w:sz="8" w:space="0" w:color="auto"/>
              <w:right w:val="single" w:sz="8" w:space="0" w:color="auto"/>
            </w:tcBorders>
            <w:shd w:val="clear" w:color="auto" w:fill="F7F6F3"/>
            <w:vAlign w:val="center"/>
            <w:hideMark/>
          </w:tcPr>
          <w:p w14:paraId="4DA20885" w14:textId="77777777" w:rsidR="001F24ED" w:rsidRDefault="001F24ED">
            <w:pPr>
              <w:jc w:val="center"/>
              <w:rPr>
                <w:rFonts w:ascii="Arial" w:hAnsi="Arial" w:cs="Arial"/>
                <w:b/>
                <w:bCs/>
                <w:color w:val="000000"/>
                <w:sz w:val="16"/>
                <w:szCs w:val="16"/>
              </w:rPr>
            </w:pPr>
            <w:r>
              <w:rPr>
                <w:rFonts w:ascii="Arial" w:hAnsi="Arial" w:cs="Arial"/>
                <w:b/>
                <w:bCs/>
                <w:sz w:val="16"/>
                <w:szCs w:val="16"/>
              </w:rPr>
              <w:t>15%</w:t>
            </w:r>
          </w:p>
        </w:tc>
        <w:tc>
          <w:tcPr>
            <w:tcW w:w="1000" w:type="dxa"/>
            <w:tcBorders>
              <w:top w:val="nil"/>
              <w:left w:val="nil"/>
              <w:bottom w:val="single" w:sz="8" w:space="0" w:color="auto"/>
              <w:right w:val="single" w:sz="8" w:space="0" w:color="auto"/>
            </w:tcBorders>
            <w:shd w:val="clear" w:color="auto" w:fill="F7F6F3"/>
            <w:vAlign w:val="center"/>
            <w:hideMark/>
          </w:tcPr>
          <w:p w14:paraId="5C2DA8D0" w14:textId="77777777" w:rsidR="001F24ED" w:rsidRDefault="001F24ED">
            <w:pPr>
              <w:jc w:val="center"/>
              <w:rPr>
                <w:rFonts w:ascii="Arial" w:hAnsi="Arial" w:cs="Arial"/>
                <w:b/>
                <w:bCs/>
                <w:color w:val="000000"/>
                <w:sz w:val="16"/>
                <w:szCs w:val="16"/>
              </w:rPr>
            </w:pPr>
            <w:r>
              <w:rPr>
                <w:rFonts w:ascii="Arial" w:hAnsi="Arial" w:cs="Arial"/>
                <w:b/>
                <w:bCs/>
                <w:sz w:val="16"/>
                <w:szCs w:val="16"/>
              </w:rPr>
              <w:t>$ 1.558</w:t>
            </w:r>
          </w:p>
        </w:tc>
        <w:tc>
          <w:tcPr>
            <w:tcW w:w="700" w:type="dxa"/>
            <w:tcBorders>
              <w:top w:val="nil"/>
              <w:left w:val="nil"/>
              <w:bottom w:val="single" w:sz="8" w:space="0" w:color="auto"/>
              <w:right w:val="single" w:sz="8" w:space="0" w:color="auto"/>
            </w:tcBorders>
            <w:noWrap/>
            <w:vAlign w:val="center"/>
            <w:hideMark/>
          </w:tcPr>
          <w:p w14:paraId="5EB20CE0" w14:textId="77777777" w:rsidR="001F24ED" w:rsidRDefault="001F24ED">
            <w:pPr>
              <w:jc w:val="center"/>
              <w:rPr>
                <w:rFonts w:ascii="Arial" w:hAnsi="Arial" w:cs="Arial"/>
                <w:b/>
                <w:bCs/>
                <w:color w:val="000000"/>
                <w:sz w:val="16"/>
                <w:szCs w:val="16"/>
              </w:rPr>
            </w:pPr>
            <w:r>
              <w:rPr>
                <w:rFonts w:ascii="Arial" w:hAnsi="Arial" w:cs="Arial"/>
                <w:b/>
                <w:bCs/>
                <w:sz w:val="16"/>
                <w:szCs w:val="16"/>
              </w:rPr>
              <w:t>15%</w:t>
            </w:r>
          </w:p>
        </w:tc>
      </w:tr>
    </w:tbl>
    <w:p w14:paraId="07EC1A32" w14:textId="22723883" w:rsidR="00C02282" w:rsidRPr="001F24ED" w:rsidRDefault="001F24ED" w:rsidP="00C02282">
      <w:pPr>
        <w:spacing w:after="0" w:line="240" w:lineRule="auto"/>
        <w:jc w:val="center"/>
        <w:rPr>
          <w:rFonts w:ascii="Arial" w:eastAsia="Calibri" w:hAnsi="Arial" w:cs="Arial"/>
          <w:sz w:val="16"/>
          <w:szCs w:val="16"/>
        </w:rPr>
      </w:pPr>
      <w:r w:rsidRPr="001F24ED">
        <w:rPr>
          <w:rFonts w:ascii="Arial" w:hAnsi="Arial" w:cs="Arial"/>
          <w:sz w:val="16"/>
          <w:szCs w:val="16"/>
          <w:lang w:eastAsia="es-ES"/>
        </w:rPr>
        <w:t xml:space="preserve"> </w:t>
      </w:r>
      <w:r w:rsidR="00C02282" w:rsidRPr="001F24ED">
        <w:rPr>
          <w:rFonts w:ascii="Arial" w:hAnsi="Arial" w:cs="Arial"/>
          <w:sz w:val="16"/>
          <w:szCs w:val="16"/>
          <w:lang w:eastAsia="es-ES"/>
        </w:rPr>
        <w:t>Millones de pesos</w:t>
      </w:r>
    </w:p>
    <w:p w14:paraId="07B59ABA" w14:textId="77777777" w:rsidR="00C02282" w:rsidRPr="001F24ED" w:rsidRDefault="00C02282" w:rsidP="00C02282">
      <w:pPr>
        <w:jc w:val="center"/>
        <w:rPr>
          <w:rFonts w:ascii="Arial" w:hAnsi="Arial" w:cs="Arial"/>
          <w:bCs/>
          <w:lang w:val="es-MX" w:eastAsia="es-ES"/>
        </w:rPr>
      </w:pPr>
      <w:r w:rsidRPr="001F24ED">
        <w:rPr>
          <w:rFonts w:ascii="Calibri" w:hAnsi="Calibri" w:cs="Calibri"/>
          <w:sz w:val="18"/>
          <w:szCs w:val="18"/>
        </w:rPr>
        <w:t>Fuente SIIF</w:t>
      </w:r>
    </w:p>
    <w:p w14:paraId="1CDF3B83" w14:textId="77777777" w:rsidR="001F24ED" w:rsidRPr="001F24ED" w:rsidRDefault="001F24ED" w:rsidP="001F24ED">
      <w:pPr>
        <w:jc w:val="both"/>
        <w:rPr>
          <w:rFonts w:ascii="Arial" w:eastAsia="Batang" w:hAnsi="Arial" w:cs="Arial"/>
          <w:color w:val="0D0D0D"/>
        </w:rPr>
      </w:pPr>
      <w:r>
        <w:rPr>
          <w:rFonts w:ascii="Arial" w:eastAsia="Batang" w:hAnsi="Arial" w:cs="Arial"/>
          <w:color w:val="0D0D0D"/>
        </w:rPr>
        <w:t xml:space="preserve">Es así como al cierre del segundo trimestre, la ejecución de compromisos de los recursos de inversión es del 47% del presupuesto asignado, la ejecución de obligaciones del 15% y pagos del 15%. A continuación, se relacionan los </w:t>
      </w:r>
      <w:r>
        <w:rPr>
          <w:rFonts w:ascii="Arial" w:eastAsia="Batang" w:hAnsi="Arial" w:cs="Arial"/>
        </w:rPr>
        <w:t xml:space="preserve">montos comprometidos en la Vicepresidencia de </w:t>
      </w:r>
      <w:r w:rsidRPr="001F24ED">
        <w:rPr>
          <w:rFonts w:ascii="Arial" w:eastAsia="Batang" w:hAnsi="Arial" w:cs="Arial"/>
        </w:rPr>
        <w:t>Promoción y Asignación, en el primer semestre de 2018:</w:t>
      </w:r>
    </w:p>
    <w:p w14:paraId="6C4445AC" w14:textId="497F789D" w:rsidR="00C02282" w:rsidRPr="001F24ED" w:rsidRDefault="001F24ED" w:rsidP="001F24ED">
      <w:pPr>
        <w:pStyle w:val="Descripcin"/>
        <w:keepNext/>
        <w:jc w:val="center"/>
      </w:pPr>
      <w:r w:rsidRPr="001F24ED">
        <w:lastRenderedPageBreak/>
        <w:t xml:space="preserve"> </w:t>
      </w:r>
      <w:bookmarkStart w:id="177" w:name="_Toc525652537"/>
      <w:r w:rsidR="00C02282" w:rsidRPr="001F24ED">
        <w:t xml:space="preserve">Tabla </w:t>
      </w:r>
      <w:r w:rsidR="00C02282" w:rsidRPr="001F24ED">
        <w:fldChar w:fldCharType="begin"/>
      </w:r>
      <w:r w:rsidR="00C02282" w:rsidRPr="001F24ED">
        <w:instrText xml:space="preserve"> SEQ Tabla \* ARABIC </w:instrText>
      </w:r>
      <w:r w:rsidR="00C02282" w:rsidRPr="001F24ED">
        <w:fldChar w:fldCharType="separate"/>
      </w:r>
      <w:r w:rsidR="008B4625">
        <w:rPr>
          <w:noProof/>
        </w:rPr>
        <w:t>92</w:t>
      </w:r>
      <w:r w:rsidR="00C02282" w:rsidRPr="001F24ED">
        <w:fldChar w:fldCharType="end"/>
      </w:r>
      <w:r w:rsidR="00C02282" w:rsidRPr="001F24ED">
        <w:t xml:space="preserve"> Ejecución Inversión Adecuación Del Modelo De Promoción de Los Recursos </w:t>
      </w:r>
      <w:r w:rsidR="00576641" w:rsidRPr="001F24ED">
        <w:t>Hidrocarburíferos</w:t>
      </w:r>
      <w:r w:rsidR="00C02282" w:rsidRPr="001F24ED">
        <w:t xml:space="preserve"> Frente a Los Factores Externos – Contratación Compromisos a 3</w:t>
      </w:r>
      <w:r w:rsidRPr="001F24ED">
        <w:t xml:space="preserve">0 de junio de 2018 </w:t>
      </w:r>
      <w:r w:rsidR="00C02282" w:rsidRPr="001F24ED">
        <w:t xml:space="preserve"> ANH</w:t>
      </w:r>
      <w:bookmarkEnd w:id="177"/>
    </w:p>
    <w:tbl>
      <w:tblPr>
        <w:tblW w:w="8775" w:type="dxa"/>
        <w:tblCellMar>
          <w:left w:w="70" w:type="dxa"/>
          <w:right w:w="70" w:type="dxa"/>
        </w:tblCellMar>
        <w:tblLook w:val="04A0" w:firstRow="1" w:lastRow="0" w:firstColumn="1" w:lastColumn="0" w:noHBand="0" w:noVBand="1"/>
      </w:tblPr>
      <w:tblGrid>
        <w:gridCol w:w="508"/>
        <w:gridCol w:w="4789"/>
        <w:gridCol w:w="1446"/>
        <w:gridCol w:w="2032"/>
      </w:tblGrid>
      <w:tr w:rsidR="001F24ED" w14:paraId="6F34DB9A" w14:textId="77777777" w:rsidTr="008B5E15">
        <w:trPr>
          <w:trHeight w:val="466"/>
          <w:tblHeader/>
        </w:trPr>
        <w:tc>
          <w:tcPr>
            <w:tcW w:w="50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109B65C" w14:textId="77777777" w:rsidR="001F24ED" w:rsidRDefault="001F24ED">
            <w:pPr>
              <w:jc w:val="center"/>
              <w:rPr>
                <w:rFonts w:ascii="Arial" w:hAnsi="Arial" w:cs="Arial"/>
                <w:b/>
                <w:bCs/>
                <w:sz w:val="16"/>
                <w:szCs w:val="16"/>
              </w:rPr>
            </w:pPr>
            <w:r>
              <w:rPr>
                <w:rFonts w:ascii="Arial" w:hAnsi="Arial" w:cs="Arial"/>
                <w:b/>
                <w:bCs/>
                <w:sz w:val="16"/>
                <w:szCs w:val="16"/>
              </w:rPr>
              <w:t>No.</w:t>
            </w:r>
          </w:p>
        </w:tc>
        <w:tc>
          <w:tcPr>
            <w:tcW w:w="4789" w:type="dxa"/>
            <w:tcBorders>
              <w:top w:val="single" w:sz="4" w:space="0" w:color="auto"/>
              <w:left w:val="nil"/>
              <w:bottom w:val="single" w:sz="4" w:space="0" w:color="auto"/>
              <w:right w:val="single" w:sz="4" w:space="0" w:color="auto"/>
            </w:tcBorders>
            <w:shd w:val="clear" w:color="auto" w:fill="4F81BD" w:themeFill="accent1"/>
            <w:vAlign w:val="center"/>
            <w:hideMark/>
          </w:tcPr>
          <w:p w14:paraId="4CA5D98A" w14:textId="77777777" w:rsidR="001F24ED" w:rsidRDefault="001F24ED">
            <w:pPr>
              <w:jc w:val="center"/>
              <w:rPr>
                <w:rFonts w:ascii="Arial" w:hAnsi="Arial" w:cs="Arial"/>
                <w:b/>
                <w:bCs/>
                <w:sz w:val="16"/>
                <w:szCs w:val="16"/>
              </w:rPr>
            </w:pPr>
            <w:r>
              <w:rPr>
                <w:rFonts w:ascii="Arial" w:hAnsi="Arial" w:cs="Arial"/>
                <w:b/>
                <w:bCs/>
                <w:sz w:val="16"/>
                <w:szCs w:val="16"/>
              </w:rPr>
              <w:t>Contratista (Tercero)</w:t>
            </w:r>
          </w:p>
        </w:tc>
        <w:tc>
          <w:tcPr>
            <w:tcW w:w="1446" w:type="dxa"/>
            <w:tcBorders>
              <w:top w:val="single" w:sz="4" w:space="0" w:color="auto"/>
              <w:left w:val="nil"/>
              <w:bottom w:val="single" w:sz="4" w:space="0" w:color="auto"/>
              <w:right w:val="single" w:sz="4" w:space="0" w:color="auto"/>
            </w:tcBorders>
            <w:shd w:val="clear" w:color="auto" w:fill="4F81BD" w:themeFill="accent1"/>
            <w:vAlign w:val="center"/>
            <w:hideMark/>
          </w:tcPr>
          <w:p w14:paraId="11974F1D" w14:textId="77777777" w:rsidR="001F24ED" w:rsidRDefault="001F24ED">
            <w:pPr>
              <w:jc w:val="center"/>
              <w:rPr>
                <w:rFonts w:ascii="Arial" w:hAnsi="Arial" w:cs="Arial"/>
                <w:b/>
                <w:bCs/>
                <w:sz w:val="16"/>
                <w:szCs w:val="16"/>
              </w:rPr>
            </w:pPr>
            <w:r>
              <w:rPr>
                <w:rFonts w:ascii="Arial" w:hAnsi="Arial" w:cs="Arial"/>
                <w:b/>
                <w:bCs/>
                <w:sz w:val="16"/>
                <w:szCs w:val="16"/>
              </w:rPr>
              <w:t>Número de Contrato</w:t>
            </w:r>
          </w:p>
        </w:tc>
        <w:tc>
          <w:tcPr>
            <w:tcW w:w="2032" w:type="dxa"/>
            <w:tcBorders>
              <w:top w:val="single" w:sz="4" w:space="0" w:color="auto"/>
              <w:left w:val="nil"/>
              <w:bottom w:val="single" w:sz="4" w:space="0" w:color="auto"/>
              <w:right w:val="single" w:sz="4" w:space="0" w:color="auto"/>
            </w:tcBorders>
            <w:shd w:val="clear" w:color="auto" w:fill="4F81BD" w:themeFill="accent1"/>
            <w:vAlign w:val="center"/>
            <w:hideMark/>
          </w:tcPr>
          <w:p w14:paraId="74C2C60D" w14:textId="77777777" w:rsidR="001F24ED" w:rsidRDefault="001F24ED">
            <w:pPr>
              <w:jc w:val="center"/>
              <w:rPr>
                <w:rFonts w:ascii="Arial" w:hAnsi="Arial" w:cs="Arial"/>
                <w:b/>
                <w:bCs/>
                <w:sz w:val="16"/>
                <w:szCs w:val="16"/>
              </w:rPr>
            </w:pPr>
            <w:r>
              <w:rPr>
                <w:rFonts w:ascii="Arial" w:hAnsi="Arial" w:cs="Arial"/>
                <w:b/>
                <w:bCs/>
                <w:sz w:val="16"/>
                <w:szCs w:val="16"/>
              </w:rPr>
              <w:t>Valor (Millones de pesos)</w:t>
            </w:r>
          </w:p>
        </w:tc>
      </w:tr>
      <w:tr w:rsidR="001F24ED" w14:paraId="2383FE43"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59D99EF3" w14:textId="77777777" w:rsidR="001F24ED" w:rsidRDefault="001F24ED">
            <w:pPr>
              <w:jc w:val="center"/>
              <w:rPr>
                <w:rFonts w:ascii="Arial" w:hAnsi="Arial" w:cs="Arial"/>
                <w:color w:val="000000"/>
                <w:sz w:val="16"/>
                <w:szCs w:val="16"/>
              </w:rPr>
            </w:pPr>
            <w:r>
              <w:rPr>
                <w:rFonts w:ascii="Arial" w:hAnsi="Arial" w:cs="Arial"/>
                <w:sz w:val="16"/>
                <w:szCs w:val="16"/>
              </w:rPr>
              <w:t>1</w:t>
            </w:r>
          </w:p>
        </w:tc>
        <w:tc>
          <w:tcPr>
            <w:tcW w:w="4789" w:type="dxa"/>
            <w:tcBorders>
              <w:top w:val="nil"/>
              <w:left w:val="nil"/>
              <w:bottom w:val="single" w:sz="4" w:space="0" w:color="auto"/>
              <w:right w:val="single" w:sz="4" w:space="0" w:color="auto"/>
            </w:tcBorders>
            <w:vAlign w:val="center"/>
            <w:hideMark/>
          </w:tcPr>
          <w:p w14:paraId="0CB3C1CC" w14:textId="77777777" w:rsidR="001F24ED" w:rsidRDefault="001F24ED">
            <w:pPr>
              <w:rPr>
                <w:rFonts w:ascii="Arial" w:hAnsi="Arial" w:cs="Arial"/>
                <w:color w:val="000000"/>
                <w:sz w:val="16"/>
                <w:szCs w:val="16"/>
              </w:rPr>
            </w:pPr>
            <w:r>
              <w:rPr>
                <w:rFonts w:ascii="Arial" w:hAnsi="Arial" w:cs="Arial"/>
                <w:sz w:val="16"/>
                <w:szCs w:val="16"/>
              </w:rPr>
              <w:t xml:space="preserve">Julián Camilo Colmenares López </w:t>
            </w:r>
          </w:p>
        </w:tc>
        <w:tc>
          <w:tcPr>
            <w:tcW w:w="1446" w:type="dxa"/>
            <w:tcBorders>
              <w:top w:val="nil"/>
              <w:left w:val="nil"/>
              <w:bottom w:val="single" w:sz="4" w:space="0" w:color="auto"/>
              <w:right w:val="single" w:sz="4" w:space="0" w:color="auto"/>
            </w:tcBorders>
            <w:vAlign w:val="center"/>
            <w:hideMark/>
          </w:tcPr>
          <w:p w14:paraId="671E69B4" w14:textId="77777777" w:rsidR="001F24ED" w:rsidRDefault="001F24ED">
            <w:pPr>
              <w:jc w:val="center"/>
              <w:rPr>
                <w:rFonts w:ascii="Arial" w:hAnsi="Arial" w:cs="Arial"/>
                <w:color w:val="000000"/>
                <w:sz w:val="16"/>
                <w:szCs w:val="16"/>
              </w:rPr>
            </w:pPr>
            <w:r>
              <w:rPr>
                <w:rFonts w:ascii="Arial" w:hAnsi="Arial" w:cs="Arial"/>
                <w:sz w:val="16"/>
                <w:szCs w:val="16"/>
              </w:rPr>
              <w:t>010 de 2018</w:t>
            </w:r>
          </w:p>
        </w:tc>
        <w:tc>
          <w:tcPr>
            <w:tcW w:w="2032" w:type="dxa"/>
            <w:tcBorders>
              <w:top w:val="nil"/>
              <w:left w:val="nil"/>
              <w:bottom w:val="single" w:sz="4" w:space="0" w:color="auto"/>
              <w:right w:val="single" w:sz="4" w:space="0" w:color="auto"/>
            </w:tcBorders>
            <w:noWrap/>
            <w:vAlign w:val="center"/>
            <w:hideMark/>
          </w:tcPr>
          <w:p w14:paraId="14C9F9E2" w14:textId="77777777" w:rsidR="001F24ED" w:rsidRDefault="001F24ED">
            <w:pPr>
              <w:jc w:val="right"/>
              <w:rPr>
                <w:rFonts w:ascii="Arial" w:hAnsi="Arial" w:cs="Arial"/>
                <w:color w:val="000000"/>
                <w:sz w:val="16"/>
                <w:szCs w:val="16"/>
              </w:rPr>
            </w:pPr>
            <w:r>
              <w:rPr>
                <w:rFonts w:ascii="Arial" w:hAnsi="Arial" w:cs="Arial"/>
                <w:sz w:val="16"/>
                <w:szCs w:val="16"/>
              </w:rPr>
              <w:t xml:space="preserve">$ 69 </w:t>
            </w:r>
          </w:p>
        </w:tc>
      </w:tr>
      <w:tr w:rsidR="001F24ED" w14:paraId="5BABB967"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19BE1BCC" w14:textId="77777777" w:rsidR="001F24ED" w:rsidRDefault="001F24ED">
            <w:pPr>
              <w:jc w:val="center"/>
              <w:rPr>
                <w:rFonts w:ascii="Arial" w:hAnsi="Arial" w:cs="Arial"/>
                <w:color w:val="000000"/>
                <w:sz w:val="16"/>
                <w:szCs w:val="16"/>
              </w:rPr>
            </w:pPr>
            <w:r>
              <w:rPr>
                <w:rFonts w:ascii="Arial" w:hAnsi="Arial" w:cs="Arial"/>
                <w:sz w:val="16"/>
                <w:szCs w:val="16"/>
              </w:rPr>
              <w:t>2</w:t>
            </w:r>
          </w:p>
        </w:tc>
        <w:tc>
          <w:tcPr>
            <w:tcW w:w="4789" w:type="dxa"/>
            <w:tcBorders>
              <w:top w:val="nil"/>
              <w:left w:val="nil"/>
              <w:bottom w:val="single" w:sz="4" w:space="0" w:color="auto"/>
              <w:right w:val="single" w:sz="4" w:space="0" w:color="auto"/>
            </w:tcBorders>
            <w:vAlign w:val="center"/>
            <w:hideMark/>
          </w:tcPr>
          <w:p w14:paraId="2D3D1137" w14:textId="77777777" w:rsidR="001F24ED" w:rsidRDefault="001F24ED">
            <w:pPr>
              <w:rPr>
                <w:rFonts w:ascii="Arial" w:hAnsi="Arial" w:cs="Arial"/>
                <w:color w:val="000000"/>
                <w:sz w:val="16"/>
                <w:szCs w:val="16"/>
              </w:rPr>
            </w:pPr>
            <w:r>
              <w:rPr>
                <w:rFonts w:ascii="Arial" w:hAnsi="Arial" w:cs="Arial"/>
                <w:sz w:val="16"/>
                <w:szCs w:val="16"/>
              </w:rPr>
              <w:t xml:space="preserve">Clara </w:t>
            </w:r>
            <w:proofErr w:type="spellStart"/>
            <w:r>
              <w:rPr>
                <w:rFonts w:ascii="Arial" w:hAnsi="Arial" w:cs="Arial"/>
                <w:sz w:val="16"/>
                <w:szCs w:val="16"/>
              </w:rPr>
              <w:t>Ines</w:t>
            </w:r>
            <w:proofErr w:type="spellEnd"/>
            <w:r>
              <w:rPr>
                <w:rFonts w:ascii="Arial" w:hAnsi="Arial" w:cs="Arial"/>
                <w:sz w:val="16"/>
                <w:szCs w:val="16"/>
              </w:rPr>
              <w:t xml:space="preserve"> Lozano Gómez </w:t>
            </w:r>
          </w:p>
        </w:tc>
        <w:tc>
          <w:tcPr>
            <w:tcW w:w="1446" w:type="dxa"/>
            <w:tcBorders>
              <w:top w:val="nil"/>
              <w:left w:val="nil"/>
              <w:bottom w:val="single" w:sz="4" w:space="0" w:color="auto"/>
              <w:right w:val="single" w:sz="4" w:space="0" w:color="auto"/>
            </w:tcBorders>
            <w:vAlign w:val="center"/>
            <w:hideMark/>
          </w:tcPr>
          <w:p w14:paraId="1ACA35FC" w14:textId="77777777" w:rsidR="001F24ED" w:rsidRDefault="001F24ED">
            <w:pPr>
              <w:jc w:val="center"/>
              <w:rPr>
                <w:rFonts w:ascii="Arial" w:hAnsi="Arial" w:cs="Arial"/>
                <w:color w:val="000000"/>
                <w:sz w:val="16"/>
                <w:szCs w:val="16"/>
              </w:rPr>
            </w:pPr>
            <w:r>
              <w:rPr>
                <w:rFonts w:ascii="Arial" w:hAnsi="Arial" w:cs="Arial"/>
                <w:sz w:val="16"/>
                <w:szCs w:val="16"/>
              </w:rPr>
              <w:t>018 de 2018</w:t>
            </w:r>
          </w:p>
        </w:tc>
        <w:tc>
          <w:tcPr>
            <w:tcW w:w="2032" w:type="dxa"/>
            <w:tcBorders>
              <w:top w:val="nil"/>
              <w:left w:val="nil"/>
              <w:bottom w:val="single" w:sz="4" w:space="0" w:color="auto"/>
              <w:right w:val="single" w:sz="4" w:space="0" w:color="auto"/>
            </w:tcBorders>
            <w:noWrap/>
            <w:vAlign w:val="center"/>
            <w:hideMark/>
          </w:tcPr>
          <w:p w14:paraId="5A85D791" w14:textId="77777777" w:rsidR="001F24ED" w:rsidRDefault="001F24ED">
            <w:pPr>
              <w:jc w:val="right"/>
              <w:rPr>
                <w:rFonts w:ascii="Arial" w:hAnsi="Arial" w:cs="Arial"/>
                <w:color w:val="000000"/>
                <w:sz w:val="16"/>
                <w:szCs w:val="16"/>
              </w:rPr>
            </w:pPr>
            <w:r>
              <w:rPr>
                <w:rFonts w:ascii="Arial" w:hAnsi="Arial" w:cs="Arial"/>
                <w:sz w:val="16"/>
                <w:szCs w:val="16"/>
              </w:rPr>
              <w:t xml:space="preserve">$ 110 </w:t>
            </w:r>
          </w:p>
        </w:tc>
      </w:tr>
      <w:tr w:rsidR="001F24ED" w14:paraId="74A4E1DB"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65F49B8D" w14:textId="77777777" w:rsidR="001F24ED" w:rsidRDefault="001F24ED">
            <w:pPr>
              <w:jc w:val="center"/>
              <w:rPr>
                <w:rFonts w:ascii="Arial" w:hAnsi="Arial" w:cs="Arial"/>
                <w:color w:val="000000"/>
                <w:sz w:val="16"/>
                <w:szCs w:val="16"/>
              </w:rPr>
            </w:pPr>
            <w:r>
              <w:rPr>
                <w:rFonts w:ascii="Arial" w:hAnsi="Arial" w:cs="Arial"/>
                <w:sz w:val="16"/>
                <w:szCs w:val="16"/>
              </w:rPr>
              <w:t>3</w:t>
            </w:r>
          </w:p>
        </w:tc>
        <w:tc>
          <w:tcPr>
            <w:tcW w:w="4789" w:type="dxa"/>
            <w:tcBorders>
              <w:top w:val="nil"/>
              <w:left w:val="nil"/>
              <w:bottom w:val="single" w:sz="4" w:space="0" w:color="auto"/>
              <w:right w:val="single" w:sz="4" w:space="0" w:color="auto"/>
            </w:tcBorders>
            <w:vAlign w:val="center"/>
            <w:hideMark/>
          </w:tcPr>
          <w:p w14:paraId="74006914" w14:textId="77777777" w:rsidR="001F24ED" w:rsidRDefault="001F24ED">
            <w:pPr>
              <w:rPr>
                <w:rFonts w:ascii="Arial" w:hAnsi="Arial" w:cs="Arial"/>
                <w:color w:val="000000"/>
                <w:sz w:val="16"/>
                <w:szCs w:val="16"/>
              </w:rPr>
            </w:pPr>
            <w:r>
              <w:rPr>
                <w:rFonts w:ascii="Arial" w:hAnsi="Arial" w:cs="Arial"/>
                <w:sz w:val="16"/>
                <w:szCs w:val="16"/>
              </w:rPr>
              <w:t xml:space="preserve">Johanna </w:t>
            </w:r>
            <w:proofErr w:type="spellStart"/>
            <w:r>
              <w:rPr>
                <w:rFonts w:ascii="Arial" w:hAnsi="Arial" w:cs="Arial"/>
                <w:sz w:val="16"/>
                <w:szCs w:val="16"/>
              </w:rPr>
              <w:t>Mateus</w:t>
            </w:r>
            <w:proofErr w:type="spellEnd"/>
            <w:r>
              <w:rPr>
                <w:rFonts w:ascii="Arial" w:hAnsi="Arial" w:cs="Arial"/>
                <w:sz w:val="16"/>
                <w:szCs w:val="16"/>
              </w:rPr>
              <w:t xml:space="preserve"> Díaz </w:t>
            </w:r>
          </w:p>
        </w:tc>
        <w:tc>
          <w:tcPr>
            <w:tcW w:w="1446" w:type="dxa"/>
            <w:tcBorders>
              <w:top w:val="nil"/>
              <w:left w:val="nil"/>
              <w:bottom w:val="single" w:sz="4" w:space="0" w:color="auto"/>
              <w:right w:val="single" w:sz="4" w:space="0" w:color="auto"/>
            </w:tcBorders>
            <w:vAlign w:val="center"/>
            <w:hideMark/>
          </w:tcPr>
          <w:p w14:paraId="4ECC23F1" w14:textId="77777777" w:rsidR="001F24ED" w:rsidRDefault="001F24ED">
            <w:pPr>
              <w:jc w:val="center"/>
              <w:rPr>
                <w:rFonts w:ascii="Arial" w:hAnsi="Arial" w:cs="Arial"/>
                <w:color w:val="000000"/>
                <w:sz w:val="16"/>
                <w:szCs w:val="16"/>
              </w:rPr>
            </w:pPr>
            <w:r>
              <w:rPr>
                <w:rFonts w:ascii="Arial" w:hAnsi="Arial" w:cs="Arial"/>
                <w:sz w:val="16"/>
                <w:szCs w:val="16"/>
              </w:rPr>
              <w:t>019 de 2018</w:t>
            </w:r>
          </w:p>
        </w:tc>
        <w:tc>
          <w:tcPr>
            <w:tcW w:w="2032" w:type="dxa"/>
            <w:tcBorders>
              <w:top w:val="nil"/>
              <w:left w:val="nil"/>
              <w:bottom w:val="single" w:sz="4" w:space="0" w:color="auto"/>
              <w:right w:val="single" w:sz="4" w:space="0" w:color="auto"/>
            </w:tcBorders>
            <w:noWrap/>
            <w:vAlign w:val="center"/>
            <w:hideMark/>
          </w:tcPr>
          <w:p w14:paraId="088BC22D" w14:textId="77777777" w:rsidR="001F24ED" w:rsidRDefault="001F24ED">
            <w:pPr>
              <w:jc w:val="right"/>
              <w:rPr>
                <w:rFonts w:ascii="Arial" w:hAnsi="Arial" w:cs="Arial"/>
                <w:color w:val="000000"/>
                <w:sz w:val="16"/>
                <w:szCs w:val="16"/>
              </w:rPr>
            </w:pPr>
            <w:r>
              <w:rPr>
                <w:rFonts w:ascii="Arial" w:hAnsi="Arial" w:cs="Arial"/>
                <w:sz w:val="16"/>
                <w:szCs w:val="16"/>
              </w:rPr>
              <w:t xml:space="preserve">$ 167 </w:t>
            </w:r>
          </w:p>
        </w:tc>
      </w:tr>
      <w:tr w:rsidR="001F24ED" w14:paraId="281812C2" w14:textId="77777777" w:rsidTr="008B5E15">
        <w:trPr>
          <w:trHeight w:val="192"/>
        </w:trPr>
        <w:tc>
          <w:tcPr>
            <w:tcW w:w="508" w:type="dxa"/>
            <w:tcBorders>
              <w:top w:val="nil"/>
              <w:left w:val="single" w:sz="4" w:space="0" w:color="auto"/>
              <w:bottom w:val="single" w:sz="4" w:space="0" w:color="auto"/>
              <w:right w:val="single" w:sz="4" w:space="0" w:color="auto"/>
            </w:tcBorders>
            <w:vAlign w:val="center"/>
            <w:hideMark/>
          </w:tcPr>
          <w:p w14:paraId="74798086" w14:textId="77777777" w:rsidR="001F24ED" w:rsidRDefault="001F24ED">
            <w:pPr>
              <w:jc w:val="center"/>
              <w:rPr>
                <w:rFonts w:ascii="Arial" w:hAnsi="Arial" w:cs="Arial"/>
                <w:color w:val="000000"/>
                <w:sz w:val="16"/>
                <w:szCs w:val="16"/>
              </w:rPr>
            </w:pPr>
            <w:r>
              <w:rPr>
                <w:rFonts w:ascii="Arial" w:hAnsi="Arial" w:cs="Arial"/>
                <w:sz w:val="16"/>
                <w:szCs w:val="16"/>
              </w:rPr>
              <w:t>4</w:t>
            </w:r>
          </w:p>
        </w:tc>
        <w:tc>
          <w:tcPr>
            <w:tcW w:w="4789" w:type="dxa"/>
            <w:tcBorders>
              <w:top w:val="nil"/>
              <w:left w:val="nil"/>
              <w:bottom w:val="single" w:sz="4" w:space="0" w:color="auto"/>
              <w:right w:val="single" w:sz="4" w:space="0" w:color="auto"/>
            </w:tcBorders>
            <w:vAlign w:val="center"/>
            <w:hideMark/>
          </w:tcPr>
          <w:p w14:paraId="74447928" w14:textId="77777777" w:rsidR="001F24ED" w:rsidRDefault="001F24ED">
            <w:pPr>
              <w:rPr>
                <w:rFonts w:ascii="Arial" w:hAnsi="Arial" w:cs="Arial"/>
                <w:color w:val="000000"/>
                <w:sz w:val="16"/>
                <w:szCs w:val="16"/>
              </w:rPr>
            </w:pPr>
            <w:r>
              <w:rPr>
                <w:rFonts w:ascii="Arial" w:hAnsi="Arial" w:cs="Arial"/>
                <w:sz w:val="16"/>
                <w:szCs w:val="16"/>
              </w:rPr>
              <w:t xml:space="preserve">David Negrete </w:t>
            </w:r>
          </w:p>
        </w:tc>
        <w:tc>
          <w:tcPr>
            <w:tcW w:w="1446" w:type="dxa"/>
            <w:tcBorders>
              <w:top w:val="nil"/>
              <w:left w:val="nil"/>
              <w:bottom w:val="single" w:sz="4" w:space="0" w:color="auto"/>
              <w:right w:val="single" w:sz="4" w:space="0" w:color="auto"/>
            </w:tcBorders>
            <w:vAlign w:val="center"/>
            <w:hideMark/>
          </w:tcPr>
          <w:p w14:paraId="01E8E3B4" w14:textId="77777777" w:rsidR="001F24ED" w:rsidRDefault="001F24ED">
            <w:pPr>
              <w:jc w:val="center"/>
              <w:rPr>
                <w:rFonts w:ascii="Arial" w:hAnsi="Arial" w:cs="Arial"/>
                <w:color w:val="000000"/>
                <w:sz w:val="16"/>
                <w:szCs w:val="16"/>
              </w:rPr>
            </w:pPr>
            <w:r>
              <w:rPr>
                <w:rFonts w:ascii="Arial" w:hAnsi="Arial" w:cs="Arial"/>
                <w:sz w:val="16"/>
                <w:szCs w:val="16"/>
              </w:rPr>
              <w:t>020 de 2018</w:t>
            </w:r>
          </w:p>
        </w:tc>
        <w:tc>
          <w:tcPr>
            <w:tcW w:w="2032" w:type="dxa"/>
            <w:tcBorders>
              <w:top w:val="nil"/>
              <w:left w:val="nil"/>
              <w:bottom w:val="single" w:sz="4" w:space="0" w:color="auto"/>
              <w:right w:val="single" w:sz="4" w:space="0" w:color="auto"/>
            </w:tcBorders>
            <w:noWrap/>
            <w:vAlign w:val="center"/>
            <w:hideMark/>
          </w:tcPr>
          <w:p w14:paraId="5E7420B8" w14:textId="77777777" w:rsidR="001F24ED" w:rsidRDefault="001F24ED">
            <w:pPr>
              <w:jc w:val="right"/>
              <w:rPr>
                <w:rFonts w:ascii="Arial" w:hAnsi="Arial" w:cs="Arial"/>
                <w:color w:val="000000"/>
                <w:sz w:val="16"/>
                <w:szCs w:val="16"/>
              </w:rPr>
            </w:pPr>
            <w:r>
              <w:rPr>
                <w:rFonts w:ascii="Arial" w:hAnsi="Arial" w:cs="Arial"/>
                <w:sz w:val="16"/>
                <w:szCs w:val="16"/>
              </w:rPr>
              <w:t xml:space="preserve">$ 157 </w:t>
            </w:r>
          </w:p>
        </w:tc>
      </w:tr>
      <w:tr w:rsidR="001F24ED" w14:paraId="0E1FA8B9" w14:textId="77777777" w:rsidTr="008B5E15">
        <w:trPr>
          <w:trHeight w:val="197"/>
        </w:trPr>
        <w:tc>
          <w:tcPr>
            <w:tcW w:w="508" w:type="dxa"/>
            <w:tcBorders>
              <w:top w:val="nil"/>
              <w:left w:val="single" w:sz="4" w:space="0" w:color="auto"/>
              <w:bottom w:val="single" w:sz="4" w:space="0" w:color="auto"/>
              <w:right w:val="single" w:sz="4" w:space="0" w:color="auto"/>
            </w:tcBorders>
            <w:vAlign w:val="center"/>
            <w:hideMark/>
          </w:tcPr>
          <w:p w14:paraId="3E9453C6" w14:textId="77777777" w:rsidR="001F24ED" w:rsidRDefault="001F24ED">
            <w:pPr>
              <w:jc w:val="center"/>
              <w:rPr>
                <w:rFonts w:ascii="Arial" w:hAnsi="Arial" w:cs="Arial"/>
                <w:color w:val="000000"/>
                <w:sz w:val="16"/>
                <w:szCs w:val="16"/>
              </w:rPr>
            </w:pPr>
            <w:r>
              <w:rPr>
                <w:rFonts w:ascii="Arial" w:hAnsi="Arial" w:cs="Arial"/>
                <w:sz w:val="16"/>
                <w:szCs w:val="16"/>
              </w:rPr>
              <w:t>5</w:t>
            </w:r>
          </w:p>
        </w:tc>
        <w:tc>
          <w:tcPr>
            <w:tcW w:w="4789" w:type="dxa"/>
            <w:tcBorders>
              <w:top w:val="nil"/>
              <w:left w:val="nil"/>
              <w:bottom w:val="single" w:sz="4" w:space="0" w:color="auto"/>
              <w:right w:val="single" w:sz="4" w:space="0" w:color="auto"/>
            </w:tcBorders>
            <w:vAlign w:val="center"/>
            <w:hideMark/>
          </w:tcPr>
          <w:p w14:paraId="5B5EAEB7" w14:textId="77777777" w:rsidR="001F24ED" w:rsidRDefault="001F24ED">
            <w:pPr>
              <w:rPr>
                <w:rFonts w:ascii="Arial" w:hAnsi="Arial" w:cs="Arial"/>
                <w:color w:val="000000"/>
                <w:sz w:val="16"/>
                <w:szCs w:val="16"/>
              </w:rPr>
            </w:pPr>
            <w:r>
              <w:rPr>
                <w:rFonts w:ascii="Arial" w:hAnsi="Arial" w:cs="Arial"/>
                <w:sz w:val="16"/>
                <w:szCs w:val="16"/>
              </w:rPr>
              <w:t>Margarita María Romero Pérez</w:t>
            </w:r>
          </w:p>
        </w:tc>
        <w:tc>
          <w:tcPr>
            <w:tcW w:w="1446" w:type="dxa"/>
            <w:tcBorders>
              <w:top w:val="nil"/>
              <w:left w:val="nil"/>
              <w:bottom w:val="single" w:sz="4" w:space="0" w:color="auto"/>
              <w:right w:val="single" w:sz="4" w:space="0" w:color="auto"/>
            </w:tcBorders>
            <w:vAlign w:val="center"/>
            <w:hideMark/>
          </w:tcPr>
          <w:p w14:paraId="5A618FE0" w14:textId="77777777" w:rsidR="001F24ED" w:rsidRDefault="001F24ED">
            <w:pPr>
              <w:jc w:val="center"/>
              <w:rPr>
                <w:rFonts w:ascii="Arial" w:hAnsi="Arial" w:cs="Arial"/>
                <w:color w:val="000000"/>
                <w:sz w:val="16"/>
                <w:szCs w:val="16"/>
              </w:rPr>
            </w:pPr>
            <w:r>
              <w:rPr>
                <w:rFonts w:ascii="Arial" w:hAnsi="Arial" w:cs="Arial"/>
                <w:sz w:val="16"/>
                <w:szCs w:val="16"/>
              </w:rPr>
              <w:t>021 de 2018</w:t>
            </w:r>
          </w:p>
        </w:tc>
        <w:tc>
          <w:tcPr>
            <w:tcW w:w="2032" w:type="dxa"/>
            <w:tcBorders>
              <w:top w:val="nil"/>
              <w:left w:val="nil"/>
              <w:bottom w:val="single" w:sz="4" w:space="0" w:color="auto"/>
              <w:right w:val="single" w:sz="4" w:space="0" w:color="auto"/>
            </w:tcBorders>
            <w:noWrap/>
            <w:vAlign w:val="center"/>
            <w:hideMark/>
          </w:tcPr>
          <w:p w14:paraId="6BD965B4" w14:textId="77777777" w:rsidR="001F24ED" w:rsidRDefault="001F24ED">
            <w:pPr>
              <w:jc w:val="right"/>
              <w:rPr>
                <w:rFonts w:ascii="Arial" w:hAnsi="Arial" w:cs="Arial"/>
                <w:color w:val="000000"/>
                <w:sz w:val="16"/>
                <w:szCs w:val="16"/>
              </w:rPr>
            </w:pPr>
            <w:r>
              <w:rPr>
                <w:rFonts w:ascii="Arial" w:hAnsi="Arial" w:cs="Arial"/>
                <w:sz w:val="16"/>
                <w:szCs w:val="16"/>
              </w:rPr>
              <w:t xml:space="preserve">$ 55 </w:t>
            </w:r>
          </w:p>
        </w:tc>
      </w:tr>
      <w:tr w:rsidR="001F24ED" w14:paraId="2B47FB10"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6F987E1F" w14:textId="77777777" w:rsidR="001F24ED" w:rsidRDefault="001F24ED">
            <w:pPr>
              <w:jc w:val="center"/>
              <w:rPr>
                <w:rFonts w:ascii="Arial" w:hAnsi="Arial" w:cs="Arial"/>
                <w:color w:val="000000"/>
                <w:sz w:val="16"/>
                <w:szCs w:val="16"/>
              </w:rPr>
            </w:pPr>
            <w:r>
              <w:rPr>
                <w:rFonts w:ascii="Arial" w:hAnsi="Arial" w:cs="Arial"/>
                <w:sz w:val="16"/>
                <w:szCs w:val="16"/>
              </w:rPr>
              <w:t>6</w:t>
            </w:r>
          </w:p>
        </w:tc>
        <w:tc>
          <w:tcPr>
            <w:tcW w:w="4789" w:type="dxa"/>
            <w:tcBorders>
              <w:top w:val="nil"/>
              <w:left w:val="nil"/>
              <w:bottom w:val="single" w:sz="4" w:space="0" w:color="auto"/>
              <w:right w:val="single" w:sz="4" w:space="0" w:color="auto"/>
            </w:tcBorders>
            <w:vAlign w:val="center"/>
            <w:hideMark/>
          </w:tcPr>
          <w:p w14:paraId="482B5EF3" w14:textId="77777777" w:rsidR="001F24ED" w:rsidRDefault="001F24ED">
            <w:pPr>
              <w:rPr>
                <w:rFonts w:ascii="Arial" w:hAnsi="Arial" w:cs="Arial"/>
                <w:color w:val="000000"/>
                <w:sz w:val="16"/>
                <w:szCs w:val="16"/>
              </w:rPr>
            </w:pPr>
            <w:r>
              <w:rPr>
                <w:rFonts w:ascii="Arial" w:hAnsi="Arial" w:cs="Arial"/>
                <w:sz w:val="16"/>
                <w:szCs w:val="16"/>
              </w:rPr>
              <w:t xml:space="preserve">Edna </w:t>
            </w:r>
            <w:proofErr w:type="spellStart"/>
            <w:r>
              <w:rPr>
                <w:rFonts w:ascii="Arial" w:hAnsi="Arial" w:cs="Arial"/>
                <w:sz w:val="16"/>
                <w:szCs w:val="16"/>
              </w:rPr>
              <w:t>Yurany</w:t>
            </w:r>
            <w:proofErr w:type="spellEnd"/>
            <w:r>
              <w:rPr>
                <w:rFonts w:ascii="Arial" w:hAnsi="Arial" w:cs="Arial"/>
                <w:sz w:val="16"/>
                <w:szCs w:val="16"/>
              </w:rPr>
              <w:t xml:space="preserve"> Puerto </w:t>
            </w:r>
            <w:proofErr w:type="spellStart"/>
            <w:r>
              <w:rPr>
                <w:rFonts w:ascii="Arial" w:hAnsi="Arial" w:cs="Arial"/>
                <w:sz w:val="16"/>
                <w:szCs w:val="16"/>
              </w:rPr>
              <w:t>Santamaria</w:t>
            </w:r>
            <w:proofErr w:type="spellEnd"/>
          </w:p>
        </w:tc>
        <w:tc>
          <w:tcPr>
            <w:tcW w:w="1446" w:type="dxa"/>
            <w:tcBorders>
              <w:top w:val="nil"/>
              <w:left w:val="nil"/>
              <w:bottom w:val="single" w:sz="4" w:space="0" w:color="auto"/>
              <w:right w:val="single" w:sz="4" w:space="0" w:color="auto"/>
            </w:tcBorders>
            <w:vAlign w:val="center"/>
            <w:hideMark/>
          </w:tcPr>
          <w:p w14:paraId="42E67B80" w14:textId="77777777" w:rsidR="001F24ED" w:rsidRDefault="001F24ED">
            <w:pPr>
              <w:jc w:val="center"/>
              <w:rPr>
                <w:rFonts w:ascii="Arial" w:hAnsi="Arial" w:cs="Arial"/>
                <w:color w:val="000000"/>
                <w:sz w:val="16"/>
                <w:szCs w:val="16"/>
              </w:rPr>
            </w:pPr>
            <w:r>
              <w:rPr>
                <w:rFonts w:ascii="Arial" w:hAnsi="Arial" w:cs="Arial"/>
                <w:sz w:val="16"/>
                <w:szCs w:val="16"/>
              </w:rPr>
              <w:t>022 de 2018</w:t>
            </w:r>
          </w:p>
        </w:tc>
        <w:tc>
          <w:tcPr>
            <w:tcW w:w="2032" w:type="dxa"/>
            <w:tcBorders>
              <w:top w:val="nil"/>
              <w:left w:val="nil"/>
              <w:bottom w:val="single" w:sz="4" w:space="0" w:color="auto"/>
              <w:right w:val="single" w:sz="4" w:space="0" w:color="auto"/>
            </w:tcBorders>
            <w:noWrap/>
            <w:vAlign w:val="center"/>
            <w:hideMark/>
          </w:tcPr>
          <w:p w14:paraId="1F1CB492" w14:textId="77777777" w:rsidR="001F24ED" w:rsidRDefault="001F24ED">
            <w:pPr>
              <w:jc w:val="right"/>
              <w:rPr>
                <w:rFonts w:ascii="Arial" w:hAnsi="Arial" w:cs="Arial"/>
                <w:color w:val="000000"/>
                <w:sz w:val="16"/>
                <w:szCs w:val="16"/>
              </w:rPr>
            </w:pPr>
            <w:r>
              <w:rPr>
                <w:rFonts w:ascii="Arial" w:hAnsi="Arial" w:cs="Arial"/>
                <w:sz w:val="16"/>
                <w:szCs w:val="16"/>
              </w:rPr>
              <w:t xml:space="preserve">$ 104 </w:t>
            </w:r>
          </w:p>
        </w:tc>
      </w:tr>
      <w:tr w:rsidR="001F24ED" w14:paraId="54CADA07"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03776D3B" w14:textId="77777777" w:rsidR="001F24ED" w:rsidRDefault="001F24ED">
            <w:pPr>
              <w:jc w:val="center"/>
              <w:rPr>
                <w:rFonts w:ascii="Arial" w:hAnsi="Arial" w:cs="Arial"/>
                <w:color w:val="000000"/>
                <w:sz w:val="16"/>
                <w:szCs w:val="16"/>
              </w:rPr>
            </w:pPr>
            <w:r>
              <w:rPr>
                <w:rFonts w:ascii="Arial" w:hAnsi="Arial" w:cs="Arial"/>
                <w:sz w:val="16"/>
                <w:szCs w:val="16"/>
              </w:rPr>
              <w:t>7</w:t>
            </w:r>
          </w:p>
        </w:tc>
        <w:tc>
          <w:tcPr>
            <w:tcW w:w="4789" w:type="dxa"/>
            <w:tcBorders>
              <w:top w:val="nil"/>
              <w:left w:val="nil"/>
              <w:bottom w:val="single" w:sz="4" w:space="0" w:color="auto"/>
              <w:right w:val="single" w:sz="4" w:space="0" w:color="auto"/>
            </w:tcBorders>
            <w:vAlign w:val="center"/>
            <w:hideMark/>
          </w:tcPr>
          <w:p w14:paraId="17A630CD" w14:textId="77777777" w:rsidR="001F24ED" w:rsidRDefault="001F24ED">
            <w:pPr>
              <w:rPr>
                <w:rFonts w:ascii="Arial" w:hAnsi="Arial" w:cs="Arial"/>
                <w:color w:val="000000"/>
                <w:sz w:val="16"/>
                <w:szCs w:val="16"/>
              </w:rPr>
            </w:pPr>
            <w:r>
              <w:rPr>
                <w:rFonts w:ascii="Arial" w:hAnsi="Arial" w:cs="Arial"/>
                <w:sz w:val="16"/>
                <w:szCs w:val="16"/>
              </w:rPr>
              <w:t xml:space="preserve">Ana Isabel Berrio Clavijo </w:t>
            </w:r>
          </w:p>
        </w:tc>
        <w:tc>
          <w:tcPr>
            <w:tcW w:w="1446" w:type="dxa"/>
            <w:tcBorders>
              <w:top w:val="nil"/>
              <w:left w:val="nil"/>
              <w:bottom w:val="single" w:sz="4" w:space="0" w:color="auto"/>
              <w:right w:val="single" w:sz="4" w:space="0" w:color="auto"/>
            </w:tcBorders>
            <w:vAlign w:val="center"/>
            <w:hideMark/>
          </w:tcPr>
          <w:p w14:paraId="5DAADD12" w14:textId="77777777" w:rsidR="001F24ED" w:rsidRDefault="001F24ED">
            <w:pPr>
              <w:jc w:val="center"/>
              <w:rPr>
                <w:rFonts w:ascii="Arial" w:hAnsi="Arial" w:cs="Arial"/>
                <w:color w:val="000000"/>
                <w:sz w:val="16"/>
                <w:szCs w:val="16"/>
              </w:rPr>
            </w:pPr>
            <w:r>
              <w:rPr>
                <w:rFonts w:ascii="Arial" w:hAnsi="Arial" w:cs="Arial"/>
                <w:sz w:val="16"/>
                <w:szCs w:val="16"/>
              </w:rPr>
              <w:t>027 de 2018</w:t>
            </w:r>
          </w:p>
        </w:tc>
        <w:tc>
          <w:tcPr>
            <w:tcW w:w="2032" w:type="dxa"/>
            <w:tcBorders>
              <w:top w:val="nil"/>
              <w:left w:val="nil"/>
              <w:bottom w:val="single" w:sz="4" w:space="0" w:color="auto"/>
              <w:right w:val="single" w:sz="4" w:space="0" w:color="auto"/>
            </w:tcBorders>
            <w:noWrap/>
            <w:vAlign w:val="center"/>
            <w:hideMark/>
          </w:tcPr>
          <w:p w14:paraId="7EEFE901" w14:textId="77777777" w:rsidR="001F24ED" w:rsidRDefault="001F24ED">
            <w:pPr>
              <w:jc w:val="right"/>
              <w:rPr>
                <w:rFonts w:ascii="Arial" w:hAnsi="Arial" w:cs="Arial"/>
                <w:color w:val="000000"/>
                <w:sz w:val="16"/>
                <w:szCs w:val="16"/>
              </w:rPr>
            </w:pPr>
            <w:r>
              <w:rPr>
                <w:rFonts w:ascii="Arial" w:hAnsi="Arial" w:cs="Arial"/>
                <w:sz w:val="16"/>
                <w:szCs w:val="16"/>
              </w:rPr>
              <w:t xml:space="preserve">$ 92 </w:t>
            </w:r>
          </w:p>
        </w:tc>
      </w:tr>
      <w:tr w:rsidR="001F24ED" w14:paraId="0D423723"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051B1264" w14:textId="77777777" w:rsidR="001F24ED" w:rsidRDefault="001F24ED">
            <w:pPr>
              <w:jc w:val="center"/>
              <w:rPr>
                <w:rFonts w:ascii="Arial" w:hAnsi="Arial" w:cs="Arial"/>
                <w:color w:val="000000"/>
                <w:sz w:val="16"/>
                <w:szCs w:val="16"/>
              </w:rPr>
            </w:pPr>
            <w:r>
              <w:rPr>
                <w:rFonts w:ascii="Arial" w:hAnsi="Arial" w:cs="Arial"/>
                <w:sz w:val="16"/>
                <w:szCs w:val="16"/>
              </w:rPr>
              <w:t>8</w:t>
            </w:r>
          </w:p>
        </w:tc>
        <w:tc>
          <w:tcPr>
            <w:tcW w:w="4789" w:type="dxa"/>
            <w:tcBorders>
              <w:top w:val="nil"/>
              <w:left w:val="nil"/>
              <w:bottom w:val="single" w:sz="4" w:space="0" w:color="auto"/>
              <w:right w:val="single" w:sz="4" w:space="0" w:color="auto"/>
            </w:tcBorders>
            <w:vAlign w:val="center"/>
            <w:hideMark/>
          </w:tcPr>
          <w:p w14:paraId="7A9D439E" w14:textId="77777777" w:rsidR="001F24ED" w:rsidRDefault="001F24ED">
            <w:pPr>
              <w:rPr>
                <w:rFonts w:ascii="Arial" w:hAnsi="Arial" w:cs="Arial"/>
                <w:color w:val="000000"/>
                <w:sz w:val="16"/>
                <w:szCs w:val="16"/>
              </w:rPr>
            </w:pPr>
            <w:proofErr w:type="spellStart"/>
            <w:r>
              <w:rPr>
                <w:rFonts w:ascii="Arial" w:hAnsi="Arial" w:cs="Arial"/>
                <w:sz w:val="16"/>
                <w:szCs w:val="16"/>
              </w:rPr>
              <w:t>Traduciedo</w:t>
            </w:r>
            <w:proofErr w:type="spellEnd"/>
            <w:r>
              <w:rPr>
                <w:rFonts w:ascii="Arial" w:hAnsi="Arial" w:cs="Arial"/>
                <w:sz w:val="16"/>
                <w:szCs w:val="16"/>
              </w:rPr>
              <w:t xml:space="preserve"> </w:t>
            </w:r>
            <w:proofErr w:type="spellStart"/>
            <w:r>
              <w:rPr>
                <w:rFonts w:ascii="Arial" w:hAnsi="Arial" w:cs="Arial"/>
                <w:sz w:val="16"/>
                <w:szCs w:val="16"/>
              </w:rPr>
              <w:t>Ltda</w:t>
            </w:r>
            <w:proofErr w:type="spellEnd"/>
          </w:p>
        </w:tc>
        <w:tc>
          <w:tcPr>
            <w:tcW w:w="1446" w:type="dxa"/>
            <w:tcBorders>
              <w:top w:val="nil"/>
              <w:left w:val="nil"/>
              <w:bottom w:val="single" w:sz="4" w:space="0" w:color="auto"/>
              <w:right w:val="single" w:sz="4" w:space="0" w:color="auto"/>
            </w:tcBorders>
            <w:vAlign w:val="center"/>
            <w:hideMark/>
          </w:tcPr>
          <w:p w14:paraId="7E37F490" w14:textId="77777777" w:rsidR="001F24ED" w:rsidRDefault="001F24ED">
            <w:pPr>
              <w:jc w:val="center"/>
              <w:rPr>
                <w:rFonts w:ascii="Arial" w:hAnsi="Arial" w:cs="Arial"/>
                <w:color w:val="000000"/>
                <w:sz w:val="16"/>
                <w:szCs w:val="16"/>
              </w:rPr>
            </w:pPr>
            <w:r>
              <w:rPr>
                <w:rFonts w:ascii="Arial" w:hAnsi="Arial" w:cs="Arial"/>
                <w:sz w:val="16"/>
                <w:szCs w:val="16"/>
              </w:rPr>
              <w:t>185 de 2018</w:t>
            </w:r>
          </w:p>
        </w:tc>
        <w:tc>
          <w:tcPr>
            <w:tcW w:w="2032" w:type="dxa"/>
            <w:tcBorders>
              <w:top w:val="nil"/>
              <w:left w:val="nil"/>
              <w:bottom w:val="single" w:sz="4" w:space="0" w:color="auto"/>
              <w:right w:val="single" w:sz="4" w:space="0" w:color="auto"/>
            </w:tcBorders>
            <w:noWrap/>
            <w:vAlign w:val="center"/>
            <w:hideMark/>
          </w:tcPr>
          <w:p w14:paraId="43AE355E" w14:textId="77777777" w:rsidR="001F24ED" w:rsidRDefault="001F24ED">
            <w:pPr>
              <w:jc w:val="right"/>
              <w:rPr>
                <w:rFonts w:ascii="Arial" w:hAnsi="Arial" w:cs="Arial"/>
                <w:color w:val="000000"/>
                <w:sz w:val="16"/>
                <w:szCs w:val="16"/>
              </w:rPr>
            </w:pPr>
            <w:r>
              <w:rPr>
                <w:rFonts w:ascii="Arial" w:hAnsi="Arial" w:cs="Arial"/>
                <w:sz w:val="16"/>
                <w:szCs w:val="16"/>
              </w:rPr>
              <w:t xml:space="preserve">$ 20 </w:t>
            </w:r>
          </w:p>
        </w:tc>
      </w:tr>
      <w:tr w:rsidR="001F24ED" w14:paraId="7954898D"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4049E0FA" w14:textId="77777777" w:rsidR="001F24ED" w:rsidRDefault="001F24ED">
            <w:pPr>
              <w:jc w:val="center"/>
              <w:rPr>
                <w:rFonts w:ascii="Arial" w:hAnsi="Arial" w:cs="Arial"/>
                <w:color w:val="000000"/>
                <w:sz w:val="16"/>
                <w:szCs w:val="16"/>
              </w:rPr>
            </w:pPr>
            <w:r>
              <w:rPr>
                <w:rFonts w:ascii="Arial" w:hAnsi="Arial" w:cs="Arial"/>
                <w:sz w:val="16"/>
                <w:szCs w:val="16"/>
              </w:rPr>
              <w:t>9</w:t>
            </w:r>
          </w:p>
        </w:tc>
        <w:tc>
          <w:tcPr>
            <w:tcW w:w="4789" w:type="dxa"/>
            <w:tcBorders>
              <w:top w:val="nil"/>
              <w:left w:val="nil"/>
              <w:bottom w:val="single" w:sz="4" w:space="0" w:color="auto"/>
              <w:right w:val="single" w:sz="4" w:space="0" w:color="auto"/>
            </w:tcBorders>
            <w:vAlign w:val="center"/>
            <w:hideMark/>
          </w:tcPr>
          <w:p w14:paraId="6D48B78D" w14:textId="77777777" w:rsidR="001F24ED" w:rsidRDefault="001F24ED">
            <w:pPr>
              <w:rPr>
                <w:rFonts w:ascii="Arial" w:hAnsi="Arial" w:cs="Arial"/>
                <w:color w:val="000000"/>
                <w:sz w:val="16"/>
                <w:szCs w:val="16"/>
              </w:rPr>
            </w:pPr>
            <w:r>
              <w:rPr>
                <w:rFonts w:ascii="Arial" w:hAnsi="Arial" w:cs="Arial"/>
                <w:sz w:val="16"/>
                <w:szCs w:val="16"/>
              </w:rPr>
              <w:t xml:space="preserve">Carolina Esther Peña </w:t>
            </w:r>
            <w:proofErr w:type="spellStart"/>
            <w:r>
              <w:rPr>
                <w:rFonts w:ascii="Arial" w:hAnsi="Arial" w:cs="Arial"/>
                <w:sz w:val="16"/>
                <w:szCs w:val="16"/>
              </w:rPr>
              <w:t>Mugno</w:t>
            </w:r>
            <w:proofErr w:type="spellEnd"/>
            <w:r>
              <w:rPr>
                <w:rFonts w:ascii="Arial" w:hAnsi="Arial" w:cs="Arial"/>
                <w:sz w:val="16"/>
                <w:szCs w:val="16"/>
              </w:rPr>
              <w:t xml:space="preserve"> </w:t>
            </w:r>
          </w:p>
        </w:tc>
        <w:tc>
          <w:tcPr>
            <w:tcW w:w="1446" w:type="dxa"/>
            <w:tcBorders>
              <w:top w:val="nil"/>
              <w:left w:val="nil"/>
              <w:bottom w:val="single" w:sz="4" w:space="0" w:color="auto"/>
              <w:right w:val="single" w:sz="4" w:space="0" w:color="auto"/>
            </w:tcBorders>
            <w:vAlign w:val="center"/>
            <w:hideMark/>
          </w:tcPr>
          <w:p w14:paraId="19B6892C" w14:textId="77777777" w:rsidR="001F24ED" w:rsidRDefault="001F24ED">
            <w:pPr>
              <w:jc w:val="center"/>
              <w:rPr>
                <w:rFonts w:ascii="Arial" w:hAnsi="Arial" w:cs="Arial"/>
                <w:color w:val="000000"/>
                <w:sz w:val="16"/>
                <w:szCs w:val="16"/>
              </w:rPr>
            </w:pPr>
            <w:r>
              <w:rPr>
                <w:rFonts w:ascii="Arial" w:hAnsi="Arial" w:cs="Arial"/>
                <w:sz w:val="16"/>
                <w:szCs w:val="16"/>
              </w:rPr>
              <w:t>308 de 2018</w:t>
            </w:r>
          </w:p>
        </w:tc>
        <w:tc>
          <w:tcPr>
            <w:tcW w:w="2032" w:type="dxa"/>
            <w:tcBorders>
              <w:top w:val="nil"/>
              <w:left w:val="nil"/>
              <w:bottom w:val="single" w:sz="4" w:space="0" w:color="auto"/>
              <w:right w:val="single" w:sz="4" w:space="0" w:color="auto"/>
            </w:tcBorders>
            <w:noWrap/>
            <w:vAlign w:val="center"/>
            <w:hideMark/>
          </w:tcPr>
          <w:p w14:paraId="0AB91483" w14:textId="77777777" w:rsidR="001F24ED" w:rsidRDefault="001F24ED">
            <w:pPr>
              <w:jc w:val="right"/>
              <w:rPr>
                <w:rFonts w:ascii="Arial" w:hAnsi="Arial" w:cs="Arial"/>
                <w:color w:val="000000"/>
                <w:sz w:val="16"/>
                <w:szCs w:val="16"/>
              </w:rPr>
            </w:pPr>
            <w:r>
              <w:rPr>
                <w:rFonts w:ascii="Arial" w:hAnsi="Arial" w:cs="Arial"/>
                <w:sz w:val="16"/>
                <w:szCs w:val="16"/>
              </w:rPr>
              <w:t xml:space="preserve">$ 115 </w:t>
            </w:r>
          </w:p>
        </w:tc>
      </w:tr>
      <w:tr w:rsidR="001F24ED" w14:paraId="24405C51" w14:textId="77777777" w:rsidTr="008B5E15">
        <w:trPr>
          <w:trHeight w:val="466"/>
        </w:trPr>
        <w:tc>
          <w:tcPr>
            <w:tcW w:w="508" w:type="dxa"/>
            <w:tcBorders>
              <w:top w:val="nil"/>
              <w:left w:val="single" w:sz="4" w:space="0" w:color="auto"/>
              <w:bottom w:val="single" w:sz="4" w:space="0" w:color="auto"/>
              <w:right w:val="single" w:sz="4" w:space="0" w:color="auto"/>
            </w:tcBorders>
            <w:vAlign w:val="center"/>
            <w:hideMark/>
          </w:tcPr>
          <w:p w14:paraId="3B2DED9E" w14:textId="77777777" w:rsidR="001F24ED" w:rsidRDefault="001F24ED">
            <w:pPr>
              <w:jc w:val="center"/>
              <w:rPr>
                <w:rFonts w:ascii="Arial" w:hAnsi="Arial" w:cs="Arial"/>
                <w:color w:val="000000"/>
                <w:sz w:val="16"/>
                <w:szCs w:val="16"/>
              </w:rPr>
            </w:pPr>
            <w:r>
              <w:rPr>
                <w:rFonts w:ascii="Arial" w:hAnsi="Arial" w:cs="Arial"/>
                <w:sz w:val="16"/>
                <w:szCs w:val="16"/>
              </w:rPr>
              <w:t>10</w:t>
            </w:r>
          </w:p>
        </w:tc>
        <w:tc>
          <w:tcPr>
            <w:tcW w:w="4789" w:type="dxa"/>
            <w:tcBorders>
              <w:top w:val="nil"/>
              <w:left w:val="nil"/>
              <w:bottom w:val="single" w:sz="4" w:space="0" w:color="auto"/>
              <w:right w:val="single" w:sz="4" w:space="0" w:color="auto"/>
            </w:tcBorders>
            <w:vAlign w:val="center"/>
            <w:hideMark/>
          </w:tcPr>
          <w:p w14:paraId="6C01A8ED" w14:textId="77777777" w:rsidR="001F24ED" w:rsidRDefault="001F24ED">
            <w:pPr>
              <w:rPr>
                <w:rFonts w:ascii="Arial" w:hAnsi="Arial" w:cs="Arial"/>
                <w:color w:val="000000"/>
                <w:sz w:val="16"/>
                <w:szCs w:val="16"/>
              </w:rPr>
            </w:pPr>
            <w:proofErr w:type="spellStart"/>
            <w:r>
              <w:rPr>
                <w:rFonts w:ascii="Arial" w:hAnsi="Arial" w:cs="Arial"/>
                <w:sz w:val="16"/>
                <w:szCs w:val="16"/>
              </w:rPr>
              <w:t>Naturgas</w:t>
            </w:r>
            <w:proofErr w:type="spellEnd"/>
            <w:r>
              <w:rPr>
                <w:rFonts w:ascii="Arial" w:hAnsi="Arial" w:cs="Arial"/>
                <w:sz w:val="16"/>
                <w:szCs w:val="16"/>
              </w:rPr>
              <w:t xml:space="preserve"> - Participación estratégica en el XXI evento Congreso de </w:t>
            </w:r>
            <w:proofErr w:type="spellStart"/>
            <w:r>
              <w:rPr>
                <w:rFonts w:ascii="Arial" w:hAnsi="Arial" w:cs="Arial"/>
                <w:sz w:val="16"/>
                <w:szCs w:val="16"/>
              </w:rPr>
              <w:t>Naturgas</w:t>
            </w:r>
            <w:proofErr w:type="spellEnd"/>
            <w:r>
              <w:rPr>
                <w:rFonts w:ascii="Arial" w:hAnsi="Arial" w:cs="Arial"/>
                <w:sz w:val="16"/>
                <w:szCs w:val="16"/>
              </w:rPr>
              <w:t xml:space="preserve"> </w:t>
            </w:r>
          </w:p>
        </w:tc>
        <w:tc>
          <w:tcPr>
            <w:tcW w:w="1446" w:type="dxa"/>
            <w:tcBorders>
              <w:top w:val="nil"/>
              <w:left w:val="nil"/>
              <w:bottom w:val="single" w:sz="4" w:space="0" w:color="auto"/>
              <w:right w:val="single" w:sz="4" w:space="0" w:color="auto"/>
            </w:tcBorders>
            <w:vAlign w:val="center"/>
            <w:hideMark/>
          </w:tcPr>
          <w:p w14:paraId="16BA86D5" w14:textId="77777777" w:rsidR="001F24ED" w:rsidRDefault="001F24ED">
            <w:pPr>
              <w:jc w:val="center"/>
              <w:rPr>
                <w:rFonts w:ascii="Arial" w:hAnsi="Arial" w:cs="Arial"/>
                <w:color w:val="000000"/>
                <w:sz w:val="16"/>
                <w:szCs w:val="16"/>
              </w:rPr>
            </w:pPr>
            <w:r>
              <w:rPr>
                <w:rFonts w:ascii="Arial" w:hAnsi="Arial" w:cs="Arial"/>
                <w:sz w:val="16"/>
                <w:szCs w:val="16"/>
              </w:rPr>
              <w:t>312 de 2018</w:t>
            </w:r>
          </w:p>
        </w:tc>
        <w:tc>
          <w:tcPr>
            <w:tcW w:w="2032" w:type="dxa"/>
            <w:tcBorders>
              <w:top w:val="nil"/>
              <w:left w:val="nil"/>
              <w:bottom w:val="single" w:sz="4" w:space="0" w:color="auto"/>
              <w:right w:val="single" w:sz="4" w:space="0" w:color="auto"/>
            </w:tcBorders>
            <w:noWrap/>
            <w:vAlign w:val="center"/>
            <w:hideMark/>
          </w:tcPr>
          <w:p w14:paraId="0CD36117" w14:textId="77777777" w:rsidR="001F24ED" w:rsidRDefault="001F24ED">
            <w:pPr>
              <w:jc w:val="right"/>
              <w:rPr>
                <w:rFonts w:ascii="Arial" w:hAnsi="Arial" w:cs="Arial"/>
                <w:color w:val="000000"/>
                <w:sz w:val="16"/>
                <w:szCs w:val="16"/>
              </w:rPr>
            </w:pPr>
            <w:r>
              <w:rPr>
                <w:rFonts w:ascii="Arial" w:hAnsi="Arial" w:cs="Arial"/>
                <w:sz w:val="16"/>
                <w:szCs w:val="16"/>
              </w:rPr>
              <w:t xml:space="preserve">$ 60 </w:t>
            </w:r>
          </w:p>
        </w:tc>
      </w:tr>
      <w:tr w:rsidR="001F24ED" w14:paraId="5C912356"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5422424D" w14:textId="77777777" w:rsidR="001F24ED" w:rsidRDefault="001F24ED">
            <w:pPr>
              <w:jc w:val="center"/>
              <w:rPr>
                <w:rFonts w:ascii="Arial" w:hAnsi="Arial" w:cs="Arial"/>
                <w:color w:val="000000"/>
                <w:sz w:val="16"/>
                <w:szCs w:val="16"/>
              </w:rPr>
            </w:pPr>
            <w:r>
              <w:rPr>
                <w:rFonts w:ascii="Arial" w:hAnsi="Arial" w:cs="Arial"/>
                <w:sz w:val="16"/>
                <w:szCs w:val="16"/>
              </w:rPr>
              <w:t>11</w:t>
            </w:r>
          </w:p>
        </w:tc>
        <w:tc>
          <w:tcPr>
            <w:tcW w:w="4789" w:type="dxa"/>
            <w:tcBorders>
              <w:top w:val="nil"/>
              <w:left w:val="nil"/>
              <w:bottom w:val="single" w:sz="4" w:space="0" w:color="auto"/>
              <w:right w:val="single" w:sz="4" w:space="0" w:color="auto"/>
            </w:tcBorders>
            <w:vAlign w:val="center"/>
            <w:hideMark/>
          </w:tcPr>
          <w:p w14:paraId="41566AA0" w14:textId="77777777" w:rsidR="001F24ED" w:rsidRDefault="001F24ED">
            <w:pPr>
              <w:rPr>
                <w:rFonts w:ascii="Arial" w:hAnsi="Arial" w:cs="Arial"/>
                <w:color w:val="000000"/>
                <w:sz w:val="16"/>
                <w:szCs w:val="16"/>
                <w:lang w:val="en-US"/>
              </w:rPr>
            </w:pPr>
            <w:r>
              <w:rPr>
                <w:rFonts w:ascii="Arial" w:hAnsi="Arial" w:cs="Arial"/>
                <w:sz w:val="16"/>
                <w:szCs w:val="16"/>
                <w:lang w:val="en-US"/>
              </w:rPr>
              <w:t>New kids on TV SAS</w:t>
            </w:r>
          </w:p>
        </w:tc>
        <w:tc>
          <w:tcPr>
            <w:tcW w:w="1446" w:type="dxa"/>
            <w:tcBorders>
              <w:top w:val="nil"/>
              <w:left w:val="nil"/>
              <w:bottom w:val="single" w:sz="4" w:space="0" w:color="auto"/>
              <w:right w:val="single" w:sz="4" w:space="0" w:color="auto"/>
            </w:tcBorders>
            <w:vAlign w:val="center"/>
            <w:hideMark/>
          </w:tcPr>
          <w:p w14:paraId="2B45501F" w14:textId="77777777" w:rsidR="001F24ED" w:rsidRDefault="001F24ED">
            <w:pPr>
              <w:jc w:val="center"/>
              <w:rPr>
                <w:rFonts w:ascii="Arial" w:hAnsi="Arial" w:cs="Arial"/>
                <w:color w:val="000000"/>
                <w:sz w:val="16"/>
                <w:szCs w:val="16"/>
              </w:rPr>
            </w:pPr>
            <w:r>
              <w:rPr>
                <w:rFonts w:ascii="Arial" w:hAnsi="Arial" w:cs="Arial"/>
                <w:sz w:val="16"/>
                <w:szCs w:val="16"/>
              </w:rPr>
              <w:t>387 de 2018</w:t>
            </w:r>
          </w:p>
        </w:tc>
        <w:tc>
          <w:tcPr>
            <w:tcW w:w="2032" w:type="dxa"/>
            <w:tcBorders>
              <w:top w:val="nil"/>
              <w:left w:val="nil"/>
              <w:bottom w:val="single" w:sz="4" w:space="0" w:color="auto"/>
              <w:right w:val="single" w:sz="4" w:space="0" w:color="auto"/>
            </w:tcBorders>
            <w:noWrap/>
            <w:vAlign w:val="center"/>
            <w:hideMark/>
          </w:tcPr>
          <w:p w14:paraId="1D1F807E" w14:textId="77777777" w:rsidR="001F24ED" w:rsidRDefault="001F24ED">
            <w:pPr>
              <w:jc w:val="right"/>
              <w:rPr>
                <w:rFonts w:ascii="Arial" w:hAnsi="Arial" w:cs="Arial"/>
                <w:color w:val="000000"/>
                <w:sz w:val="16"/>
                <w:szCs w:val="16"/>
              </w:rPr>
            </w:pPr>
            <w:r>
              <w:rPr>
                <w:rFonts w:ascii="Arial" w:hAnsi="Arial" w:cs="Arial"/>
                <w:sz w:val="16"/>
                <w:szCs w:val="16"/>
              </w:rPr>
              <w:t xml:space="preserve">$ 240 </w:t>
            </w:r>
          </w:p>
        </w:tc>
      </w:tr>
      <w:tr w:rsidR="001F24ED" w14:paraId="77E0C3BD"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4705719C" w14:textId="77777777" w:rsidR="001F24ED" w:rsidRDefault="001F24ED">
            <w:pPr>
              <w:jc w:val="center"/>
              <w:rPr>
                <w:rFonts w:ascii="Arial" w:hAnsi="Arial" w:cs="Arial"/>
                <w:color w:val="000000"/>
                <w:sz w:val="16"/>
                <w:szCs w:val="16"/>
              </w:rPr>
            </w:pPr>
            <w:r>
              <w:rPr>
                <w:rFonts w:ascii="Arial" w:hAnsi="Arial" w:cs="Arial"/>
                <w:sz w:val="16"/>
                <w:szCs w:val="16"/>
              </w:rPr>
              <w:t>12</w:t>
            </w:r>
          </w:p>
        </w:tc>
        <w:tc>
          <w:tcPr>
            <w:tcW w:w="4789" w:type="dxa"/>
            <w:tcBorders>
              <w:top w:val="nil"/>
              <w:left w:val="nil"/>
              <w:bottom w:val="single" w:sz="4" w:space="0" w:color="auto"/>
              <w:right w:val="single" w:sz="4" w:space="0" w:color="auto"/>
            </w:tcBorders>
            <w:vAlign w:val="center"/>
            <w:hideMark/>
          </w:tcPr>
          <w:p w14:paraId="36E43F92" w14:textId="77777777" w:rsidR="001F24ED" w:rsidRDefault="001F24ED">
            <w:pPr>
              <w:rPr>
                <w:rFonts w:ascii="Arial" w:hAnsi="Arial" w:cs="Arial"/>
                <w:color w:val="000000"/>
                <w:sz w:val="16"/>
                <w:szCs w:val="16"/>
              </w:rPr>
            </w:pPr>
            <w:r>
              <w:rPr>
                <w:rFonts w:ascii="Arial" w:hAnsi="Arial" w:cs="Arial"/>
                <w:sz w:val="16"/>
                <w:szCs w:val="16"/>
              </w:rPr>
              <w:t xml:space="preserve">Álvaro Galindo </w:t>
            </w:r>
            <w:proofErr w:type="spellStart"/>
            <w:r>
              <w:rPr>
                <w:rFonts w:ascii="Arial" w:hAnsi="Arial" w:cs="Arial"/>
                <w:sz w:val="16"/>
                <w:szCs w:val="16"/>
              </w:rPr>
              <w:t>Vacha</w:t>
            </w:r>
            <w:proofErr w:type="spellEnd"/>
            <w:r>
              <w:rPr>
                <w:rFonts w:ascii="Arial" w:hAnsi="Arial" w:cs="Arial"/>
                <w:sz w:val="16"/>
                <w:szCs w:val="16"/>
              </w:rPr>
              <w:t xml:space="preserve">  EU</w:t>
            </w:r>
          </w:p>
        </w:tc>
        <w:tc>
          <w:tcPr>
            <w:tcW w:w="1446" w:type="dxa"/>
            <w:tcBorders>
              <w:top w:val="nil"/>
              <w:left w:val="nil"/>
              <w:bottom w:val="single" w:sz="4" w:space="0" w:color="auto"/>
              <w:right w:val="single" w:sz="4" w:space="0" w:color="auto"/>
            </w:tcBorders>
            <w:vAlign w:val="center"/>
            <w:hideMark/>
          </w:tcPr>
          <w:p w14:paraId="6D678BF8" w14:textId="77777777" w:rsidR="001F24ED" w:rsidRDefault="001F24ED">
            <w:pPr>
              <w:jc w:val="center"/>
              <w:rPr>
                <w:rFonts w:ascii="Arial" w:hAnsi="Arial" w:cs="Arial"/>
                <w:color w:val="000000"/>
                <w:sz w:val="16"/>
                <w:szCs w:val="16"/>
              </w:rPr>
            </w:pPr>
            <w:r>
              <w:rPr>
                <w:rFonts w:ascii="Arial" w:hAnsi="Arial" w:cs="Arial"/>
                <w:sz w:val="16"/>
                <w:szCs w:val="16"/>
              </w:rPr>
              <w:t>398 de 2018</w:t>
            </w:r>
          </w:p>
        </w:tc>
        <w:tc>
          <w:tcPr>
            <w:tcW w:w="2032" w:type="dxa"/>
            <w:tcBorders>
              <w:top w:val="nil"/>
              <w:left w:val="nil"/>
              <w:bottom w:val="single" w:sz="4" w:space="0" w:color="auto"/>
              <w:right w:val="single" w:sz="4" w:space="0" w:color="auto"/>
            </w:tcBorders>
            <w:noWrap/>
            <w:vAlign w:val="center"/>
            <w:hideMark/>
          </w:tcPr>
          <w:p w14:paraId="38719152" w14:textId="77777777" w:rsidR="001F24ED" w:rsidRDefault="001F24ED">
            <w:pPr>
              <w:jc w:val="right"/>
              <w:rPr>
                <w:rFonts w:ascii="Arial" w:hAnsi="Arial" w:cs="Arial"/>
                <w:color w:val="000000"/>
                <w:sz w:val="16"/>
                <w:szCs w:val="16"/>
              </w:rPr>
            </w:pPr>
            <w:r>
              <w:rPr>
                <w:rFonts w:ascii="Arial" w:hAnsi="Arial" w:cs="Arial"/>
                <w:sz w:val="16"/>
                <w:szCs w:val="16"/>
              </w:rPr>
              <w:t xml:space="preserve">$ 119 </w:t>
            </w:r>
          </w:p>
        </w:tc>
      </w:tr>
      <w:tr w:rsidR="001F24ED" w14:paraId="7B6C6225"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04C21868" w14:textId="77777777" w:rsidR="001F24ED" w:rsidRDefault="001F24ED">
            <w:pPr>
              <w:jc w:val="center"/>
              <w:rPr>
                <w:rFonts w:ascii="Arial" w:hAnsi="Arial" w:cs="Arial"/>
                <w:color w:val="000000"/>
                <w:sz w:val="16"/>
                <w:szCs w:val="16"/>
              </w:rPr>
            </w:pPr>
            <w:r>
              <w:rPr>
                <w:rFonts w:ascii="Arial" w:hAnsi="Arial" w:cs="Arial"/>
                <w:sz w:val="16"/>
                <w:szCs w:val="16"/>
              </w:rPr>
              <w:t>13</w:t>
            </w:r>
          </w:p>
        </w:tc>
        <w:tc>
          <w:tcPr>
            <w:tcW w:w="4789" w:type="dxa"/>
            <w:tcBorders>
              <w:top w:val="nil"/>
              <w:left w:val="nil"/>
              <w:bottom w:val="single" w:sz="4" w:space="0" w:color="auto"/>
              <w:right w:val="single" w:sz="4" w:space="0" w:color="auto"/>
            </w:tcBorders>
            <w:vAlign w:val="center"/>
            <w:hideMark/>
          </w:tcPr>
          <w:p w14:paraId="252F1318" w14:textId="77777777" w:rsidR="001F24ED" w:rsidRDefault="001F24ED">
            <w:pPr>
              <w:rPr>
                <w:rFonts w:ascii="Arial" w:hAnsi="Arial" w:cs="Arial"/>
                <w:color w:val="000000"/>
                <w:sz w:val="16"/>
                <w:szCs w:val="16"/>
              </w:rPr>
            </w:pPr>
            <w:r>
              <w:rPr>
                <w:rFonts w:ascii="Arial" w:hAnsi="Arial" w:cs="Arial"/>
                <w:sz w:val="16"/>
                <w:szCs w:val="16"/>
              </w:rPr>
              <w:t>Traduciendo Ltda.</w:t>
            </w:r>
          </w:p>
        </w:tc>
        <w:tc>
          <w:tcPr>
            <w:tcW w:w="1446" w:type="dxa"/>
            <w:tcBorders>
              <w:top w:val="nil"/>
              <w:left w:val="nil"/>
              <w:bottom w:val="single" w:sz="4" w:space="0" w:color="auto"/>
              <w:right w:val="single" w:sz="4" w:space="0" w:color="auto"/>
            </w:tcBorders>
            <w:vAlign w:val="center"/>
            <w:hideMark/>
          </w:tcPr>
          <w:p w14:paraId="19FC33DF" w14:textId="77777777" w:rsidR="001F24ED" w:rsidRDefault="001F24ED">
            <w:pPr>
              <w:jc w:val="center"/>
              <w:rPr>
                <w:rFonts w:ascii="Arial" w:hAnsi="Arial" w:cs="Arial"/>
                <w:color w:val="000000"/>
                <w:sz w:val="16"/>
                <w:szCs w:val="16"/>
              </w:rPr>
            </w:pPr>
            <w:r>
              <w:rPr>
                <w:rFonts w:ascii="Arial" w:hAnsi="Arial" w:cs="Arial"/>
                <w:sz w:val="16"/>
                <w:szCs w:val="16"/>
              </w:rPr>
              <w:t>399 de 2018</w:t>
            </w:r>
          </w:p>
        </w:tc>
        <w:tc>
          <w:tcPr>
            <w:tcW w:w="2032" w:type="dxa"/>
            <w:tcBorders>
              <w:top w:val="nil"/>
              <w:left w:val="nil"/>
              <w:bottom w:val="single" w:sz="4" w:space="0" w:color="auto"/>
              <w:right w:val="single" w:sz="4" w:space="0" w:color="auto"/>
            </w:tcBorders>
            <w:noWrap/>
            <w:vAlign w:val="center"/>
            <w:hideMark/>
          </w:tcPr>
          <w:p w14:paraId="7B5EB5AB" w14:textId="77777777" w:rsidR="001F24ED" w:rsidRDefault="001F24ED">
            <w:pPr>
              <w:jc w:val="right"/>
              <w:rPr>
                <w:rFonts w:ascii="Arial" w:hAnsi="Arial" w:cs="Arial"/>
                <w:color w:val="000000"/>
                <w:sz w:val="16"/>
                <w:szCs w:val="16"/>
              </w:rPr>
            </w:pPr>
            <w:r>
              <w:rPr>
                <w:rFonts w:ascii="Arial" w:hAnsi="Arial" w:cs="Arial"/>
                <w:sz w:val="16"/>
                <w:szCs w:val="16"/>
              </w:rPr>
              <w:t xml:space="preserve">$ 100 </w:t>
            </w:r>
          </w:p>
        </w:tc>
      </w:tr>
      <w:tr w:rsidR="001F24ED" w14:paraId="11463305"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07FE1D68" w14:textId="77777777" w:rsidR="001F24ED" w:rsidRDefault="001F24ED">
            <w:pPr>
              <w:jc w:val="center"/>
              <w:rPr>
                <w:rFonts w:ascii="Arial" w:hAnsi="Arial" w:cs="Arial"/>
                <w:color w:val="000000"/>
                <w:sz w:val="16"/>
                <w:szCs w:val="16"/>
              </w:rPr>
            </w:pPr>
            <w:r>
              <w:rPr>
                <w:rFonts w:ascii="Arial" w:hAnsi="Arial" w:cs="Arial"/>
                <w:sz w:val="16"/>
                <w:szCs w:val="16"/>
              </w:rPr>
              <w:t>14</w:t>
            </w:r>
          </w:p>
        </w:tc>
        <w:tc>
          <w:tcPr>
            <w:tcW w:w="4789" w:type="dxa"/>
            <w:tcBorders>
              <w:top w:val="nil"/>
              <w:left w:val="nil"/>
              <w:bottom w:val="single" w:sz="4" w:space="0" w:color="auto"/>
              <w:right w:val="single" w:sz="4" w:space="0" w:color="auto"/>
            </w:tcBorders>
            <w:vAlign w:val="center"/>
            <w:hideMark/>
          </w:tcPr>
          <w:p w14:paraId="3ABACAEA" w14:textId="77777777" w:rsidR="001F24ED" w:rsidRDefault="001F24ED">
            <w:pPr>
              <w:rPr>
                <w:rFonts w:ascii="Arial" w:hAnsi="Arial" w:cs="Arial"/>
                <w:color w:val="000000"/>
                <w:sz w:val="16"/>
                <w:szCs w:val="16"/>
              </w:rPr>
            </w:pPr>
            <w:r>
              <w:rPr>
                <w:rFonts w:ascii="Arial" w:hAnsi="Arial" w:cs="Arial"/>
                <w:sz w:val="16"/>
                <w:szCs w:val="16"/>
              </w:rPr>
              <w:t>Comunican S.A.</w:t>
            </w:r>
          </w:p>
        </w:tc>
        <w:tc>
          <w:tcPr>
            <w:tcW w:w="1446" w:type="dxa"/>
            <w:tcBorders>
              <w:top w:val="nil"/>
              <w:left w:val="nil"/>
              <w:bottom w:val="single" w:sz="4" w:space="0" w:color="auto"/>
              <w:right w:val="single" w:sz="4" w:space="0" w:color="auto"/>
            </w:tcBorders>
            <w:vAlign w:val="center"/>
            <w:hideMark/>
          </w:tcPr>
          <w:p w14:paraId="2B074C53" w14:textId="77777777" w:rsidR="001F24ED" w:rsidRDefault="001F24ED">
            <w:pPr>
              <w:jc w:val="center"/>
              <w:rPr>
                <w:rFonts w:ascii="Arial" w:hAnsi="Arial" w:cs="Arial"/>
                <w:color w:val="000000"/>
                <w:sz w:val="16"/>
                <w:szCs w:val="16"/>
              </w:rPr>
            </w:pPr>
            <w:r>
              <w:rPr>
                <w:rFonts w:ascii="Arial" w:hAnsi="Arial" w:cs="Arial"/>
                <w:sz w:val="16"/>
                <w:szCs w:val="16"/>
              </w:rPr>
              <w:t>400 de 2018</w:t>
            </w:r>
          </w:p>
        </w:tc>
        <w:tc>
          <w:tcPr>
            <w:tcW w:w="2032" w:type="dxa"/>
            <w:tcBorders>
              <w:top w:val="nil"/>
              <w:left w:val="nil"/>
              <w:bottom w:val="single" w:sz="4" w:space="0" w:color="auto"/>
              <w:right w:val="single" w:sz="4" w:space="0" w:color="auto"/>
            </w:tcBorders>
            <w:noWrap/>
            <w:vAlign w:val="center"/>
            <w:hideMark/>
          </w:tcPr>
          <w:p w14:paraId="5207D369" w14:textId="77777777" w:rsidR="001F24ED" w:rsidRDefault="001F24ED">
            <w:pPr>
              <w:jc w:val="right"/>
              <w:rPr>
                <w:rFonts w:ascii="Arial" w:hAnsi="Arial" w:cs="Arial"/>
                <w:color w:val="000000"/>
                <w:sz w:val="16"/>
                <w:szCs w:val="16"/>
              </w:rPr>
            </w:pPr>
            <w:r>
              <w:rPr>
                <w:rFonts w:ascii="Arial" w:hAnsi="Arial" w:cs="Arial"/>
                <w:sz w:val="16"/>
                <w:szCs w:val="16"/>
              </w:rPr>
              <w:t xml:space="preserve">$ 170 </w:t>
            </w:r>
          </w:p>
        </w:tc>
      </w:tr>
      <w:tr w:rsidR="001F24ED" w14:paraId="4252B7BF"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4D20126B" w14:textId="77777777" w:rsidR="001F24ED" w:rsidRDefault="001F24ED">
            <w:pPr>
              <w:jc w:val="center"/>
              <w:rPr>
                <w:rFonts w:ascii="Arial" w:hAnsi="Arial" w:cs="Arial"/>
                <w:color w:val="000000"/>
                <w:sz w:val="16"/>
                <w:szCs w:val="16"/>
              </w:rPr>
            </w:pPr>
            <w:r>
              <w:rPr>
                <w:rFonts w:ascii="Arial" w:hAnsi="Arial" w:cs="Arial"/>
                <w:sz w:val="16"/>
                <w:szCs w:val="16"/>
              </w:rPr>
              <w:t>15</w:t>
            </w:r>
          </w:p>
        </w:tc>
        <w:tc>
          <w:tcPr>
            <w:tcW w:w="4789" w:type="dxa"/>
            <w:tcBorders>
              <w:top w:val="nil"/>
              <w:left w:val="nil"/>
              <w:bottom w:val="single" w:sz="4" w:space="0" w:color="auto"/>
              <w:right w:val="single" w:sz="4" w:space="0" w:color="auto"/>
            </w:tcBorders>
            <w:vAlign w:val="center"/>
            <w:hideMark/>
          </w:tcPr>
          <w:p w14:paraId="626F7746" w14:textId="77777777" w:rsidR="001F24ED" w:rsidRDefault="001F24ED">
            <w:pPr>
              <w:rPr>
                <w:rFonts w:ascii="Arial" w:hAnsi="Arial" w:cs="Arial"/>
                <w:color w:val="000000"/>
                <w:sz w:val="16"/>
                <w:szCs w:val="16"/>
              </w:rPr>
            </w:pPr>
            <w:r>
              <w:rPr>
                <w:rFonts w:ascii="Arial" w:hAnsi="Arial" w:cs="Arial"/>
                <w:sz w:val="16"/>
                <w:szCs w:val="16"/>
              </w:rPr>
              <w:t>Luis Fernando García Forero</w:t>
            </w:r>
          </w:p>
        </w:tc>
        <w:tc>
          <w:tcPr>
            <w:tcW w:w="1446" w:type="dxa"/>
            <w:tcBorders>
              <w:top w:val="nil"/>
              <w:left w:val="nil"/>
              <w:bottom w:val="single" w:sz="4" w:space="0" w:color="auto"/>
              <w:right w:val="single" w:sz="4" w:space="0" w:color="auto"/>
            </w:tcBorders>
            <w:vAlign w:val="center"/>
            <w:hideMark/>
          </w:tcPr>
          <w:p w14:paraId="693FA18D" w14:textId="77777777" w:rsidR="001F24ED" w:rsidRDefault="001F24ED">
            <w:pPr>
              <w:jc w:val="center"/>
              <w:rPr>
                <w:rFonts w:ascii="Arial" w:hAnsi="Arial" w:cs="Arial"/>
                <w:color w:val="000000"/>
                <w:sz w:val="16"/>
                <w:szCs w:val="16"/>
              </w:rPr>
            </w:pPr>
            <w:r>
              <w:rPr>
                <w:rFonts w:ascii="Arial" w:hAnsi="Arial" w:cs="Arial"/>
                <w:sz w:val="16"/>
                <w:szCs w:val="16"/>
              </w:rPr>
              <w:t>401 de 2018</w:t>
            </w:r>
          </w:p>
        </w:tc>
        <w:tc>
          <w:tcPr>
            <w:tcW w:w="2032" w:type="dxa"/>
            <w:tcBorders>
              <w:top w:val="nil"/>
              <w:left w:val="nil"/>
              <w:bottom w:val="single" w:sz="4" w:space="0" w:color="auto"/>
              <w:right w:val="single" w:sz="4" w:space="0" w:color="auto"/>
            </w:tcBorders>
            <w:noWrap/>
            <w:vAlign w:val="center"/>
            <w:hideMark/>
          </w:tcPr>
          <w:p w14:paraId="4925985B" w14:textId="77777777" w:rsidR="001F24ED" w:rsidRDefault="001F24ED">
            <w:pPr>
              <w:jc w:val="right"/>
              <w:rPr>
                <w:rFonts w:ascii="Arial" w:hAnsi="Arial" w:cs="Arial"/>
                <w:color w:val="000000"/>
                <w:sz w:val="16"/>
                <w:szCs w:val="16"/>
              </w:rPr>
            </w:pPr>
            <w:r>
              <w:rPr>
                <w:rFonts w:ascii="Arial" w:hAnsi="Arial" w:cs="Arial"/>
                <w:sz w:val="16"/>
                <w:szCs w:val="16"/>
              </w:rPr>
              <w:t xml:space="preserve">$ 18 </w:t>
            </w:r>
          </w:p>
        </w:tc>
      </w:tr>
      <w:tr w:rsidR="001F24ED" w14:paraId="088EAE46"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7A5FE84F" w14:textId="77777777" w:rsidR="001F24ED" w:rsidRDefault="001F24ED">
            <w:pPr>
              <w:jc w:val="center"/>
              <w:rPr>
                <w:rFonts w:ascii="Arial" w:hAnsi="Arial" w:cs="Arial"/>
                <w:color w:val="000000"/>
                <w:sz w:val="16"/>
                <w:szCs w:val="16"/>
              </w:rPr>
            </w:pPr>
            <w:r>
              <w:rPr>
                <w:rFonts w:ascii="Arial" w:hAnsi="Arial" w:cs="Arial"/>
                <w:sz w:val="16"/>
                <w:szCs w:val="16"/>
              </w:rPr>
              <w:t>16</w:t>
            </w:r>
          </w:p>
        </w:tc>
        <w:tc>
          <w:tcPr>
            <w:tcW w:w="4789" w:type="dxa"/>
            <w:tcBorders>
              <w:top w:val="nil"/>
              <w:left w:val="nil"/>
              <w:bottom w:val="single" w:sz="4" w:space="0" w:color="auto"/>
              <w:right w:val="single" w:sz="4" w:space="0" w:color="auto"/>
            </w:tcBorders>
            <w:vAlign w:val="center"/>
            <w:hideMark/>
          </w:tcPr>
          <w:p w14:paraId="4C601B4E" w14:textId="77777777" w:rsidR="001F24ED" w:rsidRDefault="001F24ED">
            <w:pPr>
              <w:rPr>
                <w:rFonts w:ascii="Arial" w:hAnsi="Arial" w:cs="Arial"/>
                <w:color w:val="000000"/>
                <w:sz w:val="16"/>
                <w:szCs w:val="16"/>
              </w:rPr>
            </w:pPr>
            <w:r>
              <w:rPr>
                <w:rFonts w:ascii="Arial" w:hAnsi="Arial" w:cs="Arial"/>
                <w:sz w:val="16"/>
                <w:szCs w:val="16"/>
              </w:rPr>
              <w:t>Publicaciones Semana</w:t>
            </w:r>
          </w:p>
        </w:tc>
        <w:tc>
          <w:tcPr>
            <w:tcW w:w="1446" w:type="dxa"/>
            <w:tcBorders>
              <w:top w:val="nil"/>
              <w:left w:val="nil"/>
              <w:bottom w:val="single" w:sz="4" w:space="0" w:color="auto"/>
              <w:right w:val="single" w:sz="4" w:space="0" w:color="auto"/>
            </w:tcBorders>
            <w:vAlign w:val="center"/>
            <w:hideMark/>
          </w:tcPr>
          <w:p w14:paraId="1E045BE0" w14:textId="77777777" w:rsidR="001F24ED" w:rsidRDefault="001F24ED">
            <w:pPr>
              <w:jc w:val="center"/>
              <w:rPr>
                <w:rFonts w:ascii="Arial" w:hAnsi="Arial" w:cs="Arial"/>
                <w:color w:val="000000"/>
                <w:sz w:val="16"/>
                <w:szCs w:val="16"/>
              </w:rPr>
            </w:pPr>
            <w:r>
              <w:rPr>
                <w:rFonts w:ascii="Arial" w:hAnsi="Arial" w:cs="Arial"/>
                <w:sz w:val="16"/>
                <w:szCs w:val="16"/>
              </w:rPr>
              <w:t>410 de 2018</w:t>
            </w:r>
          </w:p>
        </w:tc>
        <w:tc>
          <w:tcPr>
            <w:tcW w:w="2032" w:type="dxa"/>
            <w:tcBorders>
              <w:top w:val="nil"/>
              <w:left w:val="nil"/>
              <w:bottom w:val="single" w:sz="4" w:space="0" w:color="auto"/>
              <w:right w:val="single" w:sz="4" w:space="0" w:color="auto"/>
            </w:tcBorders>
            <w:noWrap/>
            <w:vAlign w:val="center"/>
            <w:hideMark/>
          </w:tcPr>
          <w:p w14:paraId="2845605E" w14:textId="77777777" w:rsidR="001F24ED" w:rsidRDefault="001F24ED">
            <w:pPr>
              <w:jc w:val="right"/>
              <w:rPr>
                <w:rFonts w:ascii="Arial" w:hAnsi="Arial" w:cs="Arial"/>
                <w:color w:val="000000"/>
                <w:sz w:val="16"/>
                <w:szCs w:val="16"/>
              </w:rPr>
            </w:pPr>
            <w:r>
              <w:rPr>
                <w:rFonts w:ascii="Arial" w:hAnsi="Arial" w:cs="Arial"/>
                <w:sz w:val="16"/>
                <w:szCs w:val="16"/>
              </w:rPr>
              <w:t xml:space="preserve">$ 125 </w:t>
            </w:r>
          </w:p>
        </w:tc>
      </w:tr>
      <w:tr w:rsidR="001F24ED" w14:paraId="0184B255"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64C068C7" w14:textId="77777777" w:rsidR="001F24ED" w:rsidRDefault="001F24ED">
            <w:pPr>
              <w:jc w:val="center"/>
              <w:rPr>
                <w:rFonts w:ascii="Arial" w:hAnsi="Arial" w:cs="Arial"/>
                <w:color w:val="000000"/>
                <w:sz w:val="16"/>
                <w:szCs w:val="16"/>
              </w:rPr>
            </w:pPr>
            <w:r>
              <w:rPr>
                <w:rFonts w:ascii="Arial" w:hAnsi="Arial" w:cs="Arial"/>
                <w:sz w:val="16"/>
                <w:szCs w:val="16"/>
              </w:rPr>
              <w:t>17</w:t>
            </w:r>
          </w:p>
        </w:tc>
        <w:tc>
          <w:tcPr>
            <w:tcW w:w="4789" w:type="dxa"/>
            <w:tcBorders>
              <w:top w:val="nil"/>
              <w:left w:val="nil"/>
              <w:bottom w:val="single" w:sz="4" w:space="0" w:color="auto"/>
              <w:right w:val="single" w:sz="4" w:space="0" w:color="auto"/>
            </w:tcBorders>
            <w:vAlign w:val="center"/>
            <w:hideMark/>
          </w:tcPr>
          <w:p w14:paraId="448080B8" w14:textId="77777777" w:rsidR="001F24ED" w:rsidRDefault="001F24ED">
            <w:pPr>
              <w:rPr>
                <w:rFonts w:ascii="Arial" w:hAnsi="Arial" w:cs="Arial"/>
                <w:color w:val="000000"/>
                <w:sz w:val="16"/>
                <w:szCs w:val="16"/>
              </w:rPr>
            </w:pPr>
            <w:r>
              <w:rPr>
                <w:rFonts w:ascii="Arial" w:hAnsi="Arial" w:cs="Arial"/>
                <w:sz w:val="16"/>
                <w:szCs w:val="16"/>
              </w:rPr>
              <w:t>Casa Editorial El Tiempo SA</w:t>
            </w:r>
          </w:p>
        </w:tc>
        <w:tc>
          <w:tcPr>
            <w:tcW w:w="1446" w:type="dxa"/>
            <w:tcBorders>
              <w:top w:val="nil"/>
              <w:left w:val="nil"/>
              <w:bottom w:val="single" w:sz="4" w:space="0" w:color="auto"/>
              <w:right w:val="single" w:sz="4" w:space="0" w:color="auto"/>
            </w:tcBorders>
            <w:vAlign w:val="center"/>
            <w:hideMark/>
          </w:tcPr>
          <w:p w14:paraId="10D6F84D" w14:textId="77777777" w:rsidR="001F24ED" w:rsidRDefault="001F24ED">
            <w:pPr>
              <w:jc w:val="center"/>
              <w:rPr>
                <w:rFonts w:ascii="Arial" w:hAnsi="Arial" w:cs="Arial"/>
                <w:color w:val="000000"/>
                <w:sz w:val="16"/>
                <w:szCs w:val="16"/>
              </w:rPr>
            </w:pPr>
            <w:r>
              <w:rPr>
                <w:rFonts w:ascii="Arial" w:hAnsi="Arial" w:cs="Arial"/>
                <w:sz w:val="16"/>
                <w:szCs w:val="16"/>
              </w:rPr>
              <w:t>411 de 2018</w:t>
            </w:r>
          </w:p>
        </w:tc>
        <w:tc>
          <w:tcPr>
            <w:tcW w:w="2032" w:type="dxa"/>
            <w:tcBorders>
              <w:top w:val="nil"/>
              <w:left w:val="nil"/>
              <w:bottom w:val="single" w:sz="4" w:space="0" w:color="auto"/>
              <w:right w:val="single" w:sz="4" w:space="0" w:color="auto"/>
            </w:tcBorders>
            <w:noWrap/>
            <w:vAlign w:val="center"/>
            <w:hideMark/>
          </w:tcPr>
          <w:p w14:paraId="22005334" w14:textId="77777777" w:rsidR="001F24ED" w:rsidRDefault="001F24ED">
            <w:pPr>
              <w:jc w:val="right"/>
              <w:rPr>
                <w:rFonts w:ascii="Arial" w:hAnsi="Arial" w:cs="Arial"/>
                <w:color w:val="000000"/>
                <w:sz w:val="16"/>
                <w:szCs w:val="16"/>
              </w:rPr>
            </w:pPr>
            <w:r>
              <w:rPr>
                <w:rFonts w:ascii="Arial" w:hAnsi="Arial" w:cs="Arial"/>
                <w:sz w:val="16"/>
                <w:szCs w:val="16"/>
              </w:rPr>
              <w:t xml:space="preserve">$ 100 </w:t>
            </w:r>
          </w:p>
        </w:tc>
      </w:tr>
      <w:tr w:rsidR="001F24ED" w14:paraId="47AE9530"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5ABA2272" w14:textId="77777777" w:rsidR="001F24ED" w:rsidRDefault="001F24ED">
            <w:pPr>
              <w:jc w:val="center"/>
              <w:rPr>
                <w:rFonts w:ascii="Arial" w:hAnsi="Arial" w:cs="Arial"/>
                <w:color w:val="000000"/>
                <w:sz w:val="16"/>
                <w:szCs w:val="16"/>
              </w:rPr>
            </w:pPr>
            <w:r>
              <w:rPr>
                <w:rFonts w:ascii="Arial" w:hAnsi="Arial" w:cs="Arial"/>
                <w:sz w:val="16"/>
                <w:szCs w:val="16"/>
              </w:rPr>
              <w:t>18</w:t>
            </w:r>
          </w:p>
        </w:tc>
        <w:tc>
          <w:tcPr>
            <w:tcW w:w="4789" w:type="dxa"/>
            <w:tcBorders>
              <w:top w:val="nil"/>
              <w:left w:val="nil"/>
              <w:bottom w:val="single" w:sz="4" w:space="0" w:color="auto"/>
              <w:right w:val="single" w:sz="4" w:space="0" w:color="auto"/>
            </w:tcBorders>
            <w:vAlign w:val="center"/>
            <w:hideMark/>
          </w:tcPr>
          <w:p w14:paraId="31C858C4" w14:textId="77777777" w:rsidR="001F24ED" w:rsidRDefault="001F24ED">
            <w:pPr>
              <w:rPr>
                <w:rFonts w:ascii="Arial" w:hAnsi="Arial" w:cs="Arial"/>
                <w:color w:val="000000"/>
                <w:sz w:val="16"/>
                <w:szCs w:val="16"/>
              </w:rPr>
            </w:pPr>
            <w:r>
              <w:rPr>
                <w:rFonts w:ascii="Arial" w:hAnsi="Arial" w:cs="Arial"/>
                <w:sz w:val="16"/>
                <w:szCs w:val="16"/>
              </w:rPr>
              <w:t xml:space="preserve">IHS Global </w:t>
            </w:r>
            <w:proofErr w:type="spellStart"/>
            <w:r>
              <w:rPr>
                <w:rFonts w:ascii="Arial" w:hAnsi="Arial" w:cs="Arial"/>
                <w:sz w:val="16"/>
                <w:szCs w:val="16"/>
              </w:rPr>
              <w:t>Inc</w:t>
            </w:r>
            <w:proofErr w:type="spellEnd"/>
          </w:p>
        </w:tc>
        <w:tc>
          <w:tcPr>
            <w:tcW w:w="1446" w:type="dxa"/>
            <w:tcBorders>
              <w:top w:val="nil"/>
              <w:left w:val="nil"/>
              <w:bottom w:val="single" w:sz="4" w:space="0" w:color="auto"/>
              <w:right w:val="single" w:sz="4" w:space="0" w:color="auto"/>
            </w:tcBorders>
            <w:vAlign w:val="center"/>
            <w:hideMark/>
          </w:tcPr>
          <w:p w14:paraId="6E0224FA" w14:textId="77777777" w:rsidR="001F24ED" w:rsidRDefault="001F24ED">
            <w:pPr>
              <w:jc w:val="center"/>
              <w:rPr>
                <w:rFonts w:ascii="Arial" w:hAnsi="Arial" w:cs="Arial"/>
                <w:color w:val="000000"/>
                <w:sz w:val="16"/>
                <w:szCs w:val="16"/>
              </w:rPr>
            </w:pPr>
            <w:r>
              <w:rPr>
                <w:rFonts w:ascii="Arial" w:hAnsi="Arial" w:cs="Arial"/>
                <w:sz w:val="16"/>
                <w:szCs w:val="16"/>
              </w:rPr>
              <w:t>413 de 2018</w:t>
            </w:r>
          </w:p>
        </w:tc>
        <w:tc>
          <w:tcPr>
            <w:tcW w:w="2032" w:type="dxa"/>
            <w:tcBorders>
              <w:top w:val="nil"/>
              <w:left w:val="nil"/>
              <w:bottom w:val="single" w:sz="4" w:space="0" w:color="auto"/>
              <w:right w:val="single" w:sz="4" w:space="0" w:color="auto"/>
            </w:tcBorders>
            <w:noWrap/>
            <w:vAlign w:val="center"/>
            <w:hideMark/>
          </w:tcPr>
          <w:p w14:paraId="6351797D" w14:textId="77777777" w:rsidR="001F24ED" w:rsidRDefault="001F24ED">
            <w:pPr>
              <w:jc w:val="right"/>
              <w:rPr>
                <w:rFonts w:ascii="Arial" w:hAnsi="Arial" w:cs="Arial"/>
                <w:color w:val="000000"/>
                <w:sz w:val="16"/>
                <w:szCs w:val="16"/>
              </w:rPr>
            </w:pPr>
            <w:r>
              <w:rPr>
                <w:rFonts w:ascii="Arial" w:hAnsi="Arial" w:cs="Arial"/>
                <w:sz w:val="16"/>
                <w:szCs w:val="16"/>
              </w:rPr>
              <w:t xml:space="preserve">$ 810 </w:t>
            </w:r>
          </w:p>
        </w:tc>
      </w:tr>
      <w:tr w:rsidR="001F24ED" w14:paraId="694B1AAB"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0F9E380B" w14:textId="77777777" w:rsidR="001F24ED" w:rsidRDefault="001F24ED">
            <w:pPr>
              <w:jc w:val="center"/>
              <w:rPr>
                <w:rFonts w:ascii="Arial" w:hAnsi="Arial" w:cs="Arial"/>
                <w:color w:val="000000"/>
                <w:sz w:val="16"/>
                <w:szCs w:val="16"/>
              </w:rPr>
            </w:pPr>
            <w:r>
              <w:rPr>
                <w:rFonts w:ascii="Arial" w:hAnsi="Arial" w:cs="Arial"/>
                <w:sz w:val="16"/>
                <w:szCs w:val="16"/>
              </w:rPr>
              <w:t>19</w:t>
            </w:r>
          </w:p>
        </w:tc>
        <w:tc>
          <w:tcPr>
            <w:tcW w:w="4789" w:type="dxa"/>
            <w:tcBorders>
              <w:top w:val="nil"/>
              <w:left w:val="nil"/>
              <w:bottom w:val="single" w:sz="4" w:space="0" w:color="auto"/>
              <w:right w:val="single" w:sz="4" w:space="0" w:color="auto"/>
            </w:tcBorders>
            <w:vAlign w:val="center"/>
            <w:hideMark/>
          </w:tcPr>
          <w:p w14:paraId="43D8BD29" w14:textId="77777777" w:rsidR="001F24ED" w:rsidRDefault="001F24ED">
            <w:pPr>
              <w:rPr>
                <w:rFonts w:ascii="Arial" w:hAnsi="Arial" w:cs="Arial"/>
                <w:color w:val="000000"/>
                <w:sz w:val="16"/>
                <w:szCs w:val="16"/>
              </w:rPr>
            </w:pPr>
            <w:r>
              <w:rPr>
                <w:rFonts w:ascii="Arial" w:hAnsi="Arial" w:cs="Arial"/>
                <w:sz w:val="16"/>
                <w:szCs w:val="16"/>
              </w:rPr>
              <w:t xml:space="preserve">IHS Global </w:t>
            </w:r>
            <w:proofErr w:type="spellStart"/>
            <w:r>
              <w:rPr>
                <w:rFonts w:ascii="Arial" w:hAnsi="Arial" w:cs="Arial"/>
                <w:sz w:val="16"/>
                <w:szCs w:val="16"/>
              </w:rPr>
              <w:t>Inc</w:t>
            </w:r>
            <w:proofErr w:type="spellEnd"/>
          </w:p>
        </w:tc>
        <w:tc>
          <w:tcPr>
            <w:tcW w:w="1446" w:type="dxa"/>
            <w:tcBorders>
              <w:top w:val="nil"/>
              <w:left w:val="nil"/>
              <w:bottom w:val="single" w:sz="4" w:space="0" w:color="auto"/>
              <w:right w:val="single" w:sz="4" w:space="0" w:color="auto"/>
            </w:tcBorders>
            <w:vAlign w:val="center"/>
            <w:hideMark/>
          </w:tcPr>
          <w:p w14:paraId="6CDDAC74" w14:textId="77777777" w:rsidR="001F24ED" w:rsidRDefault="001F24ED">
            <w:pPr>
              <w:jc w:val="center"/>
              <w:rPr>
                <w:rFonts w:ascii="Arial" w:hAnsi="Arial" w:cs="Arial"/>
                <w:color w:val="000000"/>
                <w:sz w:val="16"/>
                <w:szCs w:val="16"/>
              </w:rPr>
            </w:pPr>
            <w:r>
              <w:rPr>
                <w:rFonts w:ascii="Arial" w:hAnsi="Arial" w:cs="Arial"/>
                <w:sz w:val="16"/>
                <w:szCs w:val="16"/>
              </w:rPr>
              <w:t>315 de 2018</w:t>
            </w:r>
          </w:p>
        </w:tc>
        <w:tc>
          <w:tcPr>
            <w:tcW w:w="2032" w:type="dxa"/>
            <w:tcBorders>
              <w:top w:val="nil"/>
              <w:left w:val="nil"/>
              <w:bottom w:val="single" w:sz="4" w:space="0" w:color="auto"/>
              <w:right w:val="single" w:sz="4" w:space="0" w:color="auto"/>
            </w:tcBorders>
            <w:noWrap/>
            <w:vAlign w:val="center"/>
            <w:hideMark/>
          </w:tcPr>
          <w:p w14:paraId="0F2DC0D3" w14:textId="77777777" w:rsidR="001F24ED" w:rsidRDefault="001F24ED">
            <w:pPr>
              <w:jc w:val="right"/>
              <w:rPr>
                <w:rFonts w:ascii="Arial" w:hAnsi="Arial" w:cs="Arial"/>
                <w:color w:val="000000"/>
                <w:sz w:val="16"/>
                <w:szCs w:val="16"/>
              </w:rPr>
            </w:pPr>
            <w:r>
              <w:rPr>
                <w:rFonts w:ascii="Arial" w:hAnsi="Arial" w:cs="Arial"/>
                <w:sz w:val="16"/>
                <w:szCs w:val="16"/>
              </w:rPr>
              <w:t xml:space="preserve">$ 1.300 </w:t>
            </w:r>
          </w:p>
        </w:tc>
      </w:tr>
      <w:tr w:rsidR="001F24ED" w14:paraId="6BDD0100" w14:textId="77777777" w:rsidTr="008B5E15">
        <w:trPr>
          <w:trHeight w:val="241"/>
        </w:trPr>
        <w:tc>
          <w:tcPr>
            <w:tcW w:w="508" w:type="dxa"/>
            <w:tcBorders>
              <w:top w:val="nil"/>
              <w:left w:val="single" w:sz="4" w:space="0" w:color="auto"/>
              <w:bottom w:val="single" w:sz="4" w:space="0" w:color="auto"/>
              <w:right w:val="single" w:sz="4" w:space="0" w:color="auto"/>
            </w:tcBorders>
            <w:vAlign w:val="center"/>
            <w:hideMark/>
          </w:tcPr>
          <w:p w14:paraId="014AFEEC" w14:textId="77777777" w:rsidR="001F24ED" w:rsidRDefault="001F24ED">
            <w:pPr>
              <w:jc w:val="center"/>
              <w:rPr>
                <w:rFonts w:ascii="Arial" w:hAnsi="Arial" w:cs="Arial"/>
                <w:color w:val="000000"/>
                <w:sz w:val="16"/>
                <w:szCs w:val="16"/>
              </w:rPr>
            </w:pPr>
            <w:r>
              <w:rPr>
                <w:rFonts w:ascii="Arial" w:hAnsi="Arial" w:cs="Arial"/>
                <w:sz w:val="16"/>
                <w:szCs w:val="16"/>
              </w:rPr>
              <w:t>20</w:t>
            </w:r>
          </w:p>
        </w:tc>
        <w:tc>
          <w:tcPr>
            <w:tcW w:w="4789" w:type="dxa"/>
            <w:tcBorders>
              <w:top w:val="nil"/>
              <w:left w:val="nil"/>
              <w:bottom w:val="single" w:sz="4" w:space="0" w:color="auto"/>
              <w:right w:val="single" w:sz="4" w:space="0" w:color="auto"/>
            </w:tcBorders>
            <w:vAlign w:val="center"/>
            <w:hideMark/>
          </w:tcPr>
          <w:p w14:paraId="35224D52" w14:textId="77777777" w:rsidR="001F24ED" w:rsidRDefault="001F24ED">
            <w:pPr>
              <w:rPr>
                <w:rFonts w:ascii="Arial" w:hAnsi="Arial" w:cs="Arial"/>
                <w:color w:val="000000"/>
                <w:sz w:val="16"/>
                <w:szCs w:val="16"/>
              </w:rPr>
            </w:pPr>
            <w:r>
              <w:rPr>
                <w:rFonts w:ascii="Arial" w:hAnsi="Arial" w:cs="Arial"/>
                <w:sz w:val="16"/>
                <w:szCs w:val="16"/>
              </w:rPr>
              <w:t xml:space="preserve">Ingrid Yaneth Mejía Chaparro -Sintonizar Medios SAS </w:t>
            </w:r>
          </w:p>
        </w:tc>
        <w:tc>
          <w:tcPr>
            <w:tcW w:w="1446" w:type="dxa"/>
            <w:tcBorders>
              <w:top w:val="nil"/>
              <w:left w:val="nil"/>
              <w:bottom w:val="single" w:sz="4" w:space="0" w:color="auto"/>
              <w:right w:val="single" w:sz="4" w:space="0" w:color="auto"/>
            </w:tcBorders>
            <w:vAlign w:val="center"/>
            <w:hideMark/>
          </w:tcPr>
          <w:p w14:paraId="7FFD155C" w14:textId="77777777" w:rsidR="001F24ED" w:rsidRDefault="001F24ED">
            <w:pPr>
              <w:jc w:val="center"/>
              <w:rPr>
                <w:rFonts w:ascii="Arial" w:hAnsi="Arial" w:cs="Arial"/>
                <w:color w:val="000000"/>
                <w:sz w:val="16"/>
                <w:szCs w:val="16"/>
              </w:rPr>
            </w:pPr>
            <w:r>
              <w:rPr>
                <w:rFonts w:ascii="Arial" w:hAnsi="Arial" w:cs="Arial"/>
                <w:sz w:val="16"/>
                <w:szCs w:val="16"/>
              </w:rPr>
              <w:t>425 de 2018</w:t>
            </w:r>
          </w:p>
        </w:tc>
        <w:tc>
          <w:tcPr>
            <w:tcW w:w="2032" w:type="dxa"/>
            <w:tcBorders>
              <w:top w:val="nil"/>
              <w:left w:val="nil"/>
              <w:bottom w:val="single" w:sz="4" w:space="0" w:color="auto"/>
              <w:right w:val="single" w:sz="4" w:space="0" w:color="auto"/>
            </w:tcBorders>
            <w:noWrap/>
            <w:vAlign w:val="center"/>
            <w:hideMark/>
          </w:tcPr>
          <w:p w14:paraId="2B295635" w14:textId="77777777" w:rsidR="001F24ED" w:rsidRDefault="001F24ED">
            <w:pPr>
              <w:jc w:val="right"/>
              <w:rPr>
                <w:rFonts w:ascii="Arial" w:hAnsi="Arial" w:cs="Arial"/>
                <w:color w:val="000000"/>
                <w:sz w:val="16"/>
                <w:szCs w:val="16"/>
              </w:rPr>
            </w:pPr>
            <w:r>
              <w:rPr>
                <w:rFonts w:ascii="Arial" w:hAnsi="Arial" w:cs="Arial"/>
                <w:sz w:val="16"/>
                <w:szCs w:val="16"/>
              </w:rPr>
              <w:t xml:space="preserve">$ 450 </w:t>
            </w:r>
          </w:p>
        </w:tc>
      </w:tr>
      <w:tr w:rsidR="001F24ED" w14:paraId="46D6C654"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187C3D5C" w14:textId="77777777" w:rsidR="001F24ED" w:rsidRDefault="001F24ED">
            <w:pPr>
              <w:jc w:val="center"/>
              <w:rPr>
                <w:rFonts w:ascii="Arial" w:hAnsi="Arial" w:cs="Arial"/>
                <w:color w:val="000000"/>
                <w:sz w:val="16"/>
                <w:szCs w:val="16"/>
              </w:rPr>
            </w:pPr>
            <w:r>
              <w:rPr>
                <w:rFonts w:ascii="Arial" w:hAnsi="Arial" w:cs="Arial"/>
                <w:sz w:val="16"/>
                <w:szCs w:val="16"/>
              </w:rPr>
              <w:t>21</w:t>
            </w:r>
          </w:p>
        </w:tc>
        <w:tc>
          <w:tcPr>
            <w:tcW w:w="4789" w:type="dxa"/>
            <w:tcBorders>
              <w:top w:val="nil"/>
              <w:left w:val="nil"/>
              <w:bottom w:val="single" w:sz="4" w:space="0" w:color="auto"/>
              <w:right w:val="single" w:sz="4" w:space="0" w:color="auto"/>
            </w:tcBorders>
            <w:vAlign w:val="center"/>
            <w:hideMark/>
          </w:tcPr>
          <w:p w14:paraId="714ABC86" w14:textId="77777777" w:rsidR="001F24ED" w:rsidRDefault="001F24ED">
            <w:pPr>
              <w:rPr>
                <w:rFonts w:ascii="Arial" w:hAnsi="Arial" w:cs="Arial"/>
                <w:color w:val="000000"/>
                <w:sz w:val="16"/>
                <w:szCs w:val="16"/>
              </w:rPr>
            </w:pPr>
            <w:r>
              <w:rPr>
                <w:rFonts w:ascii="Arial" w:hAnsi="Arial" w:cs="Arial"/>
                <w:sz w:val="16"/>
                <w:szCs w:val="16"/>
              </w:rPr>
              <w:t>Plural Comunicaciones SA</w:t>
            </w:r>
          </w:p>
        </w:tc>
        <w:tc>
          <w:tcPr>
            <w:tcW w:w="1446" w:type="dxa"/>
            <w:tcBorders>
              <w:top w:val="nil"/>
              <w:left w:val="nil"/>
              <w:bottom w:val="single" w:sz="4" w:space="0" w:color="auto"/>
              <w:right w:val="single" w:sz="4" w:space="0" w:color="auto"/>
            </w:tcBorders>
            <w:vAlign w:val="center"/>
            <w:hideMark/>
          </w:tcPr>
          <w:p w14:paraId="5B2F532B" w14:textId="77777777" w:rsidR="001F24ED" w:rsidRDefault="001F24ED">
            <w:pPr>
              <w:jc w:val="center"/>
              <w:rPr>
                <w:rFonts w:ascii="Arial" w:hAnsi="Arial" w:cs="Arial"/>
                <w:color w:val="000000"/>
                <w:sz w:val="16"/>
                <w:szCs w:val="16"/>
              </w:rPr>
            </w:pPr>
            <w:r>
              <w:rPr>
                <w:rFonts w:ascii="Arial" w:hAnsi="Arial" w:cs="Arial"/>
                <w:sz w:val="16"/>
                <w:szCs w:val="16"/>
              </w:rPr>
              <w:t>431 de 2018</w:t>
            </w:r>
          </w:p>
        </w:tc>
        <w:tc>
          <w:tcPr>
            <w:tcW w:w="2032" w:type="dxa"/>
            <w:tcBorders>
              <w:top w:val="nil"/>
              <w:left w:val="nil"/>
              <w:bottom w:val="single" w:sz="4" w:space="0" w:color="auto"/>
              <w:right w:val="single" w:sz="4" w:space="0" w:color="auto"/>
            </w:tcBorders>
            <w:noWrap/>
            <w:vAlign w:val="center"/>
            <w:hideMark/>
          </w:tcPr>
          <w:p w14:paraId="41968771" w14:textId="77777777" w:rsidR="001F24ED" w:rsidRDefault="001F24ED">
            <w:pPr>
              <w:jc w:val="right"/>
              <w:rPr>
                <w:rFonts w:ascii="Arial" w:hAnsi="Arial" w:cs="Arial"/>
                <w:color w:val="000000"/>
                <w:sz w:val="16"/>
                <w:szCs w:val="16"/>
              </w:rPr>
            </w:pPr>
            <w:r>
              <w:rPr>
                <w:rFonts w:ascii="Arial" w:hAnsi="Arial" w:cs="Arial"/>
                <w:sz w:val="16"/>
                <w:szCs w:val="16"/>
              </w:rPr>
              <w:t xml:space="preserve">$ 140 </w:t>
            </w:r>
          </w:p>
        </w:tc>
      </w:tr>
      <w:tr w:rsidR="001F24ED" w14:paraId="6E844104"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38835AE9" w14:textId="77777777" w:rsidR="001F24ED" w:rsidRDefault="001F24ED">
            <w:pPr>
              <w:jc w:val="center"/>
              <w:rPr>
                <w:rFonts w:ascii="Arial" w:hAnsi="Arial" w:cs="Arial"/>
                <w:color w:val="000000"/>
                <w:sz w:val="16"/>
                <w:szCs w:val="16"/>
              </w:rPr>
            </w:pPr>
            <w:r>
              <w:rPr>
                <w:rFonts w:ascii="Arial" w:hAnsi="Arial" w:cs="Arial"/>
                <w:sz w:val="16"/>
                <w:szCs w:val="16"/>
              </w:rPr>
              <w:t>22</w:t>
            </w:r>
          </w:p>
        </w:tc>
        <w:tc>
          <w:tcPr>
            <w:tcW w:w="4789" w:type="dxa"/>
            <w:tcBorders>
              <w:top w:val="nil"/>
              <w:left w:val="nil"/>
              <w:bottom w:val="single" w:sz="4" w:space="0" w:color="auto"/>
              <w:right w:val="single" w:sz="4" w:space="0" w:color="auto"/>
            </w:tcBorders>
            <w:vAlign w:val="center"/>
            <w:hideMark/>
          </w:tcPr>
          <w:p w14:paraId="224360AE" w14:textId="77777777" w:rsidR="001F24ED" w:rsidRDefault="001F24ED">
            <w:pPr>
              <w:rPr>
                <w:rFonts w:ascii="Arial" w:hAnsi="Arial" w:cs="Arial"/>
                <w:color w:val="000000"/>
                <w:sz w:val="16"/>
                <w:szCs w:val="16"/>
              </w:rPr>
            </w:pPr>
            <w:r>
              <w:rPr>
                <w:rFonts w:ascii="Arial" w:hAnsi="Arial" w:cs="Arial"/>
                <w:sz w:val="16"/>
                <w:szCs w:val="16"/>
              </w:rPr>
              <w:t xml:space="preserve">El Heraldo S.A. </w:t>
            </w:r>
          </w:p>
        </w:tc>
        <w:tc>
          <w:tcPr>
            <w:tcW w:w="1446" w:type="dxa"/>
            <w:tcBorders>
              <w:top w:val="nil"/>
              <w:left w:val="nil"/>
              <w:bottom w:val="single" w:sz="4" w:space="0" w:color="auto"/>
              <w:right w:val="single" w:sz="4" w:space="0" w:color="auto"/>
            </w:tcBorders>
            <w:vAlign w:val="center"/>
            <w:hideMark/>
          </w:tcPr>
          <w:p w14:paraId="0DE0CA5B" w14:textId="77777777" w:rsidR="001F24ED" w:rsidRDefault="001F24ED">
            <w:pPr>
              <w:jc w:val="center"/>
              <w:rPr>
                <w:rFonts w:ascii="Arial" w:hAnsi="Arial" w:cs="Arial"/>
                <w:color w:val="000000"/>
                <w:sz w:val="16"/>
                <w:szCs w:val="16"/>
              </w:rPr>
            </w:pPr>
            <w:r>
              <w:rPr>
                <w:rFonts w:ascii="Arial" w:hAnsi="Arial" w:cs="Arial"/>
                <w:sz w:val="16"/>
                <w:szCs w:val="16"/>
              </w:rPr>
              <w:t>440 de 2018</w:t>
            </w:r>
          </w:p>
        </w:tc>
        <w:tc>
          <w:tcPr>
            <w:tcW w:w="2032" w:type="dxa"/>
            <w:tcBorders>
              <w:top w:val="nil"/>
              <w:left w:val="nil"/>
              <w:bottom w:val="single" w:sz="4" w:space="0" w:color="auto"/>
              <w:right w:val="single" w:sz="4" w:space="0" w:color="auto"/>
            </w:tcBorders>
            <w:noWrap/>
            <w:vAlign w:val="center"/>
            <w:hideMark/>
          </w:tcPr>
          <w:p w14:paraId="03BFC20E" w14:textId="77777777" w:rsidR="001F24ED" w:rsidRDefault="001F24ED">
            <w:pPr>
              <w:jc w:val="right"/>
              <w:rPr>
                <w:rFonts w:ascii="Arial" w:hAnsi="Arial" w:cs="Arial"/>
                <w:color w:val="000000"/>
                <w:sz w:val="16"/>
                <w:szCs w:val="16"/>
              </w:rPr>
            </w:pPr>
            <w:r>
              <w:rPr>
                <w:rFonts w:ascii="Arial" w:hAnsi="Arial" w:cs="Arial"/>
                <w:sz w:val="16"/>
                <w:szCs w:val="16"/>
              </w:rPr>
              <w:t xml:space="preserve">$ 40 </w:t>
            </w:r>
          </w:p>
        </w:tc>
      </w:tr>
      <w:tr w:rsidR="001F24ED" w14:paraId="69F3B13D"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62BF1D8D" w14:textId="77777777" w:rsidR="001F24ED" w:rsidRDefault="001F24ED">
            <w:pPr>
              <w:jc w:val="center"/>
              <w:rPr>
                <w:rFonts w:ascii="Arial" w:hAnsi="Arial" w:cs="Arial"/>
                <w:color w:val="000000"/>
                <w:sz w:val="16"/>
                <w:szCs w:val="16"/>
              </w:rPr>
            </w:pPr>
            <w:r>
              <w:rPr>
                <w:rFonts w:ascii="Arial" w:hAnsi="Arial" w:cs="Arial"/>
                <w:sz w:val="16"/>
                <w:szCs w:val="16"/>
              </w:rPr>
              <w:t>23</w:t>
            </w:r>
          </w:p>
        </w:tc>
        <w:tc>
          <w:tcPr>
            <w:tcW w:w="4789" w:type="dxa"/>
            <w:tcBorders>
              <w:top w:val="nil"/>
              <w:left w:val="nil"/>
              <w:bottom w:val="single" w:sz="4" w:space="0" w:color="auto"/>
              <w:right w:val="single" w:sz="4" w:space="0" w:color="auto"/>
            </w:tcBorders>
            <w:vAlign w:val="center"/>
            <w:hideMark/>
          </w:tcPr>
          <w:p w14:paraId="58DDA807" w14:textId="77777777" w:rsidR="001F24ED" w:rsidRDefault="001F24ED">
            <w:pPr>
              <w:rPr>
                <w:rFonts w:ascii="Arial" w:hAnsi="Arial" w:cs="Arial"/>
                <w:color w:val="000000"/>
                <w:sz w:val="16"/>
                <w:szCs w:val="16"/>
              </w:rPr>
            </w:pPr>
            <w:r>
              <w:rPr>
                <w:rFonts w:ascii="Arial" w:hAnsi="Arial" w:cs="Arial"/>
                <w:sz w:val="16"/>
                <w:szCs w:val="16"/>
              </w:rPr>
              <w:t>D2 Publicidad SAS</w:t>
            </w:r>
          </w:p>
        </w:tc>
        <w:tc>
          <w:tcPr>
            <w:tcW w:w="1446" w:type="dxa"/>
            <w:tcBorders>
              <w:top w:val="nil"/>
              <w:left w:val="nil"/>
              <w:bottom w:val="single" w:sz="4" w:space="0" w:color="auto"/>
              <w:right w:val="single" w:sz="4" w:space="0" w:color="auto"/>
            </w:tcBorders>
            <w:vAlign w:val="center"/>
            <w:hideMark/>
          </w:tcPr>
          <w:p w14:paraId="4A83ED68" w14:textId="77777777" w:rsidR="001F24ED" w:rsidRDefault="001F24ED">
            <w:pPr>
              <w:jc w:val="center"/>
              <w:rPr>
                <w:rFonts w:ascii="Arial" w:hAnsi="Arial" w:cs="Arial"/>
                <w:color w:val="000000"/>
                <w:sz w:val="16"/>
                <w:szCs w:val="16"/>
              </w:rPr>
            </w:pPr>
            <w:r>
              <w:rPr>
                <w:rFonts w:ascii="Arial" w:hAnsi="Arial" w:cs="Arial"/>
                <w:sz w:val="16"/>
                <w:szCs w:val="16"/>
              </w:rPr>
              <w:t>441 de 2018</w:t>
            </w:r>
          </w:p>
        </w:tc>
        <w:tc>
          <w:tcPr>
            <w:tcW w:w="2032" w:type="dxa"/>
            <w:tcBorders>
              <w:top w:val="nil"/>
              <w:left w:val="nil"/>
              <w:bottom w:val="single" w:sz="4" w:space="0" w:color="auto"/>
              <w:right w:val="single" w:sz="4" w:space="0" w:color="auto"/>
            </w:tcBorders>
            <w:noWrap/>
            <w:vAlign w:val="center"/>
            <w:hideMark/>
          </w:tcPr>
          <w:p w14:paraId="423798F4" w14:textId="77777777" w:rsidR="001F24ED" w:rsidRDefault="001F24ED">
            <w:pPr>
              <w:jc w:val="right"/>
              <w:rPr>
                <w:rFonts w:ascii="Arial" w:hAnsi="Arial" w:cs="Arial"/>
                <w:color w:val="000000"/>
                <w:sz w:val="16"/>
                <w:szCs w:val="16"/>
              </w:rPr>
            </w:pPr>
            <w:r>
              <w:rPr>
                <w:rFonts w:ascii="Arial" w:hAnsi="Arial" w:cs="Arial"/>
                <w:sz w:val="16"/>
                <w:szCs w:val="16"/>
              </w:rPr>
              <w:t xml:space="preserve">$ 119 </w:t>
            </w:r>
          </w:p>
        </w:tc>
      </w:tr>
      <w:tr w:rsidR="001F24ED" w14:paraId="40873172" w14:textId="77777777" w:rsidTr="008B5E15">
        <w:trPr>
          <w:trHeight w:val="274"/>
        </w:trPr>
        <w:tc>
          <w:tcPr>
            <w:tcW w:w="508" w:type="dxa"/>
            <w:tcBorders>
              <w:top w:val="nil"/>
              <w:left w:val="single" w:sz="4" w:space="0" w:color="auto"/>
              <w:bottom w:val="single" w:sz="4" w:space="0" w:color="auto"/>
              <w:right w:val="single" w:sz="4" w:space="0" w:color="auto"/>
            </w:tcBorders>
            <w:vAlign w:val="center"/>
            <w:hideMark/>
          </w:tcPr>
          <w:p w14:paraId="44E360E1" w14:textId="77777777" w:rsidR="001F24ED" w:rsidRDefault="001F24ED">
            <w:pPr>
              <w:jc w:val="center"/>
              <w:rPr>
                <w:rFonts w:ascii="Arial" w:hAnsi="Arial" w:cs="Arial"/>
                <w:color w:val="000000"/>
                <w:sz w:val="16"/>
                <w:szCs w:val="16"/>
              </w:rPr>
            </w:pPr>
            <w:r>
              <w:rPr>
                <w:rFonts w:ascii="Arial" w:hAnsi="Arial" w:cs="Arial"/>
                <w:sz w:val="16"/>
                <w:szCs w:val="16"/>
              </w:rPr>
              <w:t>24</w:t>
            </w:r>
          </w:p>
        </w:tc>
        <w:tc>
          <w:tcPr>
            <w:tcW w:w="4789" w:type="dxa"/>
            <w:tcBorders>
              <w:top w:val="nil"/>
              <w:left w:val="nil"/>
              <w:bottom w:val="single" w:sz="4" w:space="0" w:color="auto"/>
              <w:right w:val="single" w:sz="4" w:space="0" w:color="auto"/>
            </w:tcBorders>
            <w:vAlign w:val="center"/>
            <w:hideMark/>
          </w:tcPr>
          <w:p w14:paraId="62086AE8" w14:textId="77777777" w:rsidR="001F24ED" w:rsidRDefault="001F24ED">
            <w:pPr>
              <w:rPr>
                <w:rFonts w:ascii="Arial" w:hAnsi="Arial" w:cs="Arial"/>
                <w:color w:val="000000"/>
                <w:sz w:val="16"/>
                <w:szCs w:val="16"/>
              </w:rPr>
            </w:pPr>
            <w:r>
              <w:rPr>
                <w:rFonts w:ascii="Arial" w:hAnsi="Arial" w:cs="Arial"/>
                <w:sz w:val="16"/>
                <w:szCs w:val="16"/>
              </w:rPr>
              <w:t>Viáticos y Transportes para Eventos</w:t>
            </w:r>
          </w:p>
        </w:tc>
        <w:tc>
          <w:tcPr>
            <w:tcW w:w="1446" w:type="dxa"/>
            <w:tcBorders>
              <w:top w:val="nil"/>
              <w:left w:val="nil"/>
              <w:bottom w:val="single" w:sz="4" w:space="0" w:color="auto"/>
              <w:right w:val="single" w:sz="4" w:space="0" w:color="auto"/>
            </w:tcBorders>
            <w:vAlign w:val="center"/>
            <w:hideMark/>
          </w:tcPr>
          <w:p w14:paraId="77FA37F2" w14:textId="77777777" w:rsidR="001F24ED" w:rsidRDefault="001F24ED">
            <w:pPr>
              <w:jc w:val="center"/>
              <w:rPr>
                <w:rFonts w:ascii="Arial" w:hAnsi="Arial" w:cs="Arial"/>
                <w:color w:val="000000"/>
                <w:sz w:val="16"/>
                <w:szCs w:val="16"/>
              </w:rPr>
            </w:pPr>
            <w:r>
              <w:rPr>
                <w:rFonts w:ascii="Arial" w:hAnsi="Arial" w:cs="Arial"/>
                <w:sz w:val="16"/>
                <w:szCs w:val="16"/>
              </w:rPr>
              <w:t>-</w:t>
            </w:r>
          </w:p>
        </w:tc>
        <w:tc>
          <w:tcPr>
            <w:tcW w:w="2032" w:type="dxa"/>
            <w:tcBorders>
              <w:top w:val="nil"/>
              <w:left w:val="nil"/>
              <w:bottom w:val="single" w:sz="4" w:space="0" w:color="auto"/>
              <w:right w:val="single" w:sz="4" w:space="0" w:color="auto"/>
            </w:tcBorders>
            <w:noWrap/>
            <w:vAlign w:val="center"/>
            <w:hideMark/>
          </w:tcPr>
          <w:p w14:paraId="55412DCF" w14:textId="77777777" w:rsidR="001F24ED" w:rsidRDefault="001F24ED">
            <w:pPr>
              <w:jc w:val="right"/>
              <w:rPr>
                <w:rFonts w:ascii="Arial" w:hAnsi="Arial" w:cs="Arial"/>
                <w:color w:val="000000"/>
                <w:sz w:val="16"/>
                <w:szCs w:val="16"/>
              </w:rPr>
            </w:pPr>
            <w:r>
              <w:rPr>
                <w:rFonts w:ascii="Arial" w:hAnsi="Arial" w:cs="Arial"/>
                <w:sz w:val="16"/>
                <w:szCs w:val="16"/>
              </w:rPr>
              <w:t xml:space="preserve">$ 93 </w:t>
            </w:r>
          </w:p>
        </w:tc>
      </w:tr>
      <w:tr w:rsidR="001F24ED" w14:paraId="429B91F4" w14:textId="77777777" w:rsidTr="008B5E15">
        <w:trPr>
          <w:trHeight w:val="274"/>
        </w:trPr>
        <w:tc>
          <w:tcPr>
            <w:tcW w:w="6743" w:type="dxa"/>
            <w:gridSpan w:val="3"/>
            <w:tcBorders>
              <w:top w:val="single" w:sz="4" w:space="0" w:color="auto"/>
              <w:left w:val="single" w:sz="4" w:space="0" w:color="auto"/>
              <w:bottom w:val="single" w:sz="4" w:space="0" w:color="auto"/>
              <w:right w:val="single" w:sz="4" w:space="0" w:color="000000"/>
            </w:tcBorders>
            <w:shd w:val="clear" w:color="auto" w:fill="4F81BD" w:themeFill="accent1"/>
            <w:vAlign w:val="center"/>
            <w:hideMark/>
          </w:tcPr>
          <w:p w14:paraId="1D80B4B0" w14:textId="77777777" w:rsidR="001F24ED" w:rsidRDefault="001F24ED">
            <w:pPr>
              <w:jc w:val="center"/>
              <w:rPr>
                <w:rFonts w:ascii="Arial" w:hAnsi="Arial" w:cs="Arial"/>
                <w:b/>
                <w:bCs/>
                <w:sz w:val="16"/>
                <w:szCs w:val="16"/>
              </w:rPr>
            </w:pPr>
            <w:r>
              <w:rPr>
                <w:rFonts w:ascii="Arial" w:hAnsi="Arial" w:cs="Arial"/>
                <w:b/>
                <w:bCs/>
                <w:sz w:val="16"/>
                <w:szCs w:val="16"/>
              </w:rPr>
              <w:lastRenderedPageBreak/>
              <w:t>Total</w:t>
            </w:r>
          </w:p>
        </w:tc>
        <w:tc>
          <w:tcPr>
            <w:tcW w:w="2032" w:type="dxa"/>
            <w:tcBorders>
              <w:top w:val="nil"/>
              <w:left w:val="nil"/>
              <w:bottom w:val="single" w:sz="4" w:space="0" w:color="auto"/>
              <w:right w:val="single" w:sz="4" w:space="0" w:color="auto"/>
            </w:tcBorders>
            <w:shd w:val="clear" w:color="auto" w:fill="4F81BD" w:themeFill="accent1"/>
            <w:vAlign w:val="center"/>
            <w:hideMark/>
          </w:tcPr>
          <w:p w14:paraId="6DA08858" w14:textId="77777777" w:rsidR="001F24ED" w:rsidRDefault="001F24ED">
            <w:pPr>
              <w:jc w:val="right"/>
              <w:rPr>
                <w:rFonts w:ascii="Arial" w:hAnsi="Arial" w:cs="Arial"/>
                <w:b/>
                <w:bCs/>
                <w:sz w:val="16"/>
                <w:szCs w:val="16"/>
              </w:rPr>
            </w:pPr>
            <w:r>
              <w:rPr>
                <w:rFonts w:ascii="Arial" w:hAnsi="Arial" w:cs="Arial"/>
                <w:b/>
                <w:bCs/>
                <w:sz w:val="16"/>
                <w:szCs w:val="16"/>
              </w:rPr>
              <w:t>$4.774</w:t>
            </w:r>
          </w:p>
        </w:tc>
      </w:tr>
    </w:tbl>
    <w:p w14:paraId="7AA782C6" w14:textId="653B0C63" w:rsidR="00C02282" w:rsidRPr="001F24ED" w:rsidRDefault="001F24ED" w:rsidP="00C02282">
      <w:pPr>
        <w:spacing w:after="0" w:line="240" w:lineRule="auto"/>
        <w:jc w:val="center"/>
        <w:rPr>
          <w:rFonts w:ascii="Arial" w:eastAsia="Calibri" w:hAnsi="Arial" w:cs="Arial"/>
          <w:sz w:val="16"/>
          <w:szCs w:val="16"/>
        </w:rPr>
      </w:pPr>
      <w:r w:rsidRPr="001F24ED">
        <w:rPr>
          <w:rFonts w:ascii="Arial" w:hAnsi="Arial" w:cs="Arial"/>
          <w:sz w:val="16"/>
          <w:szCs w:val="16"/>
          <w:lang w:eastAsia="es-ES"/>
        </w:rPr>
        <w:t xml:space="preserve"> </w:t>
      </w:r>
      <w:r w:rsidR="00C02282" w:rsidRPr="001F24ED">
        <w:rPr>
          <w:rFonts w:ascii="Arial" w:hAnsi="Arial" w:cs="Arial"/>
          <w:sz w:val="16"/>
          <w:szCs w:val="16"/>
          <w:lang w:eastAsia="es-ES"/>
        </w:rPr>
        <w:t>Millones de pesos</w:t>
      </w:r>
    </w:p>
    <w:p w14:paraId="0750E0E4" w14:textId="4FCA57B9" w:rsidR="00C02282" w:rsidRDefault="001F24ED" w:rsidP="00C02282">
      <w:pPr>
        <w:spacing w:after="0" w:line="240" w:lineRule="auto"/>
        <w:jc w:val="center"/>
        <w:rPr>
          <w:rFonts w:ascii="Arial" w:hAnsi="Arial" w:cs="Arial"/>
          <w:sz w:val="16"/>
          <w:szCs w:val="16"/>
          <w:lang w:eastAsia="es-ES"/>
        </w:rPr>
      </w:pPr>
      <w:r>
        <w:rPr>
          <w:rFonts w:ascii="Arial" w:hAnsi="Arial" w:cs="Arial"/>
          <w:sz w:val="16"/>
          <w:szCs w:val="16"/>
          <w:lang w:eastAsia="es-ES"/>
        </w:rPr>
        <w:t>Fuente</w:t>
      </w:r>
      <w:r w:rsidR="00C02282" w:rsidRPr="001F24ED">
        <w:rPr>
          <w:rFonts w:ascii="Arial" w:hAnsi="Arial" w:cs="Arial"/>
          <w:sz w:val="16"/>
          <w:szCs w:val="16"/>
          <w:lang w:eastAsia="es-ES"/>
        </w:rPr>
        <w:t xml:space="preserve"> Promoción y Asignación de Áreas</w:t>
      </w:r>
    </w:p>
    <w:p w14:paraId="0F5E2999" w14:textId="77777777" w:rsidR="00206A80" w:rsidRDefault="00206A80" w:rsidP="00C02282">
      <w:pPr>
        <w:spacing w:after="0" w:line="240" w:lineRule="auto"/>
        <w:jc w:val="center"/>
        <w:rPr>
          <w:rFonts w:ascii="Arial" w:hAnsi="Arial" w:cs="Arial"/>
          <w:sz w:val="16"/>
          <w:szCs w:val="16"/>
          <w:lang w:eastAsia="es-ES"/>
        </w:rPr>
      </w:pPr>
    </w:p>
    <w:p w14:paraId="2A6E8E00" w14:textId="77777777" w:rsidR="00206A80" w:rsidRDefault="00206A80" w:rsidP="00C02282">
      <w:pPr>
        <w:spacing w:after="0" w:line="240" w:lineRule="auto"/>
        <w:jc w:val="center"/>
        <w:rPr>
          <w:rFonts w:ascii="Arial" w:hAnsi="Arial" w:cs="Arial"/>
          <w:sz w:val="16"/>
          <w:szCs w:val="16"/>
          <w:lang w:eastAsia="es-ES"/>
        </w:rPr>
      </w:pPr>
    </w:p>
    <w:p w14:paraId="6E4A7169" w14:textId="77A34457" w:rsidR="00206A80" w:rsidRDefault="00206A80" w:rsidP="00C02282">
      <w:pPr>
        <w:spacing w:after="0" w:line="240" w:lineRule="auto"/>
        <w:jc w:val="center"/>
        <w:rPr>
          <w:rFonts w:ascii="Arial" w:hAnsi="Arial" w:cs="Arial"/>
          <w:sz w:val="16"/>
          <w:szCs w:val="16"/>
          <w:lang w:eastAsia="es-ES"/>
        </w:rPr>
      </w:pPr>
    </w:p>
    <w:p w14:paraId="4D81C034" w14:textId="13F95B88" w:rsidR="00A3028C" w:rsidRDefault="00A3028C" w:rsidP="00C02282">
      <w:pPr>
        <w:spacing w:after="0" w:line="240" w:lineRule="auto"/>
        <w:jc w:val="center"/>
        <w:rPr>
          <w:rFonts w:ascii="Arial" w:hAnsi="Arial" w:cs="Arial"/>
          <w:sz w:val="16"/>
          <w:szCs w:val="16"/>
          <w:lang w:eastAsia="es-ES"/>
        </w:rPr>
      </w:pPr>
    </w:p>
    <w:p w14:paraId="60391E30" w14:textId="77777777" w:rsidR="00A3028C" w:rsidRDefault="00A3028C" w:rsidP="00C02282">
      <w:pPr>
        <w:spacing w:after="0" w:line="240" w:lineRule="auto"/>
        <w:jc w:val="center"/>
        <w:rPr>
          <w:rFonts w:ascii="Arial" w:hAnsi="Arial" w:cs="Arial"/>
          <w:sz w:val="16"/>
          <w:szCs w:val="16"/>
          <w:lang w:eastAsia="es-ES"/>
        </w:rPr>
      </w:pPr>
    </w:p>
    <w:p w14:paraId="38EDBA10" w14:textId="77777777" w:rsidR="00206A80" w:rsidRDefault="00206A80" w:rsidP="00C02282">
      <w:pPr>
        <w:spacing w:after="0" w:line="240" w:lineRule="auto"/>
        <w:jc w:val="center"/>
        <w:rPr>
          <w:rFonts w:ascii="Arial" w:hAnsi="Arial" w:cs="Arial"/>
          <w:sz w:val="16"/>
          <w:szCs w:val="16"/>
          <w:lang w:eastAsia="es-ES"/>
        </w:rPr>
      </w:pPr>
    </w:p>
    <w:p w14:paraId="1307C777" w14:textId="77777777" w:rsidR="00206A80" w:rsidRPr="001F24ED" w:rsidRDefault="00206A80" w:rsidP="00C02282">
      <w:pPr>
        <w:spacing w:after="0" w:line="240" w:lineRule="auto"/>
        <w:jc w:val="center"/>
        <w:rPr>
          <w:rFonts w:ascii="Arial" w:hAnsi="Arial" w:cs="Arial"/>
          <w:sz w:val="16"/>
          <w:szCs w:val="16"/>
          <w:lang w:eastAsia="es-ES"/>
        </w:rPr>
      </w:pPr>
    </w:p>
    <w:p w14:paraId="44D04127" w14:textId="77777777" w:rsidR="00C02282" w:rsidRPr="006A67B4" w:rsidRDefault="00C02282" w:rsidP="00C02282">
      <w:pPr>
        <w:spacing w:after="0" w:line="240" w:lineRule="auto"/>
        <w:jc w:val="center"/>
        <w:rPr>
          <w:rFonts w:ascii="Arial" w:hAnsi="Arial" w:cs="Arial"/>
          <w:sz w:val="16"/>
          <w:szCs w:val="16"/>
          <w:highlight w:val="yellow"/>
          <w:lang w:eastAsia="es-ES"/>
        </w:rPr>
      </w:pPr>
    </w:p>
    <w:p w14:paraId="04604319" w14:textId="2C7BD6EE" w:rsidR="00C02282" w:rsidRDefault="00C02282" w:rsidP="00C02282">
      <w:pPr>
        <w:rPr>
          <w:rFonts w:ascii="Arial" w:eastAsia="Batang" w:hAnsi="Arial" w:cs="Arial"/>
          <w:b/>
        </w:rPr>
      </w:pPr>
      <w:r w:rsidRPr="001F24ED">
        <w:rPr>
          <w:rFonts w:ascii="Arial" w:eastAsia="Batang" w:hAnsi="Arial" w:cs="Arial"/>
          <w:b/>
        </w:rPr>
        <w:t>Activi</w:t>
      </w:r>
      <w:r w:rsidR="001F24ED" w:rsidRPr="001F24ED">
        <w:rPr>
          <w:rFonts w:ascii="Arial" w:eastAsia="Batang" w:hAnsi="Arial" w:cs="Arial"/>
          <w:b/>
        </w:rPr>
        <w:t>dades Desarrolladas durante los dos primeros</w:t>
      </w:r>
      <w:r w:rsidRPr="001F24ED">
        <w:rPr>
          <w:rFonts w:ascii="Arial" w:eastAsia="Batang" w:hAnsi="Arial" w:cs="Arial"/>
          <w:b/>
        </w:rPr>
        <w:t xml:space="preserve"> Trimestre</w:t>
      </w:r>
      <w:r w:rsidR="001F24ED" w:rsidRPr="001F24ED">
        <w:rPr>
          <w:rFonts w:ascii="Arial" w:eastAsia="Batang" w:hAnsi="Arial" w:cs="Arial"/>
          <w:b/>
        </w:rPr>
        <w:t xml:space="preserve">s de </w:t>
      </w:r>
      <w:r w:rsidRPr="001F24ED">
        <w:rPr>
          <w:rFonts w:ascii="Arial" w:eastAsia="Batang" w:hAnsi="Arial" w:cs="Arial"/>
          <w:b/>
        </w:rPr>
        <w:t>2018</w:t>
      </w:r>
    </w:p>
    <w:p w14:paraId="19BE5DFC" w14:textId="77777777" w:rsidR="001F24ED" w:rsidRDefault="001F24ED" w:rsidP="001F24ED">
      <w:pPr>
        <w:jc w:val="both"/>
        <w:rPr>
          <w:rFonts w:ascii="Arial" w:hAnsi="Arial" w:cs="Arial"/>
          <w:szCs w:val="16"/>
        </w:rPr>
      </w:pPr>
      <w:r>
        <w:rPr>
          <w:rFonts w:ascii="Arial" w:hAnsi="Arial" w:cs="Arial"/>
          <w:szCs w:val="16"/>
        </w:rPr>
        <w:t>Al primer semestre de 2018 se han llevado a cabo actividades asociadas a los diferentes objetivos del proyecto, como se relacionan en la tabla 51.</w:t>
      </w:r>
    </w:p>
    <w:p w14:paraId="5E894AD4" w14:textId="346BAA53" w:rsidR="00C02282" w:rsidRPr="001F24ED" w:rsidRDefault="00C02282" w:rsidP="00C02282">
      <w:pPr>
        <w:pStyle w:val="Descripcin"/>
        <w:keepNext/>
        <w:jc w:val="center"/>
      </w:pPr>
      <w:bookmarkStart w:id="178" w:name="_Toc525652538"/>
      <w:r w:rsidRPr="001F24ED">
        <w:t xml:space="preserve">Tabla </w:t>
      </w:r>
      <w:r w:rsidRPr="001F24ED">
        <w:fldChar w:fldCharType="begin"/>
      </w:r>
      <w:r w:rsidRPr="001F24ED">
        <w:instrText xml:space="preserve"> SEQ Tabla \* ARABIC </w:instrText>
      </w:r>
      <w:r w:rsidRPr="001F24ED">
        <w:fldChar w:fldCharType="separate"/>
      </w:r>
      <w:r w:rsidR="008B4625">
        <w:rPr>
          <w:noProof/>
        </w:rPr>
        <w:t>93</w:t>
      </w:r>
      <w:r w:rsidRPr="001F24ED">
        <w:fldChar w:fldCharType="end"/>
      </w:r>
      <w:r w:rsidR="001F24ED">
        <w:t xml:space="preserve"> </w:t>
      </w:r>
      <w:r w:rsidRPr="001F24ED">
        <w:t xml:space="preserve">Ejecución Inversión Adecuación Del Modelo De Promoción de Los Recursos </w:t>
      </w:r>
      <w:r w:rsidR="00A3028C" w:rsidRPr="001F24ED">
        <w:t>Hidrocarburíferos</w:t>
      </w:r>
      <w:r w:rsidRPr="001F24ED">
        <w:t xml:space="preserve"> Frente a Los Factores Externos – Contratación – Obligaciones a 3</w:t>
      </w:r>
      <w:r w:rsidR="001F24ED" w:rsidRPr="001F24ED">
        <w:t>0 de junio de 2018</w:t>
      </w:r>
      <w:r w:rsidRPr="001F24ED">
        <w:t xml:space="preserve"> ANH</w:t>
      </w:r>
      <w:bookmarkEnd w:id="178"/>
    </w:p>
    <w:tbl>
      <w:tblPr>
        <w:tblW w:w="4742" w:type="pct"/>
        <w:tblCellMar>
          <w:left w:w="70" w:type="dxa"/>
          <w:right w:w="70" w:type="dxa"/>
        </w:tblCellMar>
        <w:tblLook w:val="04A0" w:firstRow="1" w:lastRow="0" w:firstColumn="1" w:lastColumn="0" w:noHBand="0" w:noVBand="1"/>
      </w:tblPr>
      <w:tblGrid>
        <w:gridCol w:w="430"/>
        <w:gridCol w:w="3378"/>
        <w:gridCol w:w="1254"/>
        <w:gridCol w:w="1249"/>
        <w:gridCol w:w="1324"/>
        <w:gridCol w:w="1274"/>
      </w:tblGrid>
      <w:tr w:rsidR="001F24ED" w14:paraId="49105336" w14:textId="77777777" w:rsidTr="001F24ED">
        <w:trPr>
          <w:trHeight w:val="495"/>
          <w:tblHeader/>
        </w:trPr>
        <w:tc>
          <w:tcPr>
            <w:tcW w:w="241"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40202A7" w14:textId="77777777" w:rsidR="001F24ED" w:rsidRDefault="001F24ED">
            <w:pPr>
              <w:jc w:val="center"/>
              <w:rPr>
                <w:rFonts w:ascii="Arial" w:hAnsi="Arial" w:cs="Arial"/>
                <w:b/>
                <w:bCs/>
                <w:sz w:val="16"/>
                <w:szCs w:val="16"/>
              </w:rPr>
            </w:pPr>
            <w:r>
              <w:rPr>
                <w:rFonts w:ascii="Arial" w:hAnsi="Arial" w:cs="Arial"/>
                <w:b/>
                <w:bCs/>
                <w:sz w:val="16"/>
                <w:szCs w:val="16"/>
              </w:rPr>
              <w:t>No.</w:t>
            </w:r>
          </w:p>
        </w:tc>
        <w:tc>
          <w:tcPr>
            <w:tcW w:w="1896" w:type="pct"/>
            <w:tcBorders>
              <w:top w:val="single" w:sz="4" w:space="0" w:color="auto"/>
              <w:left w:val="nil"/>
              <w:bottom w:val="single" w:sz="4" w:space="0" w:color="auto"/>
              <w:right w:val="single" w:sz="4" w:space="0" w:color="auto"/>
            </w:tcBorders>
            <w:shd w:val="clear" w:color="auto" w:fill="4F81BD" w:themeFill="accent1"/>
            <w:vAlign w:val="center"/>
            <w:hideMark/>
          </w:tcPr>
          <w:p w14:paraId="3C2CB9C1" w14:textId="77777777" w:rsidR="001F24ED" w:rsidRDefault="001F24ED">
            <w:pPr>
              <w:jc w:val="center"/>
              <w:rPr>
                <w:rFonts w:ascii="Arial" w:hAnsi="Arial" w:cs="Arial"/>
                <w:b/>
                <w:bCs/>
                <w:sz w:val="16"/>
                <w:szCs w:val="16"/>
              </w:rPr>
            </w:pPr>
            <w:r>
              <w:rPr>
                <w:rFonts w:ascii="Arial" w:hAnsi="Arial" w:cs="Arial"/>
                <w:b/>
                <w:bCs/>
                <w:sz w:val="16"/>
                <w:szCs w:val="16"/>
              </w:rPr>
              <w:t>Contratista (Tercero)</w:t>
            </w:r>
          </w:p>
        </w:tc>
        <w:tc>
          <w:tcPr>
            <w:tcW w:w="704" w:type="pct"/>
            <w:tcBorders>
              <w:top w:val="single" w:sz="4" w:space="0" w:color="auto"/>
              <w:left w:val="nil"/>
              <w:bottom w:val="single" w:sz="4" w:space="0" w:color="auto"/>
              <w:right w:val="single" w:sz="4" w:space="0" w:color="auto"/>
            </w:tcBorders>
            <w:shd w:val="clear" w:color="auto" w:fill="4F81BD" w:themeFill="accent1"/>
            <w:vAlign w:val="center"/>
            <w:hideMark/>
          </w:tcPr>
          <w:p w14:paraId="1ADEE8F9" w14:textId="77777777" w:rsidR="001F24ED" w:rsidRDefault="001F24ED">
            <w:pPr>
              <w:jc w:val="center"/>
              <w:rPr>
                <w:rFonts w:ascii="Arial" w:hAnsi="Arial" w:cs="Arial"/>
                <w:b/>
                <w:bCs/>
                <w:sz w:val="16"/>
                <w:szCs w:val="16"/>
              </w:rPr>
            </w:pPr>
            <w:r>
              <w:rPr>
                <w:rFonts w:ascii="Arial" w:hAnsi="Arial" w:cs="Arial"/>
                <w:b/>
                <w:bCs/>
                <w:sz w:val="16"/>
                <w:szCs w:val="16"/>
              </w:rPr>
              <w:t>Número de Contrato</w:t>
            </w:r>
          </w:p>
        </w:tc>
        <w:tc>
          <w:tcPr>
            <w:tcW w:w="701" w:type="pct"/>
            <w:tcBorders>
              <w:top w:val="single" w:sz="4" w:space="0" w:color="auto"/>
              <w:left w:val="nil"/>
              <w:bottom w:val="single" w:sz="4" w:space="0" w:color="auto"/>
              <w:right w:val="single" w:sz="4" w:space="0" w:color="auto"/>
            </w:tcBorders>
            <w:shd w:val="clear" w:color="auto" w:fill="4F81BD" w:themeFill="accent1"/>
            <w:vAlign w:val="center"/>
            <w:hideMark/>
          </w:tcPr>
          <w:p w14:paraId="749C5359" w14:textId="77777777" w:rsidR="001F24ED" w:rsidRDefault="001F24ED">
            <w:pPr>
              <w:jc w:val="center"/>
              <w:rPr>
                <w:rFonts w:ascii="Arial" w:hAnsi="Arial" w:cs="Arial"/>
                <w:b/>
                <w:bCs/>
                <w:sz w:val="16"/>
                <w:szCs w:val="16"/>
              </w:rPr>
            </w:pPr>
            <w:r>
              <w:rPr>
                <w:rFonts w:ascii="Arial" w:hAnsi="Arial" w:cs="Arial"/>
                <w:b/>
                <w:bCs/>
                <w:sz w:val="16"/>
                <w:szCs w:val="16"/>
              </w:rPr>
              <w:t>Valor Compromiso</w:t>
            </w:r>
          </w:p>
        </w:tc>
        <w:tc>
          <w:tcPr>
            <w:tcW w:w="743" w:type="pct"/>
            <w:tcBorders>
              <w:top w:val="single" w:sz="4" w:space="0" w:color="auto"/>
              <w:left w:val="nil"/>
              <w:bottom w:val="single" w:sz="4" w:space="0" w:color="auto"/>
              <w:right w:val="single" w:sz="4" w:space="0" w:color="auto"/>
            </w:tcBorders>
            <w:shd w:val="clear" w:color="auto" w:fill="4F81BD" w:themeFill="accent1"/>
            <w:vAlign w:val="center"/>
            <w:hideMark/>
          </w:tcPr>
          <w:p w14:paraId="2C3674B2" w14:textId="77777777" w:rsidR="001F24ED" w:rsidRDefault="001F24ED">
            <w:pPr>
              <w:jc w:val="center"/>
              <w:rPr>
                <w:rFonts w:ascii="Arial" w:hAnsi="Arial" w:cs="Arial"/>
                <w:b/>
                <w:bCs/>
                <w:sz w:val="16"/>
                <w:szCs w:val="16"/>
              </w:rPr>
            </w:pPr>
            <w:r>
              <w:rPr>
                <w:rFonts w:ascii="Arial" w:hAnsi="Arial" w:cs="Arial"/>
                <w:b/>
                <w:bCs/>
                <w:sz w:val="16"/>
                <w:szCs w:val="16"/>
              </w:rPr>
              <w:t>Valor Obligación</w:t>
            </w:r>
          </w:p>
        </w:tc>
        <w:tc>
          <w:tcPr>
            <w:tcW w:w="715" w:type="pct"/>
            <w:tcBorders>
              <w:top w:val="single" w:sz="4" w:space="0" w:color="auto"/>
              <w:left w:val="nil"/>
              <w:bottom w:val="single" w:sz="4" w:space="0" w:color="auto"/>
              <w:right w:val="single" w:sz="4" w:space="0" w:color="auto"/>
            </w:tcBorders>
            <w:shd w:val="clear" w:color="auto" w:fill="4F81BD" w:themeFill="accent1"/>
            <w:vAlign w:val="center"/>
            <w:hideMark/>
          </w:tcPr>
          <w:p w14:paraId="402791C7" w14:textId="77777777" w:rsidR="001F24ED" w:rsidRDefault="001F24ED">
            <w:pPr>
              <w:jc w:val="center"/>
              <w:rPr>
                <w:rFonts w:ascii="Arial" w:hAnsi="Arial" w:cs="Arial"/>
                <w:b/>
                <w:bCs/>
                <w:sz w:val="16"/>
                <w:szCs w:val="16"/>
              </w:rPr>
            </w:pPr>
            <w:r>
              <w:rPr>
                <w:rFonts w:ascii="Arial" w:hAnsi="Arial" w:cs="Arial"/>
                <w:b/>
                <w:bCs/>
                <w:sz w:val="16"/>
                <w:szCs w:val="16"/>
              </w:rPr>
              <w:t>Valor Pagos</w:t>
            </w:r>
          </w:p>
        </w:tc>
      </w:tr>
      <w:tr w:rsidR="001F24ED" w14:paraId="3CF29E45" w14:textId="77777777" w:rsidTr="001F24ED">
        <w:trPr>
          <w:trHeight w:val="340"/>
        </w:trPr>
        <w:tc>
          <w:tcPr>
            <w:tcW w:w="241" w:type="pct"/>
            <w:tcBorders>
              <w:top w:val="nil"/>
              <w:left w:val="single" w:sz="4" w:space="0" w:color="auto"/>
              <w:bottom w:val="single" w:sz="4" w:space="0" w:color="auto"/>
              <w:right w:val="single" w:sz="4" w:space="0" w:color="auto"/>
            </w:tcBorders>
            <w:vAlign w:val="center"/>
            <w:hideMark/>
          </w:tcPr>
          <w:p w14:paraId="1255293E" w14:textId="77777777" w:rsidR="001F24ED" w:rsidRDefault="001F24ED">
            <w:pPr>
              <w:jc w:val="center"/>
              <w:rPr>
                <w:rFonts w:ascii="Arial" w:hAnsi="Arial" w:cs="Arial"/>
                <w:color w:val="000000"/>
                <w:sz w:val="16"/>
                <w:szCs w:val="16"/>
              </w:rPr>
            </w:pPr>
            <w:r>
              <w:rPr>
                <w:rFonts w:ascii="Arial" w:hAnsi="Arial" w:cs="Arial"/>
                <w:sz w:val="16"/>
                <w:szCs w:val="16"/>
              </w:rPr>
              <w:t>1</w:t>
            </w:r>
          </w:p>
        </w:tc>
        <w:tc>
          <w:tcPr>
            <w:tcW w:w="1896" w:type="pct"/>
            <w:tcBorders>
              <w:top w:val="nil"/>
              <w:left w:val="nil"/>
              <w:bottom w:val="single" w:sz="4" w:space="0" w:color="auto"/>
              <w:right w:val="single" w:sz="4" w:space="0" w:color="auto"/>
            </w:tcBorders>
            <w:vAlign w:val="center"/>
            <w:hideMark/>
          </w:tcPr>
          <w:p w14:paraId="681BF534" w14:textId="77777777" w:rsidR="001F24ED" w:rsidRDefault="001F24ED">
            <w:pPr>
              <w:rPr>
                <w:rFonts w:ascii="Arial" w:hAnsi="Arial" w:cs="Arial"/>
                <w:color w:val="000000"/>
                <w:sz w:val="16"/>
                <w:szCs w:val="16"/>
              </w:rPr>
            </w:pPr>
            <w:r>
              <w:rPr>
                <w:rFonts w:ascii="Arial" w:hAnsi="Arial" w:cs="Arial"/>
                <w:sz w:val="16"/>
                <w:szCs w:val="16"/>
              </w:rPr>
              <w:t xml:space="preserve">Julián Camilo Colmenares López </w:t>
            </w:r>
          </w:p>
        </w:tc>
        <w:tc>
          <w:tcPr>
            <w:tcW w:w="704" w:type="pct"/>
            <w:tcBorders>
              <w:top w:val="nil"/>
              <w:left w:val="nil"/>
              <w:bottom w:val="single" w:sz="4" w:space="0" w:color="auto"/>
              <w:right w:val="single" w:sz="4" w:space="0" w:color="auto"/>
            </w:tcBorders>
            <w:vAlign w:val="center"/>
            <w:hideMark/>
          </w:tcPr>
          <w:p w14:paraId="139AC940" w14:textId="77777777" w:rsidR="001F24ED" w:rsidRDefault="001F24ED">
            <w:pPr>
              <w:jc w:val="center"/>
              <w:rPr>
                <w:rFonts w:ascii="Arial" w:hAnsi="Arial" w:cs="Arial"/>
                <w:color w:val="000000"/>
                <w:sz w:val="16"/>
                <w:szCs w:val="16"/>
              </w:rPr>
            </w:pPr>
            <w:r>
              <w:rPr>
                <w:rFonts w:ascii="Arial" w:hAnsi="Arial" w:cs="Arial"/>
                <w:sz w:val="16"/>
                <w:szCs w:val="16"/>
              </w:rPr>
              <w:t>010 de 2018</w:t>
            </w:r>
          </w:p>
        </w:tc>
        <w:tc>
          <w:tcPr>
            <w:tcW w:w="701" w:type="pct"/>
            <w:tcBorders>
              <w:top w:val="nil"/>
              <w:left w:val="nil"/>
              <w:bottom w:val="single" w:sz="4" w:space="0" w:color="auto"/>
              <w:right w:val="single" w:sz="4" w:space="0" w:color="auto"/>
            </w:tcBorders>
            <w:noWrap/>
            <w:vAlign w:val="center"/>
            <w:hideMark/>
          </w:tcPr>
          <w:p w14:paraId="34274B4E" w14:textId="77777777" w:rsidR="001F24ED" w:rsidRDefault="001F24ED">
            <w:pPr>
              <w:jc w:val="right"/>
              <w:rPr>
                <w:rFonts w:ascii="Arial" w:hAnsi="Arial" w:cs="Arial"/>
                <w:color w:val="000000"/>
                <w:sz w:val="16"/>
                <w:szCs w:val="16"/>
              </w:rPr>
            </w:pPr>
            <w:r>
              <w:rPr>
                <w:rFonts w:ascii="Arial" w:hAnsi="Arial" w:cs="Arial"/>
                <w:sz w:val="16"/>
                <w:szCs w:val="16"/>
              </w:rPr>
              <w:t xml:space="preserve">$ 69 </w:t>
            </w:r>
          </w:p>
        </w:tc>
        <w:tc>
          <w:tcPr>
            <w:tcW w:w="743" w:type="pct"/>
            <w:tcBorders>
              <w:top w:val="nil"/>
              <w:left w:val="nil"/>
              <w:bottom w:val="single" w:sz="4" w:space="0" w:color="auto"/>
              <w:right w:val="single" w:sz="4" w:space="0" w:color="auto"/>
            </w:tcBorders>
            <w:noWrap/>
            <w:vAlign w:val="center"/>
            <w:hideMark/>
          </w:tcPr>
          <w:p w14:paraId="6280CBDF" w14:textId="77777777" w:rsidR="001F24ED" w:rsidRDefault="001F24ED">
            <w:pPr>
              <w:jc w:val="right"/>
              <w:rPr>
                <w:rFonts w:ascii="Arial" w:hAnsi="Arial" w:cs="Arial"/>
                <w:color w:val="000000"/>
                <w:sz w:val="16"/>
                <w:szCs w:val="16"/>
              </w:rPr>
            </w:pPr>
            <w:r>
              <w:rPr>
                <w:rFonts w:ascii="Arial" w:hAnsi="Arial" w:cs="Arial"/>
                <w:sz w:val="16"/>
                <w:szCs w:val="16"/>
              </w:rPr>
              <w:t xml:space="preserve">$ 27 </w:t>
            </w:r>
          </w:p>
        </w:tc>
        <w:tc>
          <w:tcPr>
            <w:tcW w:w="715" w:type="pct"/>
            <w:tcBorders>
              <w:top w:val="nil"/>
              <w:left w:val="nil"/>
              <w:bottom w:val="single" w:sz="4" w:space="0" w:color="auto"/>
              <w:right w:val="single" w:sz="4" w:space="0" w:color="auto"/>
            </w:tcBorders>
            <w:noWrap/>
            <w:vAlign w:val="center"/>
            <w:hideMark/>
          </w:tcPr>
          <w:p w14:paraId="021A105E" w14:textId="77777777" w:rsidR="001F24ED" w:rsidRDefault="001F24ED">
            <w:pPr>
              <w:jc w:val="right"/>
              <w:rPr>
                <w:rFonts w:ascii="Arial" w:hAnsi="Arial" w:cs="Arial"/>
                <w:color w:val="000000"/>
                <w:sz w:val="16"/>
                <w:szCs w:val="16"/>
              </w:rPr>
            </w:pPr>
            <w:r>
              <w:rPr>
                <w:rFonts w:ascii="Arial" w:hAnsi="Arial" w:cs="Arial"/>
                <w:sz w:val="16"/>
                <w:szCs w:val="16"/>
              </w:rPr>
              <w:t xml:space="preserve">$ 27 </w:t>
            </w:r>
          </w:p>
        </w:tc>
      </w:tr>
      <w:tr w:rsidR="001F24ED" w14:paraId="27AD450B" w14:textId="77777777" w:rsidTr="001F24ED">
        <w:trPr>
          <w:trHeight w:val="289"/>
        </w:trPr>
        <w:tc>
          <w:tcPr>
            <w:tcW w:w="241" w:type="pct"/>
            <w:tcBorders>
              <w:top w:val="nil"/>
              <w:left w:val="single" w:sz="4" w:space="0" w:color="auto"/>
              <w:bottom w:val="single" w:sz="4" w:space="0" w:color="auto"/>
              <w:right w:val="single" w:sz="4" w:space="0" w:color="auto"/>
            </w:tcBorders>
            <w:vAlign w:val="center"/>
            <w:hideMark/>
          </w:tcPr>
          <w:p w14:paraId="42AE98C8" w14:textId="77777777" w:rsidR="001F24ED" w:rsidRDefault="001F24ED">
            <w:pPr>
              <w:jc w:val="center"/>
              <w:rPr>
                <w:rFonts w:ascii="Arial" w:hAnsi="Arial" w:cs="Arial"/>
                <w:color w:val="000000"/>
                <w:sz w:val="16"/>
                <w:szCs w:val="16"/>
              </w:rPr>
            </w:pPr>
            <w:r>
              <w:rPr>
                <w:rFonts w:ascii="Arial" w:hAnsi="Arial" w:cs="Arial"/>
                <w:sz w:val="16"/>
                <w:szCs w:val="16"/>
              </w:rPr>
              <w:t>2</w:t>
            </w:r>
          </w:p>
        </w:tc>
        <w:tc>
          <w:tcPr>
            <w:tcW w:w="1896" w:type="pct"/>
            <w:tcBorders>
              <w:top w:val="nil"/>
              <w:left w:val="nil"/>
              <w:bottom w:val="single" w:sz="4" w:space="0" w:color="auto"/>
              <w:right w:val="single" w:sz="4" w:space="0" w:color="auto"/>
            </w:tcBorders>
            <w:vAlign w:val="center"/>
            <w:hideMark/>
          </w:tcPr>
          <w:p w14:paraId="3F2807B9" w14:textId="77777777" w:rsidR="001F24ED" w:rsidRDefault="001F24ED">
            <w:pPr>
              <w:rPr>
                <w:rFonts w:ascii="Arial" w:hAnsi="Arial" w:cs="Arial"/>
                <w:color w:val="000000"/>
                <w:sz w:val="16"/>
                <w:szCs w:val="16"/>
              </w:rPr>
            </w:pPr>
            <w:r>
              <w:rPr>
                <w:rFonts w:ascii="Arial" w:hAnsi="Arial" w:cs="Arial"/>
                <w:sz w:val="16"/>
                <w:szCs w:val="16"/>
              </w:rPr>
              <w:t xml:space="preserve">Clara </w:t>
            </w:r>
            <w:proofErr w:type="spellStart"/>
            <w:r>
              <w:rPr>
                <w:rFonts w:ascii="Arial" w:hAnsi="Arial" w:cs="Arial"/>
                <w:sz w:val="16"/>
                <w:szCs w:val="16"/>
              </w:rPr>
              <w:t>Ines</w:t>
            </w:r>
            <w:proofErr w:type="spellEnd"/>
            <w:r>
              <w:rPr>
                <w:rFonts w:ascii="Arial" w:hAnsi="Arial" w:cs="Arial"/>
                <w:sz w:val="16"/>
                <w:szCs w:val="16"/>
              </w:rPr>
              <w:t xml:space="preserve"> Lozano Gómez </w:t>
            </w:r>
          </w:p>
        </w:tc>
        <w:tc>
          <w:tcPr>
            <w:tcW w:w="704" w:type="pct"/>
            <w:tcBorders>
              <w:top w:val="nil"/>
              <w:left w:val="nil"/>
              <w:bottom w:val="single" w:sz="4" w:space="0" w:color="auto"/>
              <w:right w:val="single" w:sz="4" w:space="0" w:color="auto"/>
            </w:tcBorders>
            <w:vAlign w:val="center"/>
            <w:hideMark/>
          </w:tcPr>
          <w:p w14:paraId="7DBD2097" w14:textId="77777777" w:rsidR="001F24ED" w:rsidRDefault="001F24ED">
            <w:pPr>
              <w:jc w:val="center"/>
              <w:rPr>
                <w:rFonts w:ascii="Arial" w:hAnsi="Arial" w:cs="Arial"/>
                <w:color w:val="000000"/>
                <w:sz w:val="16"/>
                <w:szCs w:val="16"/>
              </w:rPr>
            </w:pPr>
            <w:r>
              <w:rPr>
                <w:rFonts w:ascii="Arial" w:hAnsi="Arial" w:cs="Arial"/>
                <w:sz w:val="16"/>
                <w:szCs w:val="16"/>
              </w:rPr>
              <w:t>018 de 2018</w:t>
            </w:r>
          </w:p>
        </w:tc>
        <w:tc>
          <w:tcPr>
            <w:tcW w:w="701" w:type="pct"/>
            <w:tcBorders>
              <w:top w:val="nil"/>
              <w:left w:val="nil"/>
              <w:bottom w:val="single" w:sz="4" w:space="0" w:color="auto"/>
              <w:right w:val="single" w:sz="4" w:space="0" w:color="auto"/>
            </w:tcBorders>
            <w:noWrap/>
            <w:vAlign w:val="center"/>
            <w:hideMark/>
          </w:tcPr>
          <w:p w14:paraId="5B983FA2" w14:textId="77777777" w:rsidR="001F24ED" w:rsidRDefault="001F24ED">
            <w:pPr>
              <w:jc w:val="right"/>
              <w:rPr>
                <w:rFonts w:ascii="Arial" w:hAnsi="Arial" w:cs="Arial"/>
                <w:color w:val="000000"/>
                <w:sz w:val="16"/>
                <w:szCs w:val="16"/>
              </w:rPr>
            </w:pPr>
            <w:r>
              <w:rPr>
                <w:rFonts w:ascii="Arial" w:hAnsi="Arial" w:cs="Arial"/>
                <w:sz w:val="16"/>
                <w:szCs w:val="16"/>
              </w:rPr>
              <w:t xml:space="preserve">$ 110 </w:t>
            </w:r>
          </w:p>
        </w:tc>
        <w:tc>
          <w:tcPr>
            <w:tcW w:w="743" w:type="pct"/>
            <w:tcBorders>
              <w:top w:val="nil"/>
              <w:left w:val="nil"/>
              <w:bottom w:val="single" w:sz="4" w:space="0" w:color="auto"/>
              <w:right w:val="single" w:sz="4" w:space="0" w:color="auto"/>
            </w:tcBorders>
            <w:noWrap/>
            <w:vAlign w:val="center"/>
            <w:hideMark/>
          </w:tcPr>
          <w:p w14:paraId="7ACE1093" w14:textId="77777777" w:rsidR="001F24ED" w:rsidRDefault="001F24ED">
            <w:pPr>
              <w:jc w:val="right"/>
              <w:rPr>
                <w:rFonts w:ascii="Arial" w:hAnsi="Arial" w:cs="Arial"/>
                <w:color w:val="000000"/>
                <w:sz w:val="16"/>
                <w:szCs w:val="16"/>
              </w:rPr>
            </w:pPr>
            <w:r>
              <w:rPr>
                <w:rFonts w:ascii="Arial" w:hAnsi="Arial" w:cs="Arial"/>
                <w:sz w:val="16"/>
                <w:szCs w:val="16"/>
              </w:rPr>
              <w:t xml:space="preserve">$ 43 </w:t>
            </w:r>
          </w:p>
        </w:tc>
        <w:tc>
          <w:tcPr>
            <w:tcW w:w="715" w:type="pct"/>
            <w:tcBorders>
              <w:top w:val="nil"/>
              <w:left w:val="nil"/>
              <w:bottom w:val="single" w:sz="4" w:space="0" w:color="auto"/>
              <w:right w:val="single" w:sz="4" w:space="0" w:color="auto"/>
            </w:tcBorders>
            <w:noWrap/>
            <w:vAlign w:val="center"/>
            <w:hideMark/>
          </w:tcPr>
          <w:p w14:paraId="4E5ED8BA" w14:textId="77777777" w:rsidR="001F24ED" w:rsidRDefault="001F24ED">
            <w:pPr>
              <w:jc w:val="right"/>
              <w:rPr>
                <w:rFonts w:ascii="Arial" w:hAnsi="Arial" w:cs="Arial"/>
                <w:color w:val="000000"/>
                <w:sz w:val="16"/>
                <w:szCs w:val="16"/>
              </w:rPr>
            </w:pPr>
            <w:r>
              <w:rPr>
                <w:rFonts w:ascii="Arial" w:hAnsi="Arial" w:cs="Arial"/>
                <w:sz w:val="16"/>
                <w:szCs w:val="16"/>
              </w:rPr>
              <w:t xml:space="preserve">$ 43 </w:t>
            </w:r>
          </w:p>
        </w:tc>
      </w:tr>
      <w:tr w:rsidR="001F24ED" w14:paraId="533605C3" w14:textId="77777777" w:rsidTr="001F24ED">
        <w:trPr>
          <w:trHeight w:val="265"/>
        </w:trPr>
        <w:tc>
          <w:tcPr>
            <w:tcW w:w="241" w:type="pct"/>
            <w:tcBorders>
              <w:top w:val="nil"/>
              <w:left w:val="single" w:sz="4" w:space="0" w:color="auto"/>
              <w:bottom w:val="single" w:sz="4" w:space="0" w:color="auto"/>
              <w:right w:val="single" w:sz="4" w:space="0" w:color="auto"/>
            </w:tcBorders>
            <w:vAlign w:val="center"/>
            <w:hideMark/>
          </w:tcPr>
          <w:p w14:paraId="3D3E78EF" w14:textId="77777777" w:rsidR="001F24ED" w:rsidRDefault="001F24ED">
            <w:pPr>
              <w:jc w:val="center"/>
              <w:rPr>
                <w:rFonts w:ascii="Arial" w:hAnsi="Arial" w:cs="Arial"/>
                <w:color w:val="000000"/>
                <w:sz w:val="16"/>
                <w:szCs w:val="16"/>
              </w:rPr>
            </w:pPr>
            <w:r>
              <w:rPr>
                <w:rFonts w:ascii="Arial" w:hAnsi="Arial" w:cs="Arial"/>
                <w:sz w:val="16"/>
                <w:szCs w:val="16"/>
              </w:rPr>
              <w:t>3</w:t>
            </w:r>
          </w:p>
        </w:tc>
        <w:tc>
          <w:tcPr>
            <w:tcW w:w="1896" w:type="pct"/>
            <w:tcBorders>
              <w:top w:val="nil"/>
              <w:left w:val="nil"/>
              <w:bottom w:val="single" w:sz="4" w:space="0" w:color="auto"/>
              <w:right w:val="single" w:sz="4" w:space="0" w:color="auto"/>
            </w:tcBorders>
            <w:vAlign w:val="center"/>
            <w:hideMark/>
          </w:tcPr>
          <w:p w14:paraId="20B23CAC" w14:textId="77777777" w:rsidR="001F24ED" w:rsidRDefault="001F24ED">
            <w:pPr>
              <w:rPr>
                <w:rFonts w:ascii="Arial" w:hAnsi="Arial" w:cs="Arial"/>
                <w:color w:val="000000"/>
                <w:sz w:val="16"/>
                <w:szCs w:val="16"/>
              </w:rPr>
            </w:pPr>
            <w:r>
              <w:rPr>
                <w:rFonts w:ascii="Arial" w:hAnsi="Arial" w:cs="Arial"/>
                <w:sz w:val="16"/>
                <w:szCs w:val="16"/>
              </w:rPr>
              <w:t xml:space="preserve">Johanna </w:t>
            </w:r>
            <w:proofErr w:type="spellStart"/>
            <w:r>
              <w:rPr>
                <w:rFonts w:ascii="Arial" w:hAnsi="Arial" w:cs="Arial"/>
                <w:sz w:val="16"/>
                <w:szCs w:val="16"/>
              </w:rPr>
              <w:t>Mateus</w:t>
            </w:r>
            <w:proofErr w:type="spellEnd"/>
            <w:r>
              <w:rPr>
                <w:rFonts w:ascii="Arial" w:hAnsi="Arial" w:cs="Arial"/>
                <w:sz w:val="16"/>
                <w:szCs w:val="16"/>
              </w:rPr>
              <w:t xml:space="preserve"> Díaz </w:t>
            </w:r>
          </w:p>
        </w:tc>
        <w:tc>
          <w:tcPr>
            <w:tcW w:w="704" w:type="pct"/>
            <w:tcBorders>
              <w:top w:val="nil"/>
              <w:left w:val="nil"/>
              <w:bottom w:val="single" w:sz="4" w:space="0" w:color="auto"/>
              <w:right w:val="single" w:sz="4" w:space="0" w:color="auto"/>
            </w:tcBorders>
            <w:vAlign w:val="center"/>
            <w:hideMark/>
          </w:tcPr>
          <w:p w14:paraId="70CE4FC6" w14:textId="77777777" w:rsidR="001F24ED" w:rsidRDefault="001F24ED">
            <w:pPr>
              <w:jc w:val="center"/>
              <w:rPr>
                <w:rFonts w:ascii="Arial" w:hAnsi="Arial" w:cs="Arial"/>
                <w:color w:val="000000"/>
                <w:sz w:val="16"/>
                <w:szCs w:val="16"/>
              </w:rPr>
            </w:pPr>
            <w:r>
              <w:rPr>
                <w:rFonts w:ascii="Arial" w:hAnsi="Arial" w:cs="Arial"/>
                <w:sz w:val="16"/>
                <w:szCs w:val="16"/>
              </w:rPr>
              <w:t>019 de 2018</w:t>
            </w:r>
          </w:p>
        </w:tc>
        <w:tc>
          <w:tcPr>
            <w:tcW w:w="701" w:type="pct"/>
            <w:tcBorders>
              <w:top w:val="nil"/>
              <w:left w:val="nil"/>
              <w:bottom w:val="single" w:sz="4" w:space="0" w:color="auto"/>
              <w:right w:val="single" w:sz="4" w:space="0" w:color="auto"/>
            </w:tcBorders>
            <w:noWrap/>
            <w:vAlign w:val="center"/>
            <w:hideMark/>
          </w:tcPr>
          <w:p w14:paraId="35D74F19" w14:textId="77777777" w:rsidR="001F24ED" w:rsidRDefault="001F24ED">
            <w:pPr>
              <w:jc w:val="right"/>
              <w:rPr>
                <w:rFonts w:ascii="Arial" w:hAnsi="Arial" w:cs="Arial"/>
                <w:color w:val="000000"/>
                <w:sz w:val="16"/>
                <w:szCs w:val="16"/>
              </w:rPr>
            </w:pPr>
            <w:r>
              <w:rPr>
                <w:rFonts w:ascii="Arial" w:hAnsi="Arial" w:cs="Arial"/>
                <w:sz w:val="16"/>
                <w:szCs w:val="16"/>
              </w:rPr>
              <w:t xml:space="preserve">$ 167 </w:t>
            </w:r>
          </w:p>
        </w:tc>
        <w:tc>
          <w:tcPr>
            <w:tcW w:w="743" w:type="pct"/>
            <w:tcBorders>
              <w:top w:val="nil"/>
              <w:left w:val="nil"/>
              <w:bottom w:val="single" w:sz="4" w:space="0" w:color="auto"/>
              <w:right w:val="single" w:sz="4" w:space="0" w:color="auto"/>
            </w:tcBorders>
            <w:noWrap/>
            <w:vAlign w:val="center"/>
            <w:hideMark/>
          </w:tcPr>
          <w:p w14:paraId="200248C7" w14:textId="77777777" w:rsidR="001F24ED" w:rsidRDefault="001F24ED">
            <w:pPr>
              <w:jc w:val="right"/>
              <w:rPr>
                <w:rFonts w:ascii="Arial" w:hAnsi="Arial" w:cs="Arial"/>
                <w:color w:val="000000"/>
                <w:sz w:val="16"/>
                <w:szCs w:val="16"/>
              </w:rPr>
            </w:pPr>
            <w:r>
              <w:rPr>
                <w:rFonts w:ascii="Arial" w:hAnsi="Arial" w:cs="Arial"/>
                <w:sz w:val="16"/>
                <w:szCs w:val="16"/>
              </w:rPr>
              <w:t xml:space="preserve">$ 51 </w:t>
            </w:r>
          </w:p>
        </w:tc>
        <w:tc>
          <w:tcPr>
            <w:tcW w:w="715" w:type="pct"/>
            <w:tcBorders>
              <w:top w:val="nil"/>
              <w:left w:val="nil"/>
              <w:bottom w:val="single" w:sz="4" w:space="0" w:color="auto"/>
              <w:right w:val="single" w:sz="4" w:space="0" w:color="auto"/>
            </w:tcBorders>
            <w:noWrap/>
            <w:vAlign w:val="center"/>
            <w:hideMark/>
          </w:tcPr>
          <w:p w14:paraId="12AEB3D7" w14:textId="77777777" w:rsidR="001F24ED" w:rsidRDefault="001F24ED">
            <w:pPr>
              <w:jc w:val="right"/>
              <w:rPr>
                <w:rFonts w:ascii="Arial" w:hAnsi="Arial" w:cs="Arial"/>
                <w:color w:val="000000"/>
                <w:sz w:val="16"/>
                <w:szCs w:val="16"/>
              </w:rPr>
            </w:pPr>
            <w:r>
              <w:rPr>
                <w:rFonts w:ascii="Arial" w:hAnsi="Arial" w:cs="Arial"/>
                <w:sz w:val="16"/>
                <w:szCs w:val="16"/>
              </w:rPr>
              <w:t xml:space="preserve">$ 51 </w:t>
            </w:r>
          </w:p>
        </w:tc>
      </w:tr>
      <w:tr w:rsidR="001F24ED" w14:paraId="0A65FAF2" w14:textId="77777777" w:rsidTr="001F24ED">
        <w:trPr>
          <w:trHeight w:val="283"/>
        </w:trPr>
        <w:tc>
          <w:tcPr>
            <w:tcW w:w="241" w:type="pct"/>
            <w:tcBorders>
              <w:top w:val="nil"/>
              <w:left w:val="single" w:sz="4" w:space="0" w:color="auto"/>
              <w:bottom w:val="single" w:sz="4" w:space="0" w:color="auto"/>
              <w:right w:val="single" w:sz="4" w:space="0" w:color="auto"/>
            </w:tcBorders>
            <w:vAlign w:val="center"/>
            <w:hideMark/>
          </w:tcPr>
          <w:p w14:paraId="5A87EEB1" w14:textId="77777777" w:rsidR="001F24ED" w:rsidRDefault="001F24ED">
            <w:pPr>
              <w:jc w:val="center"/>
              <w:rPr>
                <w:rFonts w:ascii="Arial" w:hAnsi="Arial" w:cs="Arial"/>
                <w:color w:val="000000"/>
                <w:sz w:val="16"/>
                <w:szCs w:val="16"/>
              </w:rPr>
            </w:pPr>
            <w:r>
              <w:rPr>
                <w:rFonts w:ascii="Arial" w:hAnsi="Arial" w:cs="Arial"/>
                <w:sz w:val="16"/>
                <w:szCs w:val="16"/>
              </w:rPr>
              <w:t>4</w:t>
            </w:r>
          </w:p>
        </w:tc>
        <w:tc>
          <w:tcPr>
            <w:tcW w:w="1896" w:type="pct"/>
            <w:tcBorders>
              <w:top w:val="nil"/>
              <w:left w:val="nil"/>
              <w:bottom w:val="single" w:sz="4" w:space="0" w:color="auto"/>
              <w:right w:val="single" w:sz="4" w:space="0" w:color="auto"/>
            </w:tcBorders>
            <w:vAlign w:val="center"/>
            <w:hideMark/>
          </w:tcPr>
          <w:p w14:paraId="2BDCE8E0" w14:textId="77777777" w:rsidR="001F24ED" w:rsidRDefault="001F24ED">
            <w:pPr>
              <w:rPr>
                <w:rFonts w:ascii="Arial" w:hAnsi="Arial" w:cs="Arial"/>
                <w:color w:val="000000"/>
                <w:sz w:val="16"/>
                <w:szCs w:val="16"/>
              </w:rPr>
            </w:pPr>
            <w:r>
              <w:rPr>
                <w:rFonts w:ascii="Arial" w:hAnsi="Arial" w:cs="Arial"/>
                <w:sz w:val="16"/>
                <w:szCs w:val="16"/>
              </w:rPr>
              <w:t xml:space="preserve">David Negrete </w:t>
            </w:r>
          </w:p>
        </w:tc>
        <w:tc>
          <w:tcPr>
            <w:tcW w:w="704" w:type="pct"/>
            <w:tcBorders>
              <w:top w:val="nil"/>
              <w:left w:val="nil"/>
              <w:bottom w:val="single" w:sz="4" w:space="0" w:color="auto"/>
              <w:right w:val="single" w:sz="4" w:space="0" w:color="auto"/>
            </w:tcBorders>
            <w:vAlign w:val="center"/>
            <w:hideMark/>
          </w:tcPr>
          <w:p w14:paraId="54DE946B" w14:textId="77777777" w:rsidR="001F24ED" w:rsidRDefault="001F24ED">
            <w:pPr>
              <w:jc w:val="center"/>
              <w:rPr>
                <w:rFonts w:ascii="Arial" w:hAnsi="Arial" w:cs="Arial"/>
                <w:color w:val="000000"/>
                <w:sz w:val="16"/>
                <w:szCs w:val="16"/>
              </w:rPr>
            </w:pPr>
            <w:r>
              <w:rPr>
                <w:rFonts w:ascii="Arial" w:hAnsi="Arial" w:cs="Arial"/>
                <w:sz w:val="16"/>
                <w:szCs w:val="16"/>
              </w:rPr>
              <w:t>020 de 2018</w:t>
            </w:r>
          </w:p>
        </w:tc>
        <w:tc>
          <w:tcPr>
            <w:tcW w:w="701" w:type="pct"/>
            <w:tcBorders>
              <w:top w:val="nil"/>
              <w:left w:val="nil"/>
              <w:bottom w:val="single" w:sz="4" w:space="0" w:color="auto"/>
              <w:right w:val="single" w:sz="4" w:space="0" w:color="auto"/>
            </w:tcBorders>
            <w:noWrap/>
            <w:vAlign w:val="center"/>
            <w:hideMark/>
          </w:tcPr>
          <w:p w14:paraId="79F0ABCD" w14:textId="77777777" w:rsidR="001F24ED" w:rsidRDefault="001F24ED">
            <w:pPr>
              <w:jc w:val="right"/>
              <w:rPr>
                <w:rFonts w:ascii="Arial" w:hAnsi="Arial" w:cs="Arial"/>
                <w:color w:val="000000"/>
                <w:sz w:val="16"/>
                <w:szCs w:val="16"/>
              </w:rPr>
            </w:pPr>
            <w:r>
              <w:rPr>
                <w:rFonts w:ascii="Arial" w:hAnsi="Arial" w:cs="Arial"/>
                <w:sz w:val="16"/>
                <w:szCs w:val="16"/>
              </w:rPr>
              <w:t xml:space="preserve">$ 157 </w:t>
            </w:r>
          </w:p>
        </w:tc>
        <w:tc>
          <w:tcPr>
            <w:tcW w:w="743" w:type="pct"/>
            <w:tcBorders>
              <w:top w:val="nil"/>
              <w:left w:val="nil"/>
              <w:bottom w:val="single" w:sz="4" w:space="0" w:color="auto"/>
              <w:right w:val="single" w:sz="4" w:space="0" w:color="auto"/>
            </w:tcBorders>
            <w:noWrap/>
            <w:vAlign w:val="center"/>
            <w:hideMark/>
          </w:tcPr>
          <w:p w14:paraId="20FBDCFF" w14:textId="77777777" w:rsidR="001F24ED" w:rsidRDefault="001F24ED">
            <w:pPr>
              <w:jc w:val="right"/>
              <w:rPr>
                <w:rFonts w:ascii="Arial" w:hAnsi="Arial" w:cs="Arial"/>
                <w:color w:val="000000"/>
                <w:sz w:val="16"/>
                <w:szCs w:val="16"/>
              </w:rPr>
            </w:pPr>
            <w:r>
              <w:rPr>
                <w:rFonts w:ascii="Arial" w:hAnsi="Arial" w:cs="Arial"/>
                <w:sz w:val="16"/>
                <w:szCs w:val="16"/>
              </w:rPr>
              <w:t xml:space="preserve">$ 62 </w:t>
            </w:r>
          </w:p>
        </w:tc>
        <w:tc>
          <w:tcPr>
            <w:tcW w:w="715" w:type="pct"/>
            <w:tcBorders>
              <w:top w:val="nil"/>
              <w:left w:val="nil"/>
              <w:bottom w:val="single" w:sz="4" w:space="0" w:color="auto"/>
              <w:right w:val="single" w:sz="4" w:space="0" w:color="auto"/>
            </w:tcBorders>
            <w:noWrap/>
            <w:vAlign w:val="center"/>
            <w:hideMark/>
          </w:tcPr>
          <w:p w14:paraId="7959F056" w14:textId="77777777" w:rsidR="001F24ED" w:rsidRDefault="001F24ED">
            <w:pPr>
              <w:jc w:val="right"/>
              <w:rPr>
                <w:rFonts w:ascii="Arial" w:hAnsi="Arial" w:cs="Arial"/>
                <w:color w:val="000000"/>
                <w:sz w:val="16"/>
                <w:szCs w:val="16"/>
              </w:rPr>
            </w:pPr>
            <w:r>
              <w:rPr>
                <w:rFonts w:ascii="Arial" w:hAnsi="Arial" w:cs="Arial"/>
                <w:sz w:val="16"/>
                <w:szCs w:val="16"/>
              </w:rPr>
              <w:t xml:space="preserve">$ 62 </w:t>
            </w:r>
          </w:p>
        </w:tc>
      </w:tr>
      <w:tr w:rsidR="001F24ED" w14:paraId="4E4A11E7" w14:textId="77777777" w:rsidTr="001F24ED">
        <w:trPr>
          <w:trHeight w:val="330"/>
        </w:trPr>
        <w:tc>
          <w:tcPr>
            <w:tcW w:w="241" w:type="pct"/>
            <w:tcBorders>
              <w:top w:val="nil"/>
              <w:left w:val="single" w:sz="4" w:space="0" w:color="auto"/>
              <w:bottom w:val="single" w:sz="4" w:space="0" w:color="auto"/>
              <w:right w:val="single" w:sz="4" w:space="0" w:color="auto"/>
            </w:tcBorders>
            <w:vAlign w:val="center"/>
            <w:hideMark/>
          </w:tcPr>
          <w:p w14:paraId="0558D861" w14:textId="77777777" w:rsidR="001F24ED" w:rsidRDefault="001F24ED">
            <w:pPr>
              <w:jc w:val="center"/>
              <w:rPr>
                <w:rFonts w:ascii="Arial" w:hAnsi="Arial" w:cs="Arial"/>
                <w:color w:val="000000"/>
                <w:sz w:val="16"/>
                <w:szCs w:val="16"/>
              </w:rPr>
            </w:pPr>
            <w:r>
              <w:rPr>
                <w:rFonts w:ascii="Arial" w:hAnsi="Arial" w:cs="Arial"/>
                <w:sz w:val="16"/>
                <w:szCs w:val="16"/>
              </w:rPr>
              <w:t>5</w:t>
            </w:r>
          </w:p>
        </w:tc>
        <w:tc>
          <w:tcPr>
            <w:tcW w:w="1896" w:type="pct"/>
            <w:tcBorders>
              <w:top w:val="nil"/>
              <w:left w:val="nil"/>
              <w:bottom w:val="single" w:sz="4" w:space="0" w:color="auto"/>
              <w:right w:val="single" w:sz="4" w:space="0" w:color="auto"/>
            </w:tcBorders>
            <w:vAlign w:val="center"/>
            <w:hideMark/>
          </w:tcPr>
          <w:p w14:paraId="3C71B923" w14:textId="77777777" w:rsidR="001F24ED" w:rsidRDefault="001F24ED">
            <w:pPr>
              <w:rPr>
                <w:rFonts w:ascii="Arial" w:hAnsi="Arial" w:cs="Arial"/>
                <w:color w:val="000000"/>
                <w:sz w:val="16"/>
                <w:szCs w:val="16"/>
              </w:rPr>
            </w:pPr>
            <w:r>
              <w:rPr>
                <w:rFonts w:ascii="Arial" w:hAnsi="Arial" w:cs="Arial"/>
                <w:sz w:val="16"/>
                <w:szCs w:val="16"/>
              </w:rPr>
              <w:t>Margarita María Romero Pérez</w:t>
            </w:r>
          </w:p>
        </w:tc>
        <w:tc>
          <w:tcPr>
            <w:tcW w:w="704" w:type="pct"/>
            <w:tcBorders>
              <w:top w:val="nil"/>
              <w:left w:val="nil"/>
              <w:bottom w:val="single" w:sz="4" w:space="0" w:color="auto"/>
              <w:right w:val="single" w:sz="4" w:space="0" w:color="auto"/>
            </w:tcBorders>
            <w:vAlign w:val="center"/>
            <w:hideMark/>
          </w:tcPr>
          <w:p w14:paraId="71D83A85" w14:textId="77777777" w:rsidR="001F24ED" w:rsidRDefault="001F24ED">
            <w:pPr>
              <w:jc w:val="center"/>
              <w:rPr>
                <w:rFonts w:ascii="Arial" w:hAnsi="Arial" w:cs="Arial"/>
                <w:color w:val="000000"/>
                <w:sz w:val="16"/>
                <w:szCs w:val="16"/>
              </w:rPr>
            </w:pPr>
            <w:r>
              <w:rPr>
                <w:rFonts w:ascii="Arial" w:hAnsi="Arial" w:cs="Arial"/>
                <w:sz w:val="16"/>
                <w:szCs w:val="16"/>
              </w:rPr>
              <w:t>021 de 2018</w:t>
            </w:r>
          </w:p>
        </w:tc>
        <w:tc>
          <w:tcPr>
            <w:tcW w:w="701" w:type="pct"/>
            <w:tcBorders>
              <w:top w:val="nil"/>
              <w:left w:val="nil"/>
              <w:bottom w:val="single" w:sz="4" w:space="0" w:color="auto"/>
              <w:right w:val="single" w:sz="4" w:space="0" w:color="auto"/>
            </w:tcBorders>
            <w:noWrap/>
            <w:vAlign w:val="center"/>
            <w:hideMark/>
          </w:tcPr>
          <w:p w14:paraId="0F49F31C" w14:textId="77777777" w:rsidR="001F24ED" w:rsidRDefault="001F24ED">
            <w:pPr>
              <w:jc w:val="right"/>
              <w:rPr>
                <w:rFonts w:ascii="Arial" w:hAnsi="Arial" w:cs="Arial"/>
                <w:color w:val="000000"/>
                <w:sz w:val="16"/>
                <w:szCs w:val="16"/>
              </w:rPr>
            </w:pPr>
            <w:r>
              <w:rPr>
                <w:rFonts w:ascii="Arial" w:hAnsi="Arial" w:cs="Arial"/>
                <w:sz w:val="16"/>
                <w:szCs w:val="16"/>
              </w:rPr>
              <w:t xml:space="preserve">$ 55 </w:t>
            </w:r>
          </w:p>
        </w:tc>
        <w:tc>
          <w:tcPr>
            <w:tcW w:w="743" w:type="pct"/>
            <w:tcBorders>
              <w:top w:val="nil"/>
              <w:left w:val="nil"/>
              <w:bottom w:val="single" w:sz="4" w:space="0" w:color="auto"/>
              <w:right w:val="single" w:sz="4" w:space="0" w:color="auto"/>
            </w:tcBorders>
            <w:noWrap/>
            <w:vAlign w:val="center"/>
            <w:hideMark/>
          </w:tcPr>
          <w:p w14:paraId="23003724" w14:textId="77777777" w:rsidR="001F24ED" w:rsidRDefault="001F24ED">
            <w:pPr>
              <w:jc w:val="right"/>
              <w:rPr>
                <w:rFonts w:ascii="Arial" w:hAnsi="Arial" w:cs="Arial"/>
                <w:color w:val="000000"/>
                <w:sz w:val="16"/>
                <w:szCs w:val="16"/>
              </w:rPr>
            </w:pPr>
            <w:r>
              <w:rPr>
                <w:rFonts w:ascii="Arial" w:hAnsi="Arial" w:cs="Arial"/>
                <w:sz w:val="16"/>
                <w:szCs w:val="16"/>
              </w:rPr>
              <w:t xml:space="preserve">$ 19 </w:t>
            </w:r>
          </w:p>
        </w:tc>
        <w:tc>
          <w:tcPr>
            <w:tcW w:w="715" w:type="pct"/>
            <w:tcBorders>
              <w:top w:val="nil"/>
              <w:left w:val="nil"/>
              <w:bottom w:val="single" w:sz="4" w:space="0" w:color="auto"/>
              <w:right w:val="single" w:sz="4" w:space="0" w:color="auto"/>
            </w:tcBorders>
            <w:noWrap/>
            <w:vAlign w:val="center"/>
            <w:hideMark/>
          </w:tcPr>
          <w:p w14:paraId="5A501BDF" w14:textId="77777777" w:rsidR="001F24ED" w:rsidRDefault="001F24ED">
            <w:pPr>
              <w:jc w:val="right"/>
              <w:rPr>
                <w:rFonts w:ascii="Arial" w:hAnsi="Arial" w:cs="Arial"/>
                <w:color w:val="000000"/>
                <w:sz w:val="16"/>
                <w:szCs w:val="16"/>
              </w:rPr>
            </w:pPr>
            <w:r>
              <w:rPr>
                <w:rFonts w:ascii="Arial" w:hAnsi="Arial" w:cs="Arial"/>
                <w:sz w:val="16"/>
                <w:szCs w:val="16"/>
              </w:rPr>
              <w:t xml:space="preserve">$ 19 </w:t>
            </w:r>
          </w:p>
        </w:tc>
      </w:tr>
      <w:tr w:rsidR="001F24ED" w14:paraId="47D2EE2E" w14:textId="77777777" w:rsidTr="001F24ED">
        <w:trPr>
          <w:trHeight w:val="330"/>
        </w:trPr>
        <w:tc>
          <w:tcPr>
            <w:tcW w:w="241" w:type="pct"/>
            <w:tcBorders>
              <w:top w:val="nil"/>
              <w:left w:val="single" w:sz="4" w:space="0" w:color="auto"/>
              <w:bottom w:val="single" w:sz="4" w:space="0" w:color="auto"/>
              <w:right w:val="single" w:sz="4" w:space="0" w:color="auto"/>
            </w:tcBorders>
            <w:vAlign w:val="center"/>
            <w:hideMark/>
          </w:tcPr>
          <w:p w14:paraId="0A9DA73C" w14:textId="77777777" w:rsidR="001F24ED" w:rsidRDefault="001F24ED">
            <w:pPr>
              <w:jc w:val="center"/>
              <w:rPr>
                <w:rFonts w:ascii="Arial" w:hAnsi="Arial" w:cs="Arial"/>
                <w:color w:val="000000"/>
                <w:sz w:val="16"/>
                <w:szCs w:val="16"/>
              </w:rPr>
            </w:pPr>
            <w:r>
              <w:rPr>
                <w:rFonts w:ascii="Arial" w:hAnsi="Arial" w:cs="Arial"/>
                <w:sz w:val="16"/>
                <w:szCs w:val="16"/>
              </w:rPr>
              <w:t>6</w:t>
            </w:r>
          </w:p>
        </w:tc>
        <w:tc>
          <w:tcPr>
            <w:tcW w:w="1896" w:type="pct"/>
            <w:tcBorders>
              <w:top w:val="nil"/>
              <w:left w:val="nil"/>
              <w:bottom w:val="single" w:sz="4" w:space="0" w:color="auto"/>
              <w:right w:val="single" w:sz="4" w:space="0" w:color="auto"/>
            </w:tcBorders>
            <w:vAlign w:val="center"/>
            <w:hideMark/>
          </w:tcPr>
          <w:p w14:paraId="5D2553E1" w14:textId="77777777" w:rsidR="001F24ED" w:rsidRDefault="001F24ED">
            <w:pPr>
              <w:rPr>
                <w:rFonts w:ascii="Arial" w:hAnsi="Arial" w:cs="Arial"/>
                <w:color w:val="000000"/>
                <w:sz w:val="16"/>
                <w:szCs w:val="16"/>
              </w:rPr>
            </w:pPr>
            <w:r>
              <w:rPr>
                <w:rFonts w:ascii="Arial" w:hAnsi="Arial" w:cs="Arial"/>
                <w:sz w:val="16"/>
                <w:szCs w:val="16"/>
              </w:rPr>
              <w:t xml:space="preserve">Edna </w:t>
            </w:r>
            <w:proofErr w:type="spellStart"/>
            <w:r>
              <w:rPr>
                <w:rFonts w:ascii="Arial" w:hAnsi="Arial" w:cs="Arial"/>
                <w:sz w:val="16"/>
                <w:szCs w:val="16"/>
              </w:rPr>
              <w:t>Yurany</w:t>
            </w:r>
            <w:proofErr w:type="spellEnd"/>
            <w:r>
              <w:rPr>
                <w:rFonts w:ascii="Arial" w:hAnsi="Arial" w:cs="Arial"/>
                <w:sz w:val="16"/>
                <w:szCs w:val="16"/>
              </w:rPr>
              <w:t xml:space="preserve"> Puerto </w:t>
            </w:r>
            <w:proofErr w:type="spellStart"/>
            <w:r>
              <w:rPr>
                <w:rFonts w:ascii="Arial" w:hAnsi="Arial" w:cs="Arial"/>
                <w:sz w:val="16"/>
                <w:szCs w:val="16"/>
              </w:rPr>
              <w:t>Santamaria</w:t>
            </w:r>
            <w:proofErr w:type="spellEnd"/>
          </w:p>
        </w:tc>
        <w:tc>
          <w:tcPr>
            <w:tcW w:w="704" w:type="pct"/>
            <w:tcBorders>
              <w:top w:val="nil"/>
              <w:left w:val="nil"/>
              <w:bottom w:val="single" w:sz="4" w:space="0" w:color="auto"/>
              <w:right w:val="single" w:sz="4" w:space="0" w:color="auto"/>
            </w:tcBorders>
            <w:vAlign w:val="center"/>
            <w:hideMark/>
          </w:tcPr>
          <w:p w14:paraId="7C0FC995" w14:textId="77777777" w:rsidR="001F24ED" w:rsidRDefault="001F24ED">
            <w:pPr>
              <w:jc w:val="center"/>
              <w:rPr>
                <w:rFonts w:ascii="Arial" w:hAnsi="Arial" w:cs="Arial"/>
                <w:color w:val="000000"/>
                <w:sz w:val="16"/>
                <w:szCs w:val="16"/>
              </w:rPr>
            </w:pPr>
            <w:r>
              <w:rPr>
                <w:rFonts w:ascii="Arial" w:hAnsi="Arial" w:cs="Arial"/>
                <w:sz w:val="16"/>
                <w:szCs w:val="16"/>
              </w:rPr>
              <w:t>022 de 2018</w:t>
            </w:r>
          </w:p>
        </w:tc>
        <w:tc>
          <w:tcPr>
            <w:tcW w:w="701" w:type="pct"/>
            <w:tcBorders>
              <w:top w:val="nil"/>
              <w:left w:val="nil"/>
              <w:bottom w:val="single" w:sz="4" w:space="0" w:color="auto"/>
              <w:right w:val="single" w:sz="4" w:space="0" w:color="auto"/>
            </w:tcBorders>
            <w:noWrap/>
            <w:vAlign w:val="center"/>
            <w:hideMark/>
          </w:tcPr>
          <w:p w14:paraId="04B55A16" w14:textId="77777777" w:rsidR="001F24ED" w:rsidRDefault="001F24ED">
            <w:pPr>
              <w:jc w:val="right"/>
              <w:rPr>
                <w:rFonts w:ascii="Arial" w:hAnsi="Arial" w:cs="Arial"/>
                <w:color w:val="000000"/>
                <w:sz w:val="16"/>
                <w:szCs w:val="16"/>
              </w:rPr>
            </w:pPr>
            <w:r>
              <w:rPr>
                <w:rFonts w:ascii="Arial" w:hAnsi="Arial" w:cs="Arial"/>
                <w:sz w:val="16"/>
                <w:szCs w:val="16"/>
              </w:rPr>
              <w:t xml:space="preserve">$ 104 </w:t>
            </w:r>
          </w:p>
        </w:tc>
        <w:tc>
          <w:tcPr>
            <w:tcW w:w="743" w:type="pct"/>
            <w:tcBorders>
              <w:top w:val="nil"/>
              <w:left w:val="nil"/>
              <w:bottom w:val="single" w:sz="4" w:space="0" w:color="auto"/>
              <w:right w:val="single" w:sz="4" w:space="0" w:color="auto"/>
            </w:tcBorders>
            <w:noWrap/>
            <w:vAlign w:val="center"/>
            <w:hideMark/>
          </w:tcPr>
          <w:p w14:paraId="3C4DA255" w14:textId="77777777" w:rsidR="001F24ED" w:rsidRDefault="001F24ED">
            <w:pPr>
              <w:jc w:val="right"/>
              <w:rPr>
                <w:rFonts w:ascii="Arial" w:hAnsi="Arial" w:cs="Arial"/>
                <w:color w:val="000000"/>
                <w:sz w:val="16"/>
                <w:szCs w:val="16"/>
              </w:rPr>
            </w:pPr>
            <w:r>
              <w:rPr>
                <w:rFonts w:ascii="Arial" w:hAnsi="Arial" w:cs="Arial"/>
                <w:sz w:val="16"/>
                <w:szCs w:val="16"/>
              </w:rPr>
              <w:t xml:space="preserve">$ 41 </w:t>
            </w:r>
          </w:p>
        </w:tc>
        <w:tc>
          <w:tcPr>
            <w:tcW w:w="715" w:type="pct"/>
            <w:tcBorders>
              <w:top w:val="nil"/>
              <w:left w:val="nil"/>
              <w:bottom w:val="single" w:sz="4" w:space="0" w:color="auto"/>
              <w:right w:val="single" w:sz="4" w:space="0" w:color="auto"/>
            </w:tcBorders>
            <w:noWrap/>
            <w:vAlign w:val="center"/>
            <w:hideMark/>
          </w:tcPr>
          <w:p w14:paraId="09597465" w14:textId="77777777" w:rsidR="001F24ED" w:rsidRDefault="001F24ED">
            <w:pPr>
              <w:jc w:val="right"/>
              <w:rPr>
                <w:rFonts w:ascii="Arial" w:hAnsi="Arial" w:cs="Arial"/>
                <w:color w:val="000000"/>
                <w:sz w:val="16"/>
                <w:szCs w:val="16"/>
              </w:rPr>
            </w:pPr>
            <w:r>
              <w:rPr>
                <w:rFonts w:ascii="Arial" w:hAnsi="Arial" w:cs="Arial"/>
                <w:sz w:val="16"/>
                <w:szCs w:val="16"/>
              </w:rPr>
              <w:t xml:space="preserve">$ 41 </w:t>
            </w:r>
          </w:p>
        </w:tc>
      </w:tr>
      <w:tr w:rsidR="001F24ED" w14:paraId="5CAA127D" w14:textId="77777777" w:rsidTr="001F24ED">
        <w:trPr>
          <w:trHeight w:val="278"/>
        </w:trPr>
        <w:tc>
          <w:tcPr>
            <w:tcW w:w="241" w:type="pct"/>
            <w:tcBorders>
              <w:top w:val="nil"/>
              <w:left w:val="single" w:sz="4" w:space="0" w:color="auto"/>
              <w:bottom w:val="single" w:sz="4" w:space="0" w:color="auto"/>
              <w:right w:val="single" w:sz="4" w:space="0" w:color="auto"/>
            </w:tcBorders>
            <w:vAlign w:val="center"/>
            <w:hideMark/>
          </w:tcPr>
          <w:p w14:paraId="020829FD" w14:textId="77777777" w:rsidR="001F24ED" w:rsidRDefault="001F24ED">
            <w:pPr>
              <w:jc w:val="center"/>
              <w:rPr>
                <w:rFonts w:ascii="Arial" w:hAnsi="Arial" w:cs="Arial"/>
                <w:color w:val="000000"/>
                <w:sz w:val="16"/>
                <w:szCs w:val="16"/>
              </w:rPr>
            </w:pPr>
            <w:r>
              <w:rPr>
                <w:rFonts w:ascii="Arial" w:hAnsi="Arial" w:cs="Arial"/>
                <w:sz w:val="16"/>
                <w:szCs w:val="16"/>
              </w:rPr>
              <w:t>7</w:t>
            </w:r>
          </w:p>
        </w:tc>
        <w:tc>
          <w:tcPr>
            <w:tcW w:w="1896" w:type="pct"/>
            <w:tcBorders>
              <w:top w:val="nil"/>
              <w:left w:val="nil"/>
              <w:bottom w:val="single" w:sz="4" w:space="0" w:color="auto"/>
              <w:right w:val="single" w:sz="4" w:space="0" w:color="auto"/>
            </w:tcBorders>
            <w:vAlign w:val="center"/>
            <w:hideMark/>
          </w:tcPr>
          <w:p w14:paraId="0E3F8922" w14:textId="77777777" w:rsidR="001F24ED" w:rsidRDefault="001F24ED">
            <w:pPr>
              <w:rPr>
                <w:rFonts w:ascii="Arial" w:hAnsi="Arial" w:cs="Arial"/>
                <w:color w:val="000000"/>
                <w:sz w:val="16"/>
                <w:szCs w:val="16"/>
              </w:rPr>
            </w:pPr>
            <w:r>
              <w:rPr>
                <w:rFonts w:ascii="Arial" w:hAnsi="Arial" w:cs="Arial"/>
                <w:sz w:val="16"/>
                <w:szCs w:val="16"/>
              </w:rPr>
              <w:t xml:space="preserve">Ana Isabel Berrio Clavijo </w:t>
            </w:r>
          </w:p>
        </w:tc>
        <w:tc>
          <w:tcPr>
            <w:tcW w:w="704" w:type="pct"/>
            <w:tcBorders>
              <w:top w:val="nil"/>
              <w:left w:val="nil"/>
              <w:bottom w:val="single" w:sz="4" w:space="0" w:color="auto"/>
              <w:right w:val="single" w:sz="4" w:space="0" w:color="auto"/>
            </w:tcBorders>
            <w:vAlign w:val="center"/>
            <w:hideMark/>
          </w:tcPr>
          <w:p w14:paraId="367C9600" w14:textId="77777777" w:rsidR="001F24ED" w:rsidRDefault="001F24ED">
            <w:pPr>
              <w:jc w:val="center"/>
              <w:rPr>
                <w:rFonts w:ascii="Arial" w:hAnsi="Arial" w:cs="Arial"/>
                <w:color w:val="000000"/>
                <w:sz w:val="16"/>
                <w:szCs w:val="16"/>
              </w:rPr>
            </w:pPr>
            <w:r>
              <w:rPr>
                <w:rFonts w:ascii="Arial" w:hAnsi="Arial" w:cs="Arial"/>
                <w:sz w:val="16"/>
                <w:szCs w:val="16"/>
              </w:rPr>
              <w:t>027 de 2018</w:t>
            </w:r>
          </w:p>
        </w:tc>
        <w:tc>
          <w:tcPr>
            <w:tcW w:w="701" w:type="pct"/>
            <w:tcBorders>
              <w:top w:val="nil"/>
              <w:left w:val="nil"/>
              <w:bottom w:val="single" w:sz="4" w:space="0" w:color="auto"/>
              <w:right w:val="single" w:sz="4" w:space="0" w:color="auto"/>
            </w:tcBorders>
            <w:noWrap/>
            <w:vAlign w:val="center"/>
            <w:hideMark/>
          </w:tcPr>
          <w:p w14:paraId="649354C4" w14:textId="77777777" w:rsidR="001F24ED" w:rsidRDefault="001F24ED">
            <w:pPr>
              <w:jc w:val="right"/>
              <w:rPr>
                <w:rFonts w:ascii="Arial" w:hAnsi="Arial" w:cs="Arial"/>
                <w:color w:val="000000"/>
                <w:sz w:val="16"/>
                <w:szCs w:val="16"/>
              </w:rPr>
            </w:pPr>
            <w:r>
              <w:rPr>
                <w:rFonts w:ascii="Arial" w:hAnsi="Arial" w:cs="Arial"/>
                <w:sz w:val="16"/>
                <w:szCs w:val="16"/>
              </w:rPr>
              <w:t xml:space="preserve">$ 92 </w:t>
            </w:r>
          </w:p>
        </w:tc>
        <w:tc>
          <w:tcPr>
            <w:tcW w:w="743" w:type="pct"/>
            <w:tcBorders>
              <w:top w:val="nil"/>
              <w:left w:val="nil"/>
              <w:bottom w:val="single" w:sz="4" w:space="0" w:color="auto"/>
              <w:right w:val="single" w:sz="4" w:space="0" w:color="auto"/>
            </w:tcBorders>
            <w:noWrap/>
            <w:vAlign w:val="center"/>
            <w:hideMark/>
          </w:tcPr>
          <w:p w14:paraId="0327CA15" w14:textId="77777777" w:rsidR="001F24ED" w:rsidRDefault="001F24ED">
            <w:pPr>
              <w:jc w:val="right"/>
              <w:rPr>
                <w:rFonts w:ascii="Arial" w:hAnsi="Arial" w:cs="Arial"/>
                <w:color w:val="000000"/>
                <w:sz w:val="16"/>
                <w:szCs w:val="16"/>
              </w:rPr>
            </w:pPr>
            <w:r>
              <w:rPr>
                <w:rFonts w:ascii="Arial" w:hAnsi="Arial" w:cs="Arial"/>
                <w:sz w:val="16"/>
                <w:szCs w:val="16"/>
              </w:rPr>
              <w:t xml:space="preserve">$ 36 </w:t>
            </w:r>
          </w:p>
        </w:tc>
        <w:tc>
          <w:tcPr>
            <w:tcW w:w="715" w:type="pct"/>
            <w:tcBorders>
              <w:top w:val="nil"/>
              <w:left w:val="nil"/>
              <w:bottom w:val="single" w:sz="4" w:space="0" w:color="auto"/>
              <w:right w:val="single" w:sz="4" w:space="0" w:color="auto"/>
            </w:tcBorders>
            <w:noWrap/>
            <w:vAlign w:val="center"/>
            <w:hideMark/>
          </w:tcPr>
          <w:p w14:paraId="28804A2B" w14:textId="77777777" w:rsidR="001F24ED" w:rsidRDefault="001F24ED">
            <w:pPr>
              <w:jc w:val="right"/>
              <w:rPr>
                <w:rFonts w:ascii="Arial" w:hAnsi="Arial" w:cs="Arial"/>
                <w:color w:val="000000"/>
                <w:sz w:val="16"/>
                <w:szCs w:val="16"/>
              </w:rPr>
            </w:pPr>
            <w:r>
              <w:rPr>
                <w:rFonts w:ascii="Arial" w:hAnsi="Arial" w:cs="Arial"/>
                <w:sz w:val="16"/>
                <w:szCs w:val="16"/>
              </w:rPr>
              <w:t xml:space="preserve">$ 36 </w:t>
            </w:r>
          </w:p>
        </w:tc>
      </w:tr>
      <w:tr w:rsidR="001F24ED" w14:paraId="24C49530" w14:textId="77777777" w:rsidTr="001F24ED">
        <w:trPr>
          <w:trHeight w:val="268"/>
        </w:trPr>
        <w:tc>
          <w:tcPr>
            <w:tcW w:w="241" w:type="pct"/>
            <w:tcBorders>
              <w:top w:val="nil"/>
              <w:left w:val="single" w:sz="4" w:space="0" w:color="auto"/>
              <w:bottom w:val="single" w:sz="4" w:space="0" w:color="auto"/>
              <w:right w:val="single" w:sz="4" w:space="0" w:color="auto"/>
            </w:tcBorders>
            <w:vAlign w:val="center"/>
            <w:hideMark/>
          </w:tcPr>
          <w:p w14:paraId="03941F1A" w14:textId="77777777" w:rsidR="001F24ED" w:rsidRDefault="001F24ED">
            <w:pPr>
              <w:jc w:val="center"/>
              <w:rPr>
                <w:rFonts w:ascii="Arial" w:hAnsi="Arial" w:cs="Arial"/>
                <w:color w:val="000000"/>
                <w:sz w:val="16"/>
                <w:szCs w:val="16"/>
              </w:rPr>
            </w:pPr>
            <w:r>
              <w:rPr>
                <w:rFonts w:ascii="Arial" w:hAnsi="Arial" w:cs="Arial"/>
                <w:sz w:val="16"/>
                <w:szCs w:val="16"/>
              </w:rPr>
              <w:t>8</w:t>
            </w:r>
          </w:p>
        </w:tc>
        <w:tc>
          <w:tcPr>
            <w:tcW w:w="1896" w:type="pct"/>
            <w:tcBorders>
              <w:top w:val="nil"/>
              <w:left w:val="nil"/>
              <w:bottom w:val="single" w:sz="4" w:space="0" w:color="auto"/>
              <w:right w:val="single" w:sz="4" w:space="0" w:color="auto"/>
            </w:tcBorders>
            <w:vAlign w:val="center"/>
            <w:hideMark/>
          </w:tcPr>
          <w:p w14:paraId="6479EC2E" w14:textId="77777777" w:rsidR="001F24ED" w:rsidRDefault="001F24ED">
            <w:pPr>
              <w:rPr>
                <w:rFonts w:ascii="Arial" w:hAnsi="Arial" w:cs="Arial"/>
                <w:color w:val="000000"/>
                <w:sz w:val="16"/>
                <w:szCs w:val="16"/>
              </w:rPr>
            </w:pPr>
            <w:proofErr w:type="spellStart"/>
            <w:r>
              <w:rPr>
                <w:rFonts w:ascii="Arial" w:hAnsi="Arial" w:cs="Arial"/>
                <w:sz w:val="16"/>
                <w:szCs w:val="16"/>
              </w:rPr>
              <w:t>Traduciedo</w:t>
            </w:r>
            <w:proofErr w:type="spellEnd"/>
            <w:r>
              <w:rPr>
                <w:rFonts w:ascii="Arial" w:hAnsi="Arial" w:cs="Arial"/>
                <w:sz w:val="16"/>
                <w:szCs w:val="16"/>
              </w:rPr>
              <w:t xml:space="preserve"> </w:t>
            </w:r>
            <w:proofErr w:type="spellStart"/>
            <w:r>
              <w:rPr>
                <w:rFonts w:ascii="Arial" w:hAnsi="Arial" w:cs="Arial"/>
                <w:sz w:val="16"/>
                <w:szCs w:val="16"/>
              </w:rPr>
              <w:t>Ltda</w:t>
            </w:r>
            <w:proofErr w:type="spellEnd"/>
          </w:p>
        </w:tc>
        <w:tc>
          <w:tcPr>
            <w:tcW w:w="704" w:type="pct"/>
            <w:tcBorders>
              <w:top w:val="nil"/>
              <w:left w:val="nil"/>
              <w:bottom w:val="single" w:sz="4" w:space="0" w:color="auto"/>
              <w:right w:val="single" w:sz="4" w:space="0" w:color="auto"/>
            </w:tcBorders>
            <w:vAlign w:val="center"/>
            <w:hideMark/>
          </w:tcPr>
          <w:p w14:paraId="34668258" w14:textId="77777777" w:rsidR="001F24ED" w:rsidRDefault="001F24ED">
            <w:pPr>
              <w:jc w:val="center"/>
              <w:rPr>
                <w:rFonts w:ascii="Arial" w:hAnsi="Arial" w:cs="Arial"/>
                <w:color w:val="000000"/>
                <w:sz w:val="16"/>
                <w:szCs w:val="16"/>
              </w:rPr>
            </w:pPr>
            <w:r>
              <w:rPr>
                <w:rFonts w:ascii="Arial" w:hAnsi="Arial" w:cs="Arial"/>
                <w:sz w:val="16"/>
                <w:szCs w:val="16"/>
              </w:rPr>
              <w:t>185 de 2018</w:t>
            </w:r>
          </w:p>
        </w:tc>
        <w:tc>
          <w:tcPr>
            <w:tcW w:w="701" w:type="pct"/>
            <w:tcBorders>
              <w:top w:val="nil"/>
              <w:left w:val="nil"/>
              <w:bottom w:val="single" w:sz="4" w:space="0" w:color="auto"/>
              <w:right w:val="single" w:sz="4" w:space="0" w:color="auto"/>
            </w:tcBorders>
            <w:noWrap/>
            <w:vAlign w:val="center"/>
            <w:hideMark/>
          </w:tcPr>
          <w:p w14:paraId="5BA33771" w14:textId="77777777" w:rsidR="001F24ED" w:rsidRDefault="001F24ED">
            <w:pPr>
              <w:jc w:val="right"/>
              <w:rPr>
                <w:rFonts w:ascii="Arial" w:hAnsi="Arial" w:cs="Arial"/>
                <w:color w:val="000000"/>
                <w:sz w:val="16"/>
                <w:szCs w:val="16"/>
              </w:rPr>
            </w:pPr>
            <w:r>
              <w:rPr>
                <w:rFonts w:ascii="Arial" w:hAnsi="Arial" w:cs="Arial"/>
                <w:sz w:val="16"/>
                <w:szCs w:val="16"/>
              </w:rPr>
              <w:t xml:space="preserve">$ 20 </w:t>
            </w:r>
          </w:p>
        </w:tc>
        <w:tc>
          <w:tcPr>
            <w:tcW w:w="743" w:type="pct"/>
            <w:tcBorders>
              <w:top w:val="nil"/>
              <w:left w:val="nil"/>
              <w:bottom w:val="single" w:sz="4" w:space="0" w:color="auto"/>
              <w:right w:val="single" w:sz="4" w:space="0" w:color="auto"/>
            </w:tcBorders>
            <w:noWrap/>
            <w:vAlign w:val="center"/>
            <w:hideMark/>
          </w:tcPr>
          <w:p w14:paraId="1F92E336" w14:textId="77777777" w:rsidR="001F24ED" w:rsidRDefault="001F24ED">
            <w:pPr>
              <w:jc w:val="right"/>
              <w:rPr>
                <w:rFonts w:ascii="Arial" w:hAnsi="Arial" w:cs="Arial"/>
                <w:color w:val="000000"/>
                <w:sz w:val="16"/>
                <w:szCs w:val="16"/>
              </w:rPr>
            </w:pPr>
            <w:r>
              <w:rPr>
                <w:rFonts w:ascii="Arial" w:hAnsi="Arial" w:cs="Arial"/>
                <w:sz w:val="16"/>
                <w:szCs w:val="16"/>
              </w:rPr>
              <w:t xml:space="preserve">$ 7 </w:t>
            </w:r>
          </w:p>
        </w:tc>
        <w:tc>
          <w:tcPr>
            <w:tcW w:w="715" w:type="pct"/>
            <w:tcBorders>
              <w:top w:val="nil"/>
              <w:left w:val="nil"/>
              <w:bottom w:val="single" w:sz="4" w:space="0" w:color="auto"/>
              <w:right w:val="single" w:sz="4" w:space="0" w:color="auto"/>
            </w:tcBorders>
            <w:noWrap/>
            <w:vAlign w:val="center"/>
            <w:hideMark/>
          </w:tcPr>
          <w:p w14:paraId="61235D71" w14:textId="77777777" w:rsidR="001F24ED" w:rsidRDefault="001F24ED">
            <w:pPr>
              <w:jc w:val="right"/>
              <w:rPr>
                <w:rFonts w:ascii="Arial" w:hAnsi="Arial" w:cs="Arial"/>
                <w:color w:val="000000"/>
                <w:sz w:val="16"/>
                <w:szCs w:val="16"/>
              </w:rPr>
            </w:pPr>
            <w:r>
              <w:rPr>
                <w:rFonts w:ascii="Arial" w:hAnsi="Arial" w:cs="Arial"/>
                <w:sz w:val="16"/>
                <w:szCs w:val="16"/>
              </w:rPr>
              <w:t xml:space="preserve">$ 7 </w:t>
            </w:r>
          </w:p>
        </w:tc>
      </w:tr>
      <w:tr w:rsidR="001F24ED" w14:paraId="63C739B9" w14:textId="77777777" w:rsidTr="001F24ED">
        <w:trPr>
          <w:trHeight w:val="286"/>
        </w:trPr>
        <w:tc>
          <w:tcPr>
            <w:tcW w:w="241" w:type="pct"/>
            <w:tcBorders>
              <w:top w:val="nil"/>
              <w:left w:val="single" w:sz="4" w:space="0" w:color="auto"/>
              <w:bottom w:val="single" w:sz="4" w:space="0" w:color="auto"/>
              <w:right w:val="single" w:sz="4" w:space="0" w:color="auto"/>
            </w:tcBorders>
            <w:vAlign w:val="center"/>
            <w:hideMark/>
          </w:tcPr>
          <w:p w14:paraId="249C23D0" w14:textId="77777777" w:rsidR="001F24ED" w:rsidRDefault="001F24ED">
            <w:pPr>
              <w:jc w:val="center"/>
              <w:rPr>
                <w:rFonts w:ascii="Arial" w:hAnsi="Arial" w:cs="Arial"/>
                <w:color w:val="000000"/>
                <w:sz w:val="16"/>
                <w:szCs w:val="16"/>
              </w:rPr>
            </w:pPr>
            <w:r>
              <w:rPr>
                <w:rFonts w:ascii="Arial" w:hAnsi="Arial" w:cs="Arial"/>
                <w:sz w:val="16"/>
                <w:szCs w:val="16"/>
              </w:rPr>
              <w:t>9</w:t>
            </w:r>
          </w:p>
        </w:tc>
        <w:tc>
          <w:tcPr>
            <w:tcW w:w="1896" w:type="pct"/>
            <w:tcBorders>
              <w:top w:val="nil"/>
              <w:left w:val="nil"/>
              <w:bottom w:val="single" w:sz="4" w:space="0" w:color="auto"/>
              <w:right w:val="single" w:sz="4" w:space="0" w:color="auto"/>
            </w:tcBorders>
            <w:vAlign w:val="center"/>
            <w:hideMark/>
          </w:tcPr>
          <w:p w14:paraId="1516A015" w14:textId="77777777" w:rsidR="001F24ED" w:rsidRDefault="001F24ED">
            <w:pPr>
              <w:rPr>
                <w:rFonts w:ascii="Arial" w:hAnsi="Arial" w:cs="Arial"/>
                <w:color w:val="000000"/>
                <w:sz w:val="16"/>
                <w:szCs w:val="16"/>
              </w:rPr>
            </w:pPr>
            <w:r>
              <w:rPr>
                <w:rFonts w:ascii="Arial" w:hAnsi="Arial" w:cs="Arial"/>
                <w:sz w:val="16"/>
                <w:szCs w:val="16"/>
              </w:rPr>
              <w:t xml:space="preserve">Carolina Esther Peña </w:t>
            </w:r>
            <w:proofErr w:type="spellStart"/>
            <w:r>
              <w:rPr>
                <w:rFonts w:ascii="Arial" w:hAnsi="Arial" w:cs="Arial"/>
                <w:sz w:val="16"/>
                <w:szCs w:val="16"/>
              </w:rPr>
              <w:t>Mugno</w:t>
            </w:r>
            <w:proofErr w:type="spellEnd"/>
            <w:r>
              <w:rPr>
                <w:rFonts w:ascii="Arial" w:hAnsi="Arial" w:cs="Arial"/>
                <w:sz w:val="16"/>
                <w:szCs w:val="16"/>
              </w:rPr>
              <w:t xml:space="preserve"> </w:t>
            </w:r>
          </w:p>
        </w:tc>
        <w:tc>
          <w:tcPr>
            <w:tcW w:w="704" w:type="pct"/>
            <w:tcBorders>
              <w:top w:val="nil"/>
              <w:left w:val="nil"/>
              <w:bottom w:val="single" w:sz="4" w:space="0" w:color="auto"/>
              <w:right w:val="single" w:sz="4" w:space="0" w:color="auto"/>
            </w:tcBorders>
            <w:vAlign w:val="center"/>
            <w:hideMark/>
          </w:tcPr>
          <w:p w14:paraId="2007FDFA" w14:textId="77777777" w:rsidR="001F24ED" w:rsidRDefault="001F24ED">
            <w:pPr>
              <w:jc w:val="center"/>
              <w:rPr>
                <w:rFonts w:ascii="Arial" w:hAnsi="Arial" w:cs="Arial"/>
                <w:color w:val="000000"/>
                <w:sz w:val="16"/>
                <w:szCs w:val="16"/>
              </w:rPr>
            </w:pPr>
            <w:r>
              <w:rPr>
                <w:rFonts w:ascii="Arial" w:hAnsi="Arial" w:cs="Arial"/>
                <w:sz w:val="16"/>
                <w:szCs w:val="16"/>
              </w:rPr>
              <w:t>308 de 2018</w:t>
            </w:r>
          </w:p>
        </w:tc>
        <w:tc>
          <w:tcPr>
            <w:tcW w:w="701" w:type="pct"/>
            <w:tcBorders>
              <w:top w:val="nil"/>
              <w:left w:val="nil"/>
              <w:bottom w:val="single" w:sz="4" w:space="0" w:color="auto"/>
              <w:right w:val="single" w:sz="4" w:space="0" w:color="auto"/>
            </w:tcBorders>
            <w:noWrap/>
            <w:vAlign w:val="center"/>
            <w:hideMark/>
          </w:tcPr>
          <w:p w14:paraId="6DA72A12" w14:textId="77777777" w:rsidR="001F24ED" w:rsidRDefault="001F24ED">
            <w:pPr>
              <w:jc w:val="right"/>
              <w:rPr>
                <w:rFonts w:ascii="Arial" w:hAnsi="Arial" w:cs="Arial"/>
                <w:color w:val="000000"/>
                <w:sz w:val="16"/>
                <w:szCs w:val="16"/>
              </w:rPr>
            </w:pPr>
            <w:r>
              <w:rPr>
                <w:rFonts w:ascii="Arial" w:hAnsi="Arial" w:cs="Arial"/>
                <w:sz w:val="16"/>
                <w:szCs w:val="16"/>
              </w:rPr>
              <w:t xml:space="preserve">$ 115 </w:t>
            </w:r>
          </w:p>
        </w:tc>
        <w:tc>
          <w:tcPr>
            <w:tcW w:w="743" w:type="pct"/>
            <w:tcBorders>
              <w:top w:val="nil"/>
              <w:left w:val="nil"/>
              <w:bottom w:val="single" w:sz="4" w:space="0" w:color="auto"/>
              <w:right w:val="single" w:sz="4" w:space="0" w:color="auto"/>
            </w:tcBorders>
            <w:noWrap/>
            <w:vAlign w:val="center"/>
            <w:hideMark/>
          </w:tcPr>
          <w:p w14:paraId="4105F4F7" w14:textId="77777777" w:rsidR="001F24ED" w:rsidRDefault="001F24ED">
            <w:pPr>
              <w:jc w:val="right"/>
              <w:rPr>
                <w:rFonts w:ascii="Arial" w:hAnsi="Arial" w:cs="Arial"/>
                <w:color w:val="000000"/>
                <w:sz w:val="16"/>
                <w:szCs w:val="16"/>
              </w:rPr>
            </w:pPr>
            <w:r>
              <w:rPr>
                <w:rFonts w:ascii="Arial" w:hAnsi="Arial" w:cs="Arial"/>
                <w:sz w:val="16"/>
                <w:szCs w:val="16"/>
              </w:rPr>
              <w:t xml:space="preserve">$ 43 </w:t>
            </w:r>
          </w:p>
        </w:tc>
        <w:tc>
          <w:tcPr>
            <w:tcW w:w="715" w:type="pct"/>
            <w:tcBorders>
              <w:top w:val="nil"/>
              <w:left w:val="nil"/>
              <w:bottom w:val="single" w:sz="4" w:space="0" w:color="auto"/>
              <w:right w:val="single" w:sz="4" w:space="0" w:color="auto"/>
            </w:tcBorders>
            <w:noWrap/>
            <w:vAlign w:val="center"/>
            <w:hideMark/>
          </w:tcPr>
          <w:p w14:paraId="1C938E4F" w14:textId="77777777" w:rsidR="001F24ED" w:rsidRDefault="001F24ED">
            <w:pPr>
              <w:jc w:val="right"/>
              <w:rPr>
                <w:rFonts w:ascii="Arial" w:hAnsi="Arial" w:cs="Arial"/>
                <w:color w:val="000000"/>
                <w:sz w:val="16"/>
                <w:szCs w:val="16"/>
              </w:rPr>
            </w:pPr>
            <w:r>
              <w:rPr>
                <w:rFonts w:ascii="Arial" w:hAnsi="Arial" w:cs="Arial"/>
                <w:sz w:val="16"/>
                <w:szCs w:val="16"/>
              </w:rPr>
              <w:t xml:space="preserve">$ 43 </w:t>
            </w:r>
          </w:p>
        </w:tc>
      </w:tr>
      <w:tr w:rsidR="001F24ED" w14:paraId="46E15B14" w14:textId="77777777" w:rsidTr="001F24ED">
        <w:trPr>
          <w:trHeight w:val="546"/>
        </w:trPr>
        <w:tc>
          <w:tcPr>
            <w:tcW w:w="241" w:type="pct"/>
            <w:tcBorders>
              <w:top w:val="nil"/>
              <w:left w:val="single" w:sz="4" w:space="0" w:color="auto"/>
              <w:bottom w:val="single" w:sz="4" w:space="0" w:color="auto"/>
              <w:right w:val="single" w:sz="4" w:space="0" w:color="auto"/>
            </w:tcBorders>
            <w:vAlign w:val="center"/>
            <w:hideMark/>
          </w:tcPr>
          <w:p w14:paraId="6CFE63EB" w14:textId="77777777" w:rsidR="001F24ED" w:rsidRDefault="001F24ED">
            <w:pPr>
              <w:jc w:val="center"/>
              <w:rPr>
                <w:rFonts w:ascii="Arial" w:hAnsi="Arial" w:cs="Arial"/>
                <w:color w:val="000000"/>
                <w:sz w:val="16"/>
                <w:szCs w:val="16"/>
              </w:rPr>
            </w:pPr>
            <w:r>
              <w:rPr>
                <w:rFonts w:ascii="Arial" w:hAnsi="Arial" w:cs="Arial"/>
                <w:sz w:val="16"/>
                <w:szCs w:val="16"/>
              </w:rPr>
              <w:t>10</w:t>
            </w:r>
          </w:p>
        </w:tc>
        <w:tc>
          <w:tcPr>
            <w:tcW w:w="1896" w:type="pct"/>
            <w:tcBorders>
              <w:top w:val="nil"/>
              <w:left w:val="nil"/>
              <w:bottom w:val="single" w:sz="4" w:space="0" w:color="auto"/>
              <w:right w:val="single" w:sz="4" w:space="0" w:color="auto"/>
            </w:tcBorders>
            <w:vAlign w:val="center"/>
            <w:hideMark/>
          </w:tcPr>
          <w:p w14:paraId="764C15EB" w14:textId="77777777" w:rsidR="001F24ED" w:rsidRDefault="001F24ED">
            <w:pPr>
              <w:rPr>
                <w:rFonts w:ascii="Arial" w:hAnsi="Arial" w:cs="Arial"/>
                <w:color w:val="000000"/>
                <w:sz w:val="16"/>
                <w:szCs w:val="16"/>
              </w:rPr>
            </w:pPr>
            <w:proofErr w:type="spellStart"/>
            <w:r>
              <w:rPr>
                <w:rFonts w:ascii="Arial" w:hAnsi="Arial" w:cs="Arial"/>
                <w:sz w:val="16"/>
                <w:szCs w:val="16"/>
              </w:rPr>
              <w:t>Naturgas</w:t>
            </w:r>
            <w:proofErr w:type="spellEnd"/>
            <w:r>
              <w:rPr>
                <w:rFonts w:ascii="Arial" w:hAnsi="Arial" w:cs="Arial"/>
                <w:sz w:val="16"/>
                <w:szCs w:val="16"/>
              </w:rPr>
              <w:t xml:space="preserve"> - Participación estratégica en el XXI evento Congreso de </w:t>
            </w:r>
            <w:proofErr w:type="spellStart"/>
            <w:r>
              <w:rPr>
                <w:rFonts w:ascii="Arial" w:hAnsi="Arial" w:cs="Arial"/>
                <w:sz w:val="16"/>
                <w:szCs w:val="16"/>
              </w:rPr>
              <w:t>Naturgas</w:t>
            </w:r>
            <w:proofErr w:type="spellEnd"/>
            <w:r>
              <w:rPr>
                <w:rFonts w:ascii="Arial" w:hAnsi="Arial" w:cs="Arial"/>
                <w:sz w:val="16"/>
                <w:szCs w:val="16"/>
              </w:rPr>
              <w:t xml:space="preserve"> </w:t>
            </w:r>
          </w:p>
        </w:tc>
        <w:tc>
          <w:tcPr>
            <w:tcW w:w="704" w:type="pct"/>
            <w:tcBorders>
              <w:top w:val="nil"/>
              <w:left w:val="nil"/>
              <w:bottom w:val="single" w:sz="4" w:space="0" w:color="auto"/>
              <w:right w:val="single" w:sz="4" w:space="0" w:color="auto"/>
            </w:tcBorders>
            <w:vAlign w:val="center"/>
            <w:hideMark/>
          </w:tcPr>
          <w:p w14:paraId="5FF1D99F" w14:textId="77777777" w:rsidR="001F24ED" w:rsidRDefault="001F24ED">
            <w:pPr>
              <w:jc w:val="center"/>
              <w:rPr>
                <w:rFonts w:ascii="Arial" w:hAnsi="Arial" w:cs="Arial"/>
                <w:color w:val="000000"/>
                <w:sz w:val="16"/>
                <w:szCs w:val="16"/>
              </w:rPr>
            </w:pPr>
            <w:r>
              <w:rPr>
                <w:rFonts w:ascii="Arial" w:hAnsi="Arial" w:cs="Arial"/>
                <w:sz w:val="16"/>
                <w:szCs w:val="16"/>
              </w:rPr>
              <w:t>312 de 2018</w:t>
            </w:r>
          </w:p>
        </w:tc>
        <w:tc>
          <w:tcPr>
            <w:tcW w:w="701" w:type="pct"/>
            <w:tcBorders>
              <w:top w:val="nil"/>
              <w:left w:val="nil"/>
              <w:bottom w:val="single" w:sz="4" w:space="0" w:color="auto"/>
              <w:right w:val="single" w:sz="4" w:space="0" w:color="auto"/>
            </w:tcBorders>
            <w:noWrap/>
            <w:vAlign w:val="center"/>
            <w:hideMark/>
          </w:tcPr>
          <w:p w14:paraId="5C368F56" w14:textId="77777777" w:rsidR="001F24ED" w:rsidRDefault="001F24ED">
            <w:pPr>
              <w:jc w:val="right"/>
              <w:rPr>
                <w:rFonts w:ascii="Arial" w:hAnsi="Arial" w:cs="Arial"/>
                <w:color w:val="000000"/>
                <w:sz w:val="16"/>
                <w:szCs w:val="16"/>
              </w:rPr>
            </w:pPr>
            <w:r>
              <w:rPr>
                <w:rFonts w:ascii="Arial" w:hAnsi="Arial" w:cs="Arial"/>
                <w:sz w:val="16"/>
                <w:szCs w:val="16"/>
              </w:rPr>
              <w:t xml:space="preserve">$ 60 </w:t>
            </w:r>
          </w:p>
        </w:tc>
        <w:tc>
          <w:tcPr>
            <w:tcW w:w="743" w:type="pct"/>
            <w:tcBorders>
              <w:top w:val="nil"/>
              <w:left w:val="nil"/>
              <w:bottom w:val="single" w:sz="4" w:space="0" w:color="auto"/>
              <w:right w:val="single" w:sz="4" w:space="0" w:color="auto"/>
            </w:tcBorders>
            <w:noWrap/>
            <w:vAlign w:val="center"/>
            <w:hideMark/>
          </w:tcPr>
          <w:p w14:paraId="3425C9A2" w14:textId="77777777" w:rsidR="001F24ED" w:rsidRDefault="001F24ED">
            <w:pPr>
              <w:jc w:val="right"/>
              <w:rPr>
                <w:rFonts w:ascii="Arial" w:hAnsi="Arial" w:cs="Arial"/>
                <w:color w:val="000000"/>
                <w:sz w:val="16"/>
                <w:szCs w:val="16"/>
              </w:rPr>
            </w:pPr>
            <w:r>
              <w:rPr>
                <w:rFonts w:ascii="Arial" w:hAnsi="Arial" w:cs="Arial"/>
                <w:sz w:val="16"/>
                <w:szCs w:val="16"/>
              </w:rPr>
              <w:t xml:space="preserve">$ 60 </w:t>
            </w:r>
          </w:p>
        </w:tc>
        <w:tc>
          <w:tcPr>
            <w:tcW w:w="715" w:type="pct"/>
            <w:tcBorders>
              <w:top w:val="nil"/>
              <w:left w:val="nil"/>
              <w:bottom w:val="single" w:sz="4" w:space="0" w:color="auto"/>
              <w:right w:val="single" w:sz="4" w:space="0" w:color="auto"/>
            </w:tcBorders>
            <w:noWrap/>
            <w:vAlign w:val="center"/>
            <w:hideMark/>
          </w:tcPr>
          <w:p w14:paraId="28B51B34" w14:textId="77777777" w:rsidR="001F24ED" w:rsidRDefault="001F24ED">
            <w:pPr>
              <w:jc w:val="right"/>
              <w:rPr>
                <w:rFonts w:ascii="Arial" w:hAnsi="Arial" w:cs="Arial"/>
                <w:color w:val="000000"/>
                <w:sz w:val="16"/>
                <w:szCs w:val="16"/>
              </w:rPr>
            </w:pPr>
            <w:r>
              <w:rPr>
                <w:rFonts w:ascii="Arial" w:hAnsi="Arial" w:cs="Arial"/>
                <w:sz w:val="16"/>
                <w:szCs w:val="16"/>
              </w:rPr>
              <w:t xml:space="preserve">$ 60 </w:t>
            </w:r>
          </w:p>
        </w:tc>
      </w:tr>
      <w:tr w:rsidR="001F24ED" w14:paraId="1680250C" w14:textId="77777777" w:rsidTr="001F24ED">
        <w:trPr>
          <w:trHeight w:val="277"/>
        </w:trPr>
        <w:tc>
          <w:tcPr>
            <w:tcW w:w="241" w:type="pct"/>
            <w:tcBorders>
              <w:top w:val="nil"/>
              <w:left w:val="single" w:sz="4" w:space="0" w:color="auto"/>
              <w:bottom w:val="single" w:sz="4" w:space="0" w:color="auto"/>
              <w:right w:val="single" w:sz="4" w:space="0" w:color="auto"/>
            </w:tcBorders>
            <w:vAlign w:val="center"/>
            <w:hideMark/>
          </w:tcPr>
          <w:p w14:paraId="4E6FE927" w14:textId="77777777" w:rsidR="001F24ED" w:rsidRDefault="001F24ED">
            <w:pPr>
              <w:jc w:val="center"/>
              <w:rPr>
                <w:rFonts w:ascii="Arial" w:hAnsi="Arial" w:cs="Arial"/>
                <w:color w:val="000000"/>
                <w:sz w:val="16"/>
                <w:szCs w:val="16"/>
              </w:rPr>
            </w:pPr>
            <w:r>
              <w:rPr>
                <w:rFonts w:ascii="Arial" w:hAnsi="Arial" w:cs="Arial"/>
                <w:sz w:val="16"/>
                <w:szCs w:val="16"/>
              </w:rPr>
              <w:t>11</w:t>
            </w:r>
          </w:p>
        </w:tc>
        <w:tc>
          <w:tcPr>
            <w:tcW w:w="1896" w:type="pct"/>
            <w:tcBorders>
              <w:top w:val="nil"/>
              <w:left w:val="nil"/>
              <w:bottom w:val="single" w:sz="4" w:space="0" w:color="auto"/>
              <w:right w:val="single" w:sz="4" w:space="0" w:color="auto"/>
            </w:tcBorders>
            <w:vAlign w:val="center"/>
            <w:hideMark/>
          </w:tcPr>
          <w:p w14:paraId="365063AC" w14:textId="77777777" w:rsidR="001F24ED" w:rsidRDefault="001F24ED">
            <w:pPr>
              <w:rPr>
                <w:rFonts w:ascii="Arial" w:hAnsi="Arial" w:cs="Arial"/>
                <w:color w:val="000000"/>
                <w:sz w:val="16"/>
                <w:szCs w:val="16"/>
              </w:rPr>
            </w:pPr>
            <w:r>
              <w:rPr>
                <w:rFonts w:ascii="Arial" w:hAnsi="Arial" w:cs="Arial"/>
                <w:sz w:val="16"/>
                <w:szCs w:val="16"/>
              </w:rPr>
              <w:t xml:space="preserve">IHS Global </w:t>
            </w:r>
            <w:proofErr w:type="spellStart"/>
            <w:r>
              <w:rPr>
                <w:rFonts w:ascii="Arial" w:hAnsi="Arial" w:cs="Arial"/>
                <w:sz w:val="16"/>
                <w:szCs w:val="16"/>
              </w:rPr>
              <w:t>Inc</w:t>
            </w:r>
            <w:proofErr w:type="spellEnd"/>
          </w:p>
        </w:tc>
        <w:tc>
          <w:tcPr>
            <w:tcW w:w="704" w:type="pct"/>
            <w:tcBorders>
              <w:top w:val="nil"/>
              <w:left w:val="nil"/>
              <w:bottom w:val="single" w:sz="4" w:space="0" w:color="auto"/>
              <w:right w:val="single" w:sz="4" w:space="0" w:color="auto"/>
            </w:tcBorders>
            <w:vAlign w:val="center"/>
            <w:hideMark/>
          </w:tcPr>
          <w:p w14:paraId="450C838B" w14:textId="77777777" w:rsidR="001F24ED" w:rsidRDefault="001F24ED">
            <w:pPr>
              <w:jc w:val="center"/>
              <w:rPr>
                <w:rFonts w:ascii="Arial" w:hAnsi="Arial" w:cs="Arial"/>
                <w:color w:val="000000"/>
                <w:sz w:val="16"/>
                <w:szCs w:val="16"/>
              </w:rPr>
            </w:pPr>
            <w:r>
              <w:rPr>
                <w:rFonts w:ascii="Arial" w:hAnsi="Arial" w:cs="Arial"/>
                <w:sz w:val="16"/>
                <w:szCs w:val="16"/>
              </w:rPr>
              <w:t>315 de 2018</w:t>
            </w:r>
          </w:p>
        </w:tc>
        <w:tc>
          <w:tcPr>
            <w:tcW w:w="701" w:type="pct"/>
            <w:tcBorders>
              <w:top w:val="nil"/>
              <w:left w:val="nil"/>
              <w:bottom w:val="single" w:sz="4" w:space="0" w:color="auto"/>
              <w:right w:val="single" w:sz="4" w:space="0" w:color="auto"/>
            </w:tcBorders>
            <w:noWrap/>
            <w:vAlign w:val="center"/>
            <w:hideMark/>
          </w:tcPr>
          <w:p w14:paraId="0C1F3EF8" w14:textId="77777777" w:rsidR="001F24ED" w:rsidRDefault="001F24ED">
            <w:pPr>
              <w:jc w:val="right"/>
              <w:rPr>
                <w:rFonts w:ascii="Arial" w:hAnsi="Arial" w:cs="Arial"/>
                <w:color w:val="000000"/>
                <w:sz w:val="16"/>
                <w:szCs w:val="16"/>
              </w:rPr>
            </w:pPr>
            <w:r>
              <w:rPr>
                <w:rFonts w:ascii="Arial" w:hAnsi="Arial" w:cs="Arial"/>
                <w:sz w:val="16"/>
                <w:szCs w:val="16"/>
              </w:rPr>
              <w:t>$ 1.300</w:t>
            </w:r>
          </w:p>
        </w:tc>
        <w:tc>
          <w:tcPr>
            <w:tcW w:w="743" w:type="pct"/>
            <w:tcBorders>
              <w:top w:val="nil"/>
              <w:left w:val="nil"/>
              <w:bottom w:val="single" w:sz="4" w:space="0" w:color="auto"/>
              <w:right w:val="single" w:sz="4" w:space="0" w:color="auto"/>
            </w:tcBorders>
            <w:noWrap/>
            <w:vAlign w:val="center"/>
            <w:hideMark/>
          </w:tcPr>
          <w:p w14:paraId="25BF70E9" w14:textId="77777777" w:rsidR="001F24ED" w:rsidRDefault="001F24ED">
            <w:pPr>
              <w:jc w:val="right"/>
              <w:rPr>
                <w:rFonts w:ascii="Arial" w:hAnsi="Arial" w:cs="Arial"/>
                <w:color w:val="000000"/>
                <w:sz w:val="16"/>
                <w:szCs w:val="16"/>
              </w:rPr>
            </w:pPr>
            <w:r>
              <w:rPr>
                <w:rFonts w:ascii="Arial" w:hAnsi="Arial" w:cs="Arial"/>
                <w:sz w:val="16"/>
                <w:szCs w:val="16"/>
              </w:rPr>
              <w:t>$ 1.017</w:t>
            </w:r>
          </w:p>
        </w:tc>
        <w:tc>
          <w:tcPr>
            <w:tcW w:w="715" w:type="pct"/>
            <w:tcBorders>
              <w:top w:val="nil"/>
              <w:left w:val="nil"/>
              <w:bottom w:val="single" w:sz="4" w:space="0" w:color="auto"/>
              <w:right w:val="single" w:sz="4" w:space="0" w:color="auto"/>
            </w:tcBorders>
            <w:noWrap/>
            <w:vAlign w:val="center"/>
            <w:hideMark/>
          </w:tcPr>
          <w:p w14:paraId="3C5B52B1" w14:textId="77777777" w:rsidR="001F24ED" w:rsidRDefault="001F24ED">
            <w:pPr>
              <w:jc w:val="right"/>
              <w:rPr>
                <w:rFonts w:ascii="Arial" w:hAnsi="Arial" w:cs="Arial"/>
                <w:color w:val="000000"/>
                <w:sz w:val="16"/>
                <w:szCs w:val="16"/>
              </w:rPr>
            </w:pPr>
            <w:r>
              <w:rPr>
                <w:rFonts w:ascii="Arial" w:hAnsi="Arial" w:cs="Arial"/>
                <w:sz w:val="16"/>
                <w:szCs w:val="16"/>
              </w:rPr>
              <w:t>$ 1.017</w:t>
            </w:r>
          </w:p>
        </w:tc>
      </w:tr>
      <w:tr w:rsidR="001F24ED" w14:paraId="1391397B" w14:textId="77777777" w:rsidTr="001F24ED">
        <w:trPr>
          <w:trHeight w:val="327"/>
        </w:trPr>
        <w:tc>
          <w:tcPr>
            <w:tcW w:w="241" w:type="pct"/>
            <w:tcBorders>
              <w:top w:val="nil"/>
              <w:left w:val="single" w:sz="4" w:space="0" w:color="auto"/>
              <w:bottom w:val="single" w:sz="4" w:space="0" w:color="auto"/>
              <w:right w:val="single" w:sz="4" w:space="0" w:color="auto"/>
            </w:tcBorders>
            <w:vAlign w:val="center"/>
            <w:hideMark/>
          </w:tcPr>
          <w:p w14:paraId="4D1A018B" w14:textId="77777777" w:rsidR="001F24ED" w:rsidRDefault="001F24ED">
            <w:pPr>
              <w:jc w:val="center"/>
              <w:rPr>
                <w:rFonts w:ascii="Arial" w:hAnsi="Arial" w:cs="Arial"/>
                <w:color w:val="000000"/>
                <w:sz w:val="16"/>
                <w:szCs w:val="16"/>
              </w:rPr>
            </w:pPr>
            <w:r>
              <w:rPr>
                <w:rFonts w:ascii="Arial" w:hAnsi="Arial" w:cs="Arial"/>
                <w:sz w:val="16"/>
                <w:szCs w:val="16"/>
              </w:rPr>
              <w:t>12</w:t>
            </w:r>
          </w:p>
        </w:tc>
        <w:tc>
          <w:tcPr>
            <w:tcW w:w="1896" w:type="pct"/>
            <w:tcBorders>
              <w:top w:val="nil"/>
              <w:left w:val="nil"/>
              <w:bottom w:val="single" w:sz="4" w:space="0" w:color="auto"/>
              <w:right w:val="single" w:sz="4" w:space="0" w:color="auto"/>
            </w:tcBorders>
            <w:vAlign w:val="center"/>
            <w:hideMark/>
          </w:tcPr>
          <w:p w14:paraId="79BA1692" w14:textId="77777777" w:rsidR="001F24ED" w:rsidRDefault="001F24ED">
            <w:pPr>
              <w:rPr>
                <w:rFonts w:ascii="Arial" w:hAnsi="Arial" w:cs="Arial"/>
                <w:color w:val="000000"/>
                <w:sz w:val="16"/>
                <w:szCs w:val="16"/>
                <w:lang w:val="en-US"/>
              </w:rPr>
            </w:pPr>
            <w:r>
              <w:rPr>
                <w:rFonts w:ascii="Arial" w:hAnsi="Arial" w:cs="Arial"/>
                <w:sz w:val="16"/>
                <w:szCs w:val="16"/>
                <w:lang w:val="en-US"/>
              </w:rPr>
              <w:t>New kids on TV SAS</w:t>
            </w:r>
          </w:p>
        </w:tc>
        <w:tc>
          <w:tcPr>
            <w:tcW w:w="704" w:type="pct"/>
            <w:tcBorders>
              <w:top w:val="nil"/>
              <w:left w:val="nil"/>
              <w:bottom w:val="single" w:sz="4" w:space="0" w:color="auto"/>
              <w:right w:val="single" w:sz="4" w:space="0" w:color="auto"/>
            </w:tcBorders>
            <w:vAlign w:val="center"/>
            <w:hideMark/>
          </w:tcPr>
          <w:p w14:paraId="7300E083" w14:textId="77777777" w:rsidR="001F24ED" w:rsidRDefault="001F24ED">
            <w:pPr>
              <w:jc w:val="center"/>
              <w:rPr>
                <w:rFonts w:ascii="Arial" w:hAnsi="Arial" w:cs="Arial"/>
                <w:color w:val="000000"/>
                <w:sz w:val="16"/>
                <w:szCs w:val="16"/>
              </w:rPr>
            </w:pPr>
            <w:r>
              <w:rPr>
                <w:rFonts w:ascii="Arial" w:hAnsi="Arial" w:cs="Arial"/>
                <w:sz w:val="16"/>
                <w:szCs w:val="16"/>
              </w:rPr>
              <w:t>387 de 2018</w:t>
            </w:r>
          </w:p>
        </w:tc>
        <w:tc>
          <w:tcPr>
            <w:tcW w:w="701" w:type="pct"/>
            <w:tcBorders>
              <w:top w:val="nil"/>
              <w:left w:val="nil"/>
              <w:bottom w:val="single" w:sz="4" w:space="0" w:color="auto"/>
              <w:right w:val="single" w:sz="4" w:space="0" w:color="auto"/>
            </w:tcBorders>
            <w:noWrap/>
            <w:vAlign w:val="center"/>
            <w:hideMark/>
          </w:tcPr>
          <w:p w14:paraId="03B1FD00" w14:textId="77777777" w:rsidR="001F24ED" w:rsidRDefault="001F24ED">
            <w:pPr>
              <w:jc w:val="right"/>
              <w:rPr>
                <w:rFonts w:ascii="Arial" w:hAnsi="Arial" w:cs="Arial"/>
                <w:color w:val="000000"/>
                <w:sz w:val="16"/>
                <w:szCs w:val="16"/>
              </w:rPr>
            </w:pPr>
            <w:r>
              <w:rPr>
                <w:rFonts w:ascii="Arial" w:hAnsi="Arial" w:cs="Arial"/>
                <w:sz w:val="16"/>
                <w:szCs w:val="16"/>
              </w:rPr>
              <w:t xml:space="preserve">$ 240 </w:t>
            </w:r>
          </w:p>
        </w:tc>
        <w:tc>
          <w:tcPr>
            <w:tcW w:w="743" w:type="pct"/>
            <w:tcBorders>
              <w:top w:val="nil"/>
              <w:left w:val="nil"/>
              <w:bottom w:val="single" w:sz="4" w:space="0" w:color="auto"/>
              <w:right w:val="single" w:sz="4" w:space="0" w:color="auto"/>
            </w:tcBorders>
            <w:noWrap/>
            <w:vAlign w:val="center"/>
            <w:hideMark/>
          </w:tcPr>
          <w:p w14:paraId="5E43A2C5" w14:textId="77777777" w:rsidR="001F24ED" w:rsidRDefault="001F24ED">
            <w:pPr>
              <w:jc w:val="right"/>
              <w:rPr>
                <w:rFonts w:ascii="Arial" w:hAnsi="Arial" w:cs="Arial"/>
                <w:color w:val="000000"/>
                <w:sz w:val="16"/>
                <w:szCs w:val="16"/>
              </w:rPr>
            </w:pPr>
            <w:r>
              <w:rPr>
                <w:rFonts w:ascii="Arial" w:hAnsi="Arial" w:cs="Arial"/>
                <w:sz w:val="16"/>
                <w:szCs w:val="16"/>
              </w:rPr>
              <w:t>-</w:t>
            </w:r>
          </w:p>
        </w:tc>
        <w:tc>
          <w:tcPr>
            <w:tcW w:w="715" w:type="pct"/>
            <w:tcBorders>
              <w:top w:val="nil"/>
              <w:left w:val="nil"/>
              <w:bottom w:val="single" w:sz="4" w:space="0" w:color="auto"/>
              <w:right w:val="single" w:sz="4" w:space="0" w:color="auto"/>
            </w:tcBorders>
            <w:noWrap/>
            <w:vAlign w:val="center"/>
            <w:hideMark/>
          </w:tcPr>
          <w:p w14:paraId="63C83B20"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5CE7442E" w14:textId="77777777" w:rsidTr="001F24ED">
        <w:trPr>
          <w:trHeight w:val="288"/>
        </w:trPr>
        <w:tc>
          <w:tcPr>
            <w:tcW w:w="241" w:type="pct"/>
            <w:tcBorders>
              <w:top w:val="nil"/>
              <w:left w:val="single" w:sz="4" w:space="0" w:color="auto"/>
              <w:bottom w:val="single" w:sz="4" w:space="0" w:color="auto"/>
              <w:right w:val="single" w:sz="4" w:space="0" w:color="auto"/>
            </w:tcBorders>
            <w:vAlign w:val="center"/>
            <w:hideMark/>
          </w:tcPr>
          <w:p w14:paraId="4556EB04" w14:textId="77777777" w:rsidR="001F24ED" w:rsidRDefault="001F24ED">
            <w:pPr>
              <w:jc w:val="center"/>
              <w:rPr>
                <w:rFonts w:ascii="Arial" w:hAnsi="Arial" w:cs="Arial"/>
                <w:color w:val="000000"/>
                <w:sz w:val="16"/>
                <w:szCs w:val="16"/>
              </w:rPr>
            </w:pPr>
            <w:r>
              <w:rPr>
                <w:rFonts w:ascii="Arial" w:hAnsi="Arial" w:cs="Arial"/>
                <w:sz w:val="16"/>
                <w:szCs w:val="16"/>
              </w:rPr>
              <w:t>13</w:t>
            </w:r>
          </w:p>
        </w:tc>
        <w:tc>
          <w:tcPr>
            <w:tcW w:w="1896" w:type="pct"/>
            <w:tcBorders>
              <w:top w:val="nil"/>
              <w:left w:val="nil"/>
              <w:bottom w:val="single" w:sz="4" w:space="0" w:color="auto"/>
              <w:right w:val="single" w:sz="4" w:space="0" w:color="auto"/>
            </w:tcBorders>
            <w:vAlign w:val="center"/>
            <w:hideMark/>
          </w:tcPr>
          <w:p w14:paraId="3282CF4C" w14:textId="77777777" w:rsidR="001F24ED" w:rsidRDefault="001F24ED">
            <w:pPr>
              <w:rPr>
                <w:rFonts w:ascii="Arial" w:hAnsi="Arial" w:cs="Arial"/>
                <w:color w:val="000000"/>
                <w:sz w:val="16"/>
                <w:szCs w:val="16"/>
              </w:rPr>
            </w:pPr>
            <w:r>
              <w:rPr>
                <w:rFonts w:ascii="Arial" w:hAnsi="Arial" w:cs="Arial"/>
                <w:sz w:val="16"/>
                <w:szCs w:val="16"/>
              </w:rPr>
              <w:t xml:space="preserve">Álvaro Galindo </w:t>
            </w:r>
            <w:proofErr w:type="spellStart"/>
            <w:r>
              <w:rPr>
                <w:rFonts w:ascii="Arial" w:hAnsi="Arial" w:cs="Arial"/>
                <w:sz w:val="16"/>
                <w:szCs w:val="16"/>
              </w:rPr>
              <w:t>Vacha</w:t>
            </w:r>
            <w:proofErr w:type="spellEnd"/>
            <w:r>
              <w:rPr>
                <w:rFonts w:ascii="Arial" w:hAnsi="Arial" w:cs="Arial"/>
                <w:sz w:val="16"/>
                <w:szCs w:val="16"/>
              </w:rPr>
              <w:t xml:space="preserve">  EU</w:t>
            </w:r>
          </w:p>
        </w:tc>
        <w:tc>
          <w:tcPr>
            <w:tcW w:w="704" w:type="pct"/>
            <w:tcBorders>
              <w:top w:val="nil"/>
              <w:left w:val="nil"/>
              <w:bottom w:val="single" w:sz="4" w:space="0" w:color="auto"/>
              <w:right w:val="single" w:sz="4" w:space="0" w:color="auto"/>
            </w:tcBorders>
            <w:vAlign w:val="center"/>
            <w:hideMark/>
          </w:tcPr>
          <w:p w14:paraId="5F575E17" w14:textId="77777777" w:rsidR="001F24ED" w:rsidRDefault="001F24ED">
            <w:pPr>
              <w:jc w:val="center"/>
              <w:rPr>
                <w:rFonts w:ascii="Arial" w:hAnsi="Arial" w:cs="Arial"/>
                <w:color w:val="000000"/>
                <w:sz w:val="16"/>
                <w:szCs w:val="16"/>
              </w:rPr>
            </w:pPr>
            <w:r>
              <w:rPr>
                <w:rFonts w:ascii="Arial" w:hAnsi="Arial" w:cs="Arial"/>
                <w:sz w:val="16"/>
                <w:szCs w:val="16"/>
              </w:rPr>
              <w:t>398 de 2018</w:t>
            </w:r>
          </w:p>
        </w:tc>
        <w:tc>
          <w:tcPr>
            <w:tcW w:w="701" w:type="pct"/>
            <w:tcBorders>
              <w:top w:val="nil"/>
              <w:left w:val="nil"/>
              <w:bottom w:val="single" w:sz="4" w:space="0" w:color="auto"/>
              <w:right w:val="single" w:sz="4" w:space="0" w:color="auto"/>
            </w:tcBorders>
            <w:noWrap/>
            <w:vAlign w:val="center"/>
            <w:hideMark/>
          </w:tcPr>
          <w:p w14:paraId="35C17D23" w14:textId="77777777" w:rsidR="001F24ED" w:rsidRDefault="001F24ED">
            <w:pPr>
              <w:jc w:val="right"/>
              <w:rPr>
                <w:rFonts w:ascii="Arial" w:hAnsi="Arial" w:cs="Arial"/>
                <w:color w:val="000000"/>
                <w:sz w:val="16"/>
                <w:szCs w:val="16"/>
              </w:rPr>
            </w:pPr>
            <w:r>
              <w:rPr>
                <w:rFonts w:ascii="Arial" w:hAnsi="Arial" w:cs="Arial"/>
                <w:sz w:val="16"/>
                <w:szCs w:val="16"/>
              </w:rPr>
              <w:t xml:space="preserve">$ 119 </w:t>
            </w:r>
          </w:p>
        </w:tc>
        <w:tc>
          <w:tcPr>
            <w:tcW w:w="743" w:type="pct"/>
            <w:tcBorders>
              <w:top w:val="nil"/>
              <w:left w:val="nil"/>
              <w:bottom w:val="single" w:sz="4" w:space="0" w:color="auto"/>
              <w:right w:val="single" w:sz="4" w:space="0" w:color="auto"/>
            </w:tcBorders>
            <w:noWrap/>
            <w:vAlign w:val="center"/>
            <w:hideMark/>
          </w:tcPr>
          <w:p w14:paraId="5AEA66F4" w14:textId="77777777" w:rsidR="001F24ED" w:rsidRDefault="001F24ED">
            <w:pPr>
              <w:jc w:val="right"/>
              <w:rPr>
                <w:rFonts w:ascii="Arial" w:hAnsi="Arial" w:cs="Arial"/>
                <w:color w:val="000000"/>
                <w:sz w:val="16"/>
                <w:szCs w:val="16"/>
              </w:rPr>
            </w:pPr>
            <w:r>
              <w:rPr>
                <w:rFonts w:ascii="Arial" w:hAnsi="Arial" w:cs="Arial"/>
                <w:sz w:val="16"/>
                <w:szCs w:val="16"/>
              </w:rPr>
              <w:t xml:space="preserve">$ 37 </w:t>
            </w:r>
          </w:p>
        </w:tc>
        <w:tc>
          <w:tcPr>
            <w:tcW w:w="715" w:type="pct"/>
            <w:tcBorders>
              <w:top w:val="nil"/>
              <w:left w:val="nil"/>
              <w:bottom w:val="single" w:sz="4" w:space="0" w:color="auto"/>
              <w:right w:val="single" w:sz="4" w:space="0" w:color="auto"/>
            </w:tcBorders>
            <w:noWrap/>
            <w:vAlign w:val="center"/>
            <w:hideMark/>
          </w:tcPr>
          <w:p w14:paraId="6D7C842A" w14:textId="77777777" w:rsidR="001F24ED" w:rsidRDefault="001F24ED">
            <w:pPr>
              <w:jc w:val="right"/>
              <w:rPr>
                <w:rFonts w:ascii="Arial" w:hAnsi="Arial" w:cs="Arial"/>
                <w:color w:val="000000"/>
                <w:sz w:val="16"/>
                <w:szCs w:val="16"/>
              </w:rPr>
            </w:pPr>
            <w:r>
              <w:rPr>
                <w:rFonts w:ascii="Arial" w:hAnsi="Arial" w:cs="Arial"/>
                <w:sz w:val="16"/>
                <w:szCs w:val="16"/>
              </w:rPr>
              <w:t xml:space="preserve">$ 37 </w:t>
            </w:r>
          </w:p>
        </w:tc>
      </w:tr>
      <w:tr w:rsidR="001F24ED" w14:paraId="6F595A3D" w14:textId="77777777" w:rsidTr="001F24ED">
        <w:trPr>
          <w:trHeight w:val="347"/>
        </w:trPr>
        <w:tc>
          <w:tcPr>
            <w:tcW w:w="241" w:type="pct"/>
            <w:tcBorders>
              <w:top w:val="nil"/>
              <w:left w:val="single" w:sz="4" w:space="0" w:color="auto"/>
              <w:bottom w:val="single" w:sz="4" w:space="0" w:color="auto"/>
              <w:right w:val="single" w:sz="4" w:space="0" w:color="auto"/>
            </w:tcBorders>
            <w:vAlign w:val="center"/>
            <w:hideMark/>
          </w:tcPr>
          <w:p w14:paraId="2F2F7B65" w14:textId="77777777" w:rsidR="001F24ED" w:rsidRDefault="001F24ED">
            <w:pPr>
              <w:jc w:val="center"/>
              <w:rPr>
                <w:rFonts w:ascii="Arial" w:hAnsi="Arial" w:cs="Arial"/>
                <w:color w:val="000000"/>
                <w:sz w:val="16"/>
                <w:szCs w:val="16"/>
              </w:rPr>
            </w:pPr>
            <w:r>
              <w:rPr>
                <w:rFonts w:ascii="Arial" w:hAnsi="Arial" w:cs="Arial"/>
                <w:sz w:val="16"/>
                <w:szCs w:val="16"/>
              </w:rPr>
              <w:t>14</w:t>
            </w:r>
          </w:p>
        </w:tc>
        <w:tc>
          <w:tcPr>
            <w:tcW w:w="1896" w:type="pct"/>
            <w:tcBorders>
              <w:top w:val="nil"/>
              <w:left w:val="nil"/>
              <w:bottom w:val="single" w:sz="4" w:space="0" w:color="auto"/>
              <w:right w:val="single" w:sz="4" w:space="0" w:color="auto"/>
            </w:tcBorders>
            <w:vAlign w:val="center"/>
            <w:hideMark/>
          </w:tcPr>
          <w:p w14:paraId="4B9D8DA2" w14:textId="77777777" w:rsidR="001F24ED" w:rsidRDefault="001F24ED">
            <w:pPr>
              <w:rPr>
                <w:rFonts w:ascii="Arial" w:hAnsi="Arial" w:cs="Arial"/>
                <w:color w:val="000000"/>
                <w:sz w:val="16"/>
                <w:szCs w:val="16"/>
              </w:rPr>
            </w:pPr>
            <w:r>
              <w:rPr>
                <w:rFonts w:ascii="Arial" w:hAnsi="Arial" w:cs="Arial"/>
                <w:sz w:val="16"/>
                <w:szCs w:val="16"/>
              </w:rPr>
              <w:t>Traduciendo Ltda.</w:t>
            </w:r>
          </w:p>
        </w:tc>
        <w:tc>
          <w:tcPr>
            <w:tcW w:w="704" w:type="pct"/>
            <w:tcBorders>
              <w:top w:val="nil"/>
              <w:left w:val="nil"/>
              <w:bottom w:val="single" w:sz="4" w:space="0" w:color="auto"/>
              <w:right w:val="single" w:sz="4" w:space="0" w:color="auto"/>
            </w:tcBorders>
            <w:vAlign w:val="center"/>
            <w:hideMark/>
          </w:tcPr>
          <w:p w14:paraId="764F65AD" w14:textId="77777777" w:rsidR="001F24ED" w:rsidRDefault="001F24ED">
            <w:pPr>
              <w:jc w:val="center"/>
              <w:rPr>
                <w:rFonts w:ascii="Arial" w:hAnsi="Arial" w:cs="Arial"/>
                <w:color w:val="000000"/>
                <w:sz w:val="16"/>
                <w:szCs w:val="16"/>
              </w:rPr>
            </w:pPr>
            <w:r>
              <w:rPr>
                <w:rFonts w:ascii="Arial" w:hAnsi="Arial" w:cs="Arial"/>
                <w:sz w:val="16"/>
                <w:szCs w:val="16"/>
              </w:rPr>
              <w:t>399 de 2018</w:t>
            </w:r>
          </w:p>
        </w:tc>
        <w:tc>
          <w:tcPr>
            <w:tcW w:w="701" w:type="pct"/>
            <w:tcBorders>
              <w:top w:val="nil"/>
              <w:left w:val="nil"/>
              <w:bottom w:val="single" w:sz="4" w:space="0" w:color="auto"/>
              <w:right w:val="single" w:sz="4" w:space="0" w:color="auto"/>
            </w:tcBorders>
            <w:noWrap/>
            <w:vAlign w:val="center"/>
            <w:hideMark/>
          </w:tcPr>
          <w:p w14:paraId="5EFC9847" w14:textId="77777777" w:rsidR="001F24ED" w:rsidRDefault="001F24ED">
            <w:pPr>
              <w:jc w:val="right"/>
              <w:rPr>
                <w:rFonts w:ascii="Arial" w:hAnsi="Arial" w:cs="Arial"/>
                <w:color w:val="000000"/>
                <w:sz w:val="16"/>
                <w:szCs w:val="16"/>
              </w:rPr>
            </w:pPr>
            <w:r>
              <w:rPr>
                <w:rFonts w:ascii="Arial" w:hAnsi="Arial" w:cs="Arial"/>
                <w:sz w:val="16"/>
                <w:szCs w:val="16"/>
              </w:rPr>
              <w:t xml:space="preserve">$ 100 </w:t>
            </w:r>
          </w:p>
        </w:tc>
        <w:tc>
          <w:tcPr>
            <w:tcW w:w="743" w:type="pct"/>
            <w:tcBorders>
              <w:top w:val="nil"/>
              <w:left w:val="nil"/>
              <w:bottom w:val="single" w:sz="4" w:space="0" w:color="auto"/>
              <w:right w:val="single" w:sz="4" w:space="0" w:color="auto"/>
            </w:tcBorders>
            <w:noWrap/>
            <w:vAlign w:val="center"/>
            <w:hideMark/>
          </w:tcPr>
          <w:p w14:paraId="1B6AD45B" w14:textId="77777777" w:rsidR="001F24ED" w:rsidRDefault="001F24ED">
            <w:pPr>
              <w:jc w:val="right"/>
              <w:rPr>
                <w:rFonts w:ascii="Arial" w:hAnsi="Arial" w:cs="Arial"/>
                <w:color w:val="000000"/>
                <w:sz w:val="16"/>
                <w:szCs w:val="16"/>
              </w:rPr>
            </w:pPr>
            <w:r>
              <w:rPr>
                <w:rFonts w:ascii="Arial" w:hAnsi="Arial" w:cs="Arial"/>
                <w:sz w:val="16"/>
                <w:szCs w:val="16"/>
              </w:rPr>
              <w:t xml:space="preserve">$ 7 </w:t>
            </w:r>
          </w:p>
        </w:tc>
        <w:tc>
          <w:tcPr>
            <w:tcW w:w="715" w:type="pct"/>
            <w:tcBorders>
              <w:top w:val="nil"/>
              <w:left w:val="nil"/>
              <w:bottom w:val="single" w:sz="4" w:space="0" w:color="auto"/>
              <w:right w:val="single" w:sz="4" w:space="0" w:color="auto"/>
            </w:tcBorders>
            <w:noWrap/>
            <w:vAlign w:val="center"/>
            <w:hideMark/>
          </w:tcPr>
          <w:p w14:paraId="6C61647F" w14:textId="77777777" w:rsidR="001F24ED" w:rsidRDefault="001F24ED">
            <w:pPr>
              <w:jc w:val="right"/>
              <w:rPr>
                <w:rFonts w:ascii="Arial" w:hAnsi="Arial" w:cs="Arial"/>
                <w:color w:val="000000"/>
                <w:sz w:val="16"/>
                <w:szCs w:val="16"/>
              </w:rPr>
            </w:pPr>
            <w:r>
              <w:rPr>
                <w:rFonts w:ascii="Arial" w:hAnsi="Arial" w:cs="Arial"/>
                <w:sz w:val="16"/>
                <w:szCs w:val="16"/>
              </w:rPr>
              <w:t xml:space="preserve">$ 7 </w:t>
            </w:r>
          </w:p>
        </w:tc>
      </w:tr>
      <w:tr w:rsidR="001F24ED" w14:paraId="3807B2C2" w14:textId="77777777" w:rsidTr="001F24ED">
        <w:trPr>
          <w:trHeight w:val="139"/>
        </w:trPr>
        <w:tc>
          <w:tcPr>
            <w:tcW w:w="241" w:type="pct"/>
            <w:tcBorders>
              <w:top w:val="nil"/>
              <w:left w:val="single" w:sz="4" w:space="0" w:color="auto"/>
              <w:bottom w:val="single" w:sz="4" w:space="0" w:color="auto"/>
              <w:right w:val="single" w:sz="4" w:space="0" w:color="auto"/>
            </w:tcBorders>
            <w:vAlign w:val="center"/>
            <w:hideMark/>
          </w:tcPr>
          <w:p w14:paraId="51E7CAF9" w14:textId="77777777" w:rsidR="001F24ED" w:rsidRDefault="001F24ED">
            <w:pPr>
              <w:jc w:val="center"/>
              <w:rPr>
                <w:rFonts w:ascii="Arial" w:hAnsi="Arial" w:cs="Arial"/>
                <w:color w:val="000000"/>
                <w:sz w:val="16"/>
                <w:szCs w:val="16"/>
              </w:rPr>
            </w:pPr>
            <w:r>
              <w:rPr>
                <w:rFonts w:ascii="Arial" w:hAnsi="Arial" w:cs="Arial"/>
                <w:sz w:val="16"/>
                <w:szCs w:val="16"/>
              </w:rPr>
              <w:lastRenderedPageBreak/>
              <w:t>15</w:t>
            </w:r>
          </w:p>
        </w:tc>
        <w:tc>
          <w:tcPr>
            <w:tcW w:w="1896" w:type="pct"/>
            <w:tcBorders>
              <w:top w:val="nil"/>
              <w:left w:val="nil"/>
              <w:bottom w:val="single" w:sz="4" w:space="0" w:color="auto"/>
              <w:right w:val="single" w:sz="4" w:space="0" w:color="auto"/>
            </w:tcBorders>
            <w:vAlign w:val="center"/>
            <w:hideMark/>
          </w:tcPr>
          <w:p w14:paraId="44629331" w14:textId="77777777" w:rsidR="001F24ED" w:rsidRDefault="001F24ED">
            <w:pPr>
              <w:rPr>
                <w:rFonts w:ascii="Arial" w:hAnsi="Arial" w:cs="Arial"/>
                <w:color w:val="000000"/>
                <w:sz w:val="16"/>
                <w:szCs w:val="16"/>
              </w:rPr>
            </w:pPr>
            <w:r>
              <w:rPr>
                <w:rFonts w:ascii="Arial" w:hAnsi="Arial" w:cs="Arial"/>
                <w:sz w:val="16"/>
                <w:szCs w:val="16"/>
              </w:rPr>
              <w:t>Comunican S.A.</w:t>
            </w:r>
          </w:p>
        </w:tc>
        <w:tc>
          <w:tcPr>
            <w:tcW w:w="704" w:type="pct"/>
            <w:tcBorders>
              <w:top w:val="nil"/>
              <w:left w:val="nil"/>
              <w:bottom w:val="single" w:sz="4" w:space="0" w:color="auto"/>
              <w:right w:val="single" w:sz="4" w:space="0" w:color="auto"/>
            </w:tcBorders>
            <w:vAlign w:val="center"/>
            <w:hideMark/>
          </w:tcPr>
          <w:p w14:paraId="14B58563" w14:textId="77777777" w:rsidR="001F24ED" w:rsidRDefault="001F24ED">
            <w:pPr>
              <w:jc w:val="center"/>
              <w:rPr>
                <w:rFonts w:ascii="Arial" w:hAnsi="Arial" w:cs="Arial"/>
                <w:color w:val="000000"/>
                <w:sz w:val="16"/>
                <w:szCs w:val="16"/>
              </w:rPr>
            </w:pPr>
            <w:r>
              <w:rPr>
                <w:rFonts w:ascii="Arial" w:hAnsi="Arial" w:cs="Arial"/>
                <w:sz w:val="16"/>
                <w:szCs w:val="16"/>
              </w:rPr>
              <w:t>400 de 2018</w:t>
            </w:r>
          </w:p>
        </w:tc>
        <w:tc>
          <w:tcPr>
            <w:tcW w:w="701" w:type="pct"/>
            <w:tcBorders>
              <w:top w:val="nil"/>
              <w:left w:val="nil"/>
              <w:bottom w:val="single" w:sz="4" w:space="0" w:color="auto"/>
              <w:right w:val="single" w:sz="4" w:space="0" w:color="auto"/>
            </w:tcBorders>
            <w:noWrap/>
            <w:vAlign w:val="center"/>
            <w:hideMark/>
          </w:tcPr>
          <w:p w14:paraId="12CADE7D" w14:textId="77777777" w:rsidR="001F24ED" w:rsidRDefault="001F24ED">
            <w:pPr>
              <w:jc w:val="right"/>
              <w:rPr>
                <w:rFonts w:ascii="Arial" w:hAnsi="Arial" w:cs="Arial"/>
                <w:color w:val="000000"/>
                <w:sz w:val="16"/>
                <w:szCs w:val="16"/>
              </w:rPr>
            </w:pPr>
            <w:r>
              <w:rPr>
                <w:rFonts w:ascii="Arial" w:hAnsi="Arial" w:cs="Arial"/>
                <w:sz w:val="16"/>
                <w:szCs w:val="16"/>
              </w:rPr>
              <w:t xml:space="preserve">$ 170 </w:t>
            </w:r>
          </w:p>
        </w:tc>
        <w:tc>
          <w:tcPr>
            <w:tcW w:w="743" w:type="pct"/>
            <w:tcBorders>
              <w:top w:val="nil"/>
              <w:left w:val="nil"/>
              <w:bottom w:val="single" w:sz="4" w:space="0" w:color="auto"/>
              <w:right w:val="single" w:sz="4" w:space="0" w:color="auto"/>
            </w:tcBorders>
            <w:noWrap/>
            <w:vAlign w:val="center"/>
            <w:hideMark/>
          </w:tcPr>
          <w:p w14:paraId="0BC62BBE" w14:textId="77777777" w:rsidR="001F24ED" w:rsidRDefault="001F24ED">
            <w:pPr>
              <w:jc w:val="right"/>
              <w:rPr>
                <w:rFonts w:ascii="Arial" w:hAnsi="Arial" w:cs="Arial"/>
                <w:color w:val="000000"/>
                <w:sz w:val="16"/>
                <w:szCs w:val="16"/>
              </w:rPr>
            </w:pPr>
            <w:r>
              <w:rPr>
                <w:rFonts w:ascii="Arial" w:hAnsi="Arial" w:cs="Arial"/>
                <w:sz w:val="16"/>
                <w:szCs w:val="16"/>
              </w:rPr>
              <w:t xml:space="preserve">$ 28 </w:t>
            </w:r>
          </w:p>
        </w:tc>
        <w:tc>
          <w:tcPr>
            <w:tcW w:w="715" w:type="pct"/>
            <w:tcBorders>
              <w:top w:val="nil"/>
              <w:left w:val="nil"/>
              <w:bottom w:val="single" w:sz="4" w:space="0" w:color="auto"/>
              <w:right w:val="single" w:sz="4" w:space="0" w:color="auto"/>
            </w:tcBorders>
            <w:noWrap/>
            <w:vAlign w:val="center"/>
            <w:hideMark/>
          </w:tcPr>
          <w:p w14:paraId="4C88D2B1" w14:textId="77777777" w:rsidR="001F24ED" w:rsidRDefault="001F24ED">
            <w:pPr>
              <w:jc w:val="right"/>
              <w:rPr>
                <w:rFonts w:ascii="Arial" w:hAnsi="Arial" w:cs="Arial"/>
                <w:color w:val="000000"/>
                <w:sz w:val="16"/>
                <w:szCs w:val="16"/>
              </w:rPr>
            </w:pPr>
            <w:r>
              <w:rPr>
                <w:rFonts w:ascii="Arial" w:hAnsi="Arial" w:cs="Arial"/>
                <w:sz w:val="16"/>
                <w:szCs w:val="16"/>
              </w:rPr>
              <w:t xml:space="preserve">$ 28 </w:t>
            </w:r>
          </w:p>
        </w:tc>
      </w:tr>
      <w:tr w:rsidR="001F24ED" w14:paraId="5E1CEC84" w14:textId="77777777" w:rsidTr="001F24ED">
        <w:trPr>
          <w:trHeight w:val="257"/>
        </w:trPr>
        <w:tc>
          <w:tcPr>
            <w:tcW w:w="241" w:type="pct"/>
            <w:tcBorders>
              <w:top w:val="nil"/>
              <w:left w:val="single" w:sz="4" w:space="0" w:color="auto"/>
              <w:bottom w:val="single" w:sz="4" w:space="0" w:color="auto"/>
              <w:right w:val="single" w:sz="4" w:space="0" w:color="auto"/>
            </w:tcBorders>
            <w:vAlign w:val="center"/>
            <w:hideMark/>
          </w:tcPr>
          <w:p w14:paraId="1A6189E1" w14:textId="77777777" w:rsidR="001F24ED" w:rsidRDefault="001F24ED">
            <w:pPr>
              <w:jc w:val="center"/>
              <w:rPr>
                <w:rFonts w:ascii="Arial" w:hAnsi="Arial" w:cs="Arial"/>
                <w:color w:val="000000"/>
                <w:sz w:val="16"/>
                <w:szCs w:val="16"/>
              </w:rPr>
            </w:pPr>
            <w:r>
              <w:rPr>
                <w:rFonts w:ascii="Arial" w:hAnsi="Arial" w:cs="Arial"/>
                <w:sz w:val="16"/>
                <w:szCs w:val="16"/>
              </w:rPr>
              <w:t>16</w:t>
            </w:r>
          </w:p>
        </w:tc>
        <w:tc>
          <w:tcPr>
            <w:tcW w:w="1896" w:type="pct"/>
            <w:tcBorders>
              <w:top w:val="nil"/>
              <w:left w:val="nil"/>
              <w:bottom w:val="single" w:sz="4" w:space="0" w:color="auto"/>
              <w:right w:val="single" w:sz="4" w:space="0" w:color="auto"/>
            </w:tcBorders>
            <w:vAlign w:val="center"/>
            <w:hideMark/>
          </w:tcPr>
          <w:p w14:paraId="2AF34891" w14:textId="77777777" w:rsidR="001F24ED" w:rsidRDefault="001F24ED">
            <w:pPr>
              <w:rPr>
                <w:rFonts w:ascii="Arial" w:hAnsi="Arial" w:cs="Arial"/>
                <w:color w:val="000000"/>
                <w:sz w:val="16"/>
                <w:szCs w:val="16"/>
              </w:rPr>
            </w:pPr>
            <w:r>
              <w:rPr>
                <w:rFonts w:ascii="Arial" w:hAnsi="Arial" w:cs="Arial"/>
                <w:sz w:val="16"/>
                <w:szCs w:val="16"/>
              </w:rPr>
              <w:t>Luis Fernando García Forero</w:t>
            </w:r>
          </w:p>
        </w:tc>
        <w:tc>
          <w:tcPr>
            <w:tcW w:w="704" w:type="pct"/>
            <w:tcBorders>
              <w:top w:val="nil"/>
              <w:left w:val="nil"/>
              <w:bottom w:val="single" w:sz="4" w:space="0" w:color="auto"/>
              <w:right w:val="single" w:sz="4" w:space="0" w:color="auto"/>
            </w:tcBorders>
            <w:vAlign w:val="center"/>
            <w:hideMark/>
          </w:tcPr>
          <w:p w14:paraId="5233B59F" w14:textId="77777777" w:rsidR="001F24ED" w:rsidRDefault="001F24ED">
            <w:pPr>
              <w:jc w:val="center"/>
              <w:rPr>
                <w:rFonts w:ascii="Arial" w:hAnsi="Arial" w:cs="Arial"/>
                <w:color w:val="000000"/>
                <w:sz w:val="16"/>
                <w:szCs w:val="16"/>
              </w:rPr>
            </w:pPr>
            <w:r>
              <w:rPr>
                <w:rFonts w:ascii="Arial" w:hAnsi="Arial" w:cs="Arial"/>
                <w:sz w:val="16"/>
                <w:szCs w:val="16"/>
              </w:rPr>
              <w:t>401 de 2018</w:t>
            </w:r>
          </w:p>
        </w:tc>
        <w:tc>
          <w:tcPr>
            <w:tcW w:w="701" w:type="pct"/>
            <w:tcBorders>
              <w:top w:val="nil"/>
              <w:left w:val="nil"/>
              <w:bottom w:val="single" w:sz="4" w:space="0" w:color="auto"/>
              <w:right w:val="single" w:sz="4" w:space="0" w:color="auto"/>
            </w:tcBorders>
            <w:noWrap/>
            <w:vAlign w:val="center"/>
            <w:hideMark/>
          </w:tcPr>
          <w:p w14:paraId="24CB7186" w14:textId="77777777" w:rsidR="001F24ED" w:rsidRDefault="001F24ED">
            <w:pPr>
              <w:jc w:val="right"/>
              <w:rPr>
                <w:rFonts w:ascii="Arial" w:hAnsi="Arial" w:cs="Arial"/>
                <w:color w:val="000000"/>
                <w:sz w:val="16"/>
                <w:szCs w:val="16"/>
              </w:rPr>
            </w:pPr>
            <w:r>
              <w:rPr>
                <w:rFonts w:ascii="Arial" w:hAnsi="Arial" w:cs="Arial"/>
                <w:sz w:val="16"/>
                <w:szCs w:val="16"/>
              </w:rPr>
              <w:t xml:space="preserve">$ 18 </w:t>
            </w:r>
          </w:p>
        </w:tc>
        <w:tc>
          <w:tcPr>
            <w:tcW w:w="743" w:type="pct"/>
            <w:tcBorders>
              <w:top w:val="nil"/>
              <w:left w:val="nil"/>
              <w:bottom w:val="single" w:sz="4" w:space="0" w:color="auto"/>
              <w:right w:val="single" w:sz="4" w:space="0" w:color="auto"/>
            </w:tcBorders>
            <w:noWrap/>
            <w:vAlign w:val="center"/>
            <w:hideMark/>
          </w:tcPr>
          <w:p w14:paraId="2BCEF693" w14:textId="77777777" w:rsidR="001F24ED" w:rsidRDefault="001F24ED">
            <w:pPr>
              <w:jc w:val="right"/>
              <w:rPr>
                <w:rFonts w:ascii="Arial" w:hAnsi="Arial" w:cs="Arial"/>
                <w:color w:val="000000"/>
                <w:sz w:val="16"/>
                <w:szCs w:val="16"/>
              </w:rPr>
            </w:pPr>
            <w:r>
              <w:rPr>
                <w:rFonts w:ascii="Arial" w:hAnsi="Arial" w:cs="Arial"/>
                <w:sz w:val="16"/>
                <w:szCs w:val="16"/>
              </w:rPr>
              <w:t xml:space="preserve">$ 12 </w:t>
            </w:r>
          </w:p>
        </w:tc>
        <w:tc>
          <w:tcPr>
            <w:tcW w:w="715" w:type="pct"/>
            <w:tcBorders>
              <w:top w:val="nil"/>
              <w:left w:val="nil"/>
              <w:bottom w:val="single" w:sz="4" w:space="0" w:color="auto"/>
              <w:right w:val="single" w:sz="4" w:space="0" w:color="auto"/>
            </w:tcBorders>
            <w:noWrap/>
            <w:vAlign w:val="center"/>
            <w:hideMark/>
          </w:tcPr>
          <w:p w14:paraId="3DD63786" w14:textId="77777777" w:rsidR="001F24ED" w:rsidRDefault="001F24ED">
            <w:pPr>
              <w:jc w:val="right"/>
              <w:rPr>
                <w:rFonts w:ascii="Arial" w:hAnsi="Arial" w:cs="Arial"/>
                <w:color w:val="000000"/>
                <w:sz w:val="16"/>
                <w:szCs w:val="16"/>
              </w:rPr>
            </w:pPr>
            <w:r>
              <w:rPr>
                <w:rFonts w:ascii="Arial" w:hAnsi="Arial" w:cs="Arial"/>
                <w:sz w:val="16"/>
                <w:szCs w:val="16"/>
              </w:rPr>
              <w:t xml:space="preserve">$ 12 </w:t>
            </w:r>
          </w:p>
        </w:tc>
      </w:tr>
      <w:tr w:rsidR="001F24ED" w14:paraId="3698CF22" w14:textId="77777777" w:rsidTr="001F24ED">
        <w:trPr>
          <w:trHeight w:val="276"/>
        </w:trPr>
        <w:tc>
          <w:tcPr>
            <w:tcW w:w="241" w:type="pct"/>
            <w:tcBorders>
              <w:top w:val="nil"/>
              <w:left w:val="single" w:sz="4" w:space="0" w:color="auto"/>
              <w:bottom w:val="single" w:sz="4" w:space="0" w:color="auto"/>
              <w:right w:val="single" w:sz="4" w:space="0" w:color="auto"/>
            </w:tcBorders>
            <w:vAlign w:val="center"/>
            <w:hideMark/>
          </w:tcPr>
          <w:p w14:paraId="16AA5FD1" w14:textId="77777777" w:rsidR="001F24ED" w:rsidRDefault="001F24ED">
            <w:pPr>
              <w:jc w:val="center"/>
              <w:rPr>
                <w:rFonts w:ascii="Arial" w:hAnsi="Arial" w:cs="Arial"/>
                <w:color w:val="000000"/>
                <w:sz w:val="16"/>
                <w:szCs w:val="16"/>
              </w:rPr>
            </w:pPr>
            <w:r>
              <w:rPr>
                <w:rFonts w:ascii="Arial" w:hAnsi="Arial" w:cs="Arial"/>
                <w:sz w:val="16"/>
                <w:szCs w:val="16"/>
              </w:rPr>
              <w:t>17</w:t>
            </w:r>
          </w:p>
        </w:tc>
        <w:tc>
          <w:tcPr>
            <w:tcW w:w="1896" w:type="pct"/>
            <w:tcBorders>
              <w:top w:val="nil"/>
              <w:left w:val="nil"/>
              <w:bottom w:val="single" w:sz="4" w:space="0" w:color="auto"/>
              <w:right w:val="single" w:sz="4" w:space="0" w:color="auto"/>
            </w:tcBorders>
            <w:vAlign w:val="center"/>
            <w:hideMark/>
          </w:tcPr>
          <w:p w14:paraId="212AA2EE" w14:textId="77777777" w:rsidR="001F24ED" w:rsidRDefault="001F24ED">
            <w:pPr>
              <w:rPr>
                <w:rFonts w:ascii="Arial" w:hAnsi="Arial" w:cs="Arial"/>
                <w:color w:val="000000"/>
                <w:sz w:val="16"/>
                <w:szCs w:val="16"/>
              </w:rPr>
            </w:pPr>
            <w:r>
              <w:rPr>
                <w:rFonts w:ascii="Arial" w:hAnsi="Arial" w:cs="Arial"/>
                <w:sz w:val="16"/>
                <w:szCs w:val="16"/>
              </w:rPr>
              <w:t>Publicaciones Semana</w:t>
            </w:r>
          </w:p>
        </w:tc>
        <w:tc>
          <w:tcPr>
            <w:tcW w:w="704" w:type="pct"/>
            <w:tcBorders>
              <w:top w:val="nil"/>
              <w:left w:val="nil"/>
              <w:bottom w:val="single" w:sz="4" w:space="0" w:color="auto"/>
              <w:right w:val="single" w:sz="4" w:space="0" w:color="auto"/>
            </w:tcBorders>
            <w:vAlign w:val="center"/>
            <w:hideMark/>
          </w:tcPr>
          <w:p w14:paraId="7BB93B4E" w14:textId="77777777" w:rsidR="001F24ED" w:rsidRDefault="001F24ED">
            <w:pPr>
              <w:jc w:val="center"/>
              <w:rPr>
                <w:rFonts w:ascii="Arial" w:hAnsi="Arial" w:cs="Arial"/>
                <w:color w:val="000000"/>
                <w:sz w:val="16"/>
                <w:szCs w:val="16"/>
              </w:rPr>
            </w:pPr>
            <w:r>
              <w:rPr>
                <w:rFonts w:ascii="Arial" w:hAnsi="Arial" w:cs="Arial"/>
                <w:sz w:val="16"/>
                <w:szCs w:val="16"/>
              </w:rPr>
              <w:t>410 de 2018</w:t>
            </w:r>
          </w:p>
        </w:tc>
        <w:tc>
          <w:tcPr>
            <w:tcW w:w="701" w:type="pct"/>
            <w:tcBorders>
              <w:top w:val="nil"/>
              <w:left w:val="nil"/>
              <w:bottom w:val="single" w:sz="4" w:space="0" w:color="auto"/>
              <w:right w:val="single" w:sz="4" w:space="0" w:color="auto"/>
            </w:tcBorders>
            <w:noWrap/>
            <w:vAlign w:val="center"/>
            <w:hideMark/>
          </w:tcPr>
          <w:p w14:paraId="0C251E0B" w14:textId="77777777" w:rsidR="001F24ED" w:rsidRDefault="001F24ED">
            <w:pPr>
              <w:jc w:val="right"/>
              <w:rPr>
                <w:rFonts w:ascii="Arial" w:hAnsi="Arial" w:cs="Arial"/>
                <w:color w:val="000000"/>
                <w:sz w:val="16"/>
                <w:szCs w:val="16"/>
              </w:rPr>
            </w:pPr>
            <w:r>
              <w:rPr>
                <w:rFonts w:ascii="Arial" w:hAnsi="Arial" w:cs="Arial"/>
                <w:sz w:val="16"/>
                <w:szCs w:val="16"/>
              </w:rPr>
              <w:t xml:space="preserve">$ 125 </w:t>
            </w:r>
          </w:p>
        </w:tc>
        <w:tc>
          <w:tcPr>
            <w:tcW w:w="743" w:type="pct"/>
            <w:tcBorders>
              <w:top w:val="nil"/>
              <w:left w:val="nil"/>
              <w:bottom w:val="single" w:sz="4" w:space="0" w:color="auto"/>
              <w:right w:val="single" w:sz="4" w:space="0" w:color="auto"/>
            </w:tcBorders>
            <w:noWrap/>
            <w:vAlign w:val="center"/>
            <w:hideMark/>
          </w:tcPr>
          <w:p w14:paraId="06FE4578" w14:textId="77777777" w:rsidR="001F24ED" w:rsidRDefault="001F24ED">
            <w:pPr>
              <w:jc w:val="right"/>
              <w:rPr>
                <w:rFonts w:ascii="Arial" w:hAnsi="Arial" w:cs="Arial"/>
                <w:color w:val="000000"/>
                <w:sz w:val="16"/>
                <w:szCs w:val="16"/>
              </w:rPr>
            </w:pPr>
            <w:r>
              <w:rPr>
                <w:rFonts w:ascii="Arial" w:hAnsi="Arial" w:cs="Arial"/>
                <w:sz w:val="16"/>
                <w:szCs w:val="16"/>
              </w:rPr>
              <w:t xml:space="preserve">$ 25 </w:t>
            </w:r>
          </w:p>
        </w:tc>
        <w:tc>
          <w:tcPr>
            <w:tcW w:w="715" w:type="pct"/>
            <w:tcBorders>
              <w:top w:val="nil"/>
              <w:left w:val="nil"/>
              <w:bottom w:val="single" w:sz="4" w:space="0" w:color="auto"/>
              <w:right w:val="single" w:sz="4" w:space="0" w:color="auto"/>
            </w:tcBorders>
            <w:noWrap/>
            <w:vAlign w:val="center"/>
            <w:hideMark/>
          </w:tcPr>
          <w:p w14:paraId="63BBCC48" w14:textId="77777777" w:rsidR="001F24ED" w:rsidRDefault="001F24ED">
            <w:pPr>
              <w:jc w:val="right"/>
              <w:rPr>
                <w:rFonts w:ascii="Arial" w:hAnsi="Arial" w:cs="Arial"/>
                <w:color w:val="000000"/>
                <w:sz w:val="16"/>
                <w:szCs w:val="16"/>
              </w:rPr>
            </w:pPr>
            <w:r>
              <w:rPr>
                <w:rFonts w:ascii="Arial" w:hAnsi="Arial" w:cs="Arial"/>
                <w:sz w:val="16"/>
                <w:szCs w:val="16"/>
              </w:rPr>
              <w:t xml:space="preserve">$ 25 </w:t>
            </w:r>
          </w:p>
        </w:tc>
      </w:tr>
      <w:tr w:rsidR="001F24ED" w14:paraId="089610DF" w14:textId="77777777" w:rsidTr="001F24ED">
        <w:trPr>
          <w:trHeight w:val="283"/>
        </w:trPr>
        <w:tc>
          <w:tcPr>
            <w:tcW w:w="241" w:type="pct"/>
            <w:tcBorders>
              <w:top w:val="nil"/>
              <w:left w:val="single" w:sz="4" w:space="0" w:color="auto"/>
              <w:bottom w:val="single" w:sz="4" w:space="0" w:color="auto"/>
              <w:right w:val="single" w:sz="4" w:space="0" w:color="auto"/>
            </w:tcBorders>
            <w:vAlign w:val="center"/>
            <w:hideMark/>
          </w:tcPr>
          <w:p w14:paraId="1F4F1130" w14:textId="77777777" w:rsidR="001F24ED" w:rsidRDefault="001F24ED">
            <w:pPr>
              <w:jc w:val="center"/>
              <w:rPr>
                <w:rFonts w:ascii="Arial" w:hAnsi="Arial" w:cs="Arial"/>
                <w:color w:val="000000"/>
                <w:sz w:val="16"/>
                <w:szCs w:val="16"/>
              </w:rPr>
            </w:pPr>
            <w:r>
              <w:rPr>
                <w:rFonts w:ascii="Arial" w:hAnsi="Arial" w:cs="Arial"/>
                <w:sz w:val="16"/>
                <w:szCs w:val="16"/>
              </w:rPr>
              <w:t>18</w:t>
            </w:r>
          </w:p>
        </w:tc>
        <w:tc>
          <w:tcPr>
            <w:tcW w:w="1896" w:type="pct"/>
            <w:tcBorders>
              <w:top w:val="nil"/>
              <w:left w:val="nil"/>
              <w:bottom w:val="single" w:sz="4" w:space="0" w:color="auto"/>
              <w:right w:val="single" w:sz="4" w:space="0" w:color="auto"/>
            </w:tcBorders>
            <w:vAlign w:val="center"/>
            <w:hideMark/>
          </w:tcPr>
          <w:p w14:paraId="37531D01" w14:textId="77777777" w:rsidR="001F24ED" w:rsidRDefault="001F24ED">
            <w:pPr>
              <w:rPr>
                <w:rFonts w:ascii="Arial" w:hAnsi="Arial" w:cs="Arial"/>
                <w:color w:val="000000"/>
                <w:sz w:val="16"/>
                <w:szCs w:val="16"/>
              </w:rPr>
            </w:pPr>
            <w:r>
              <w:rPr>
                <w:rFonts w:ascii="Arial" w:hAnsi="Arial" w:cs="Arial"/>
                <w:sz w:val="16"/>
                <w:szCs w:val="16"/>
              </w:rPr>
              <w:t>Casa Editorial El Tiempo SA</w:t>
            </w:r>
          </w:p>
        </w:tc>
        <w:tc>
          <w:tcPr>
            <w:tcW w:w="704" w:type="pct"/>
            <w:tcBorders>
              <w:top w:val="nil"/>
              <w:left w:val="nil"/>
              <w:bottom w:val="single" w:sz="4" w:space="0" w:color="auto"/>
              <w:right w:val="single" w:sz="4" w:space="0" w:color="auto"/>
            </w:tcBorders>
            <w:vAlign w:val="center"/>
            <w:hideMark/>
          </w:tcPr>
          <w:p w14:paraId="0A8C7C8B" w14:textId="77777777" w:rsidR="001F24ED" w:rsidRDefault="001F24ED">
            <w:pPr>
              <w:jc w:val="center"/>
              <w:rPr>
                <w:rFonts w:ascii="Arial" w:hAnsi="Arial" w:cs="Arial"/>
                <w:color w:val="000000"/>
                <w:sz w:val="16"/>
                <w:szCs w:val="16"/>
              </w:rPr>
            </w:pPr>
            <w:r>
              <w:rPr>
                <w:rFonts w:ascii="Arial" w:hAnsi="Arial" w:cs="Arial"/>
                <w:sz w:val="16"/>
                <w:szCs w:val="16"/>
              </w:rPr>
              <w:t>411 de 2018</w:t>
            </w:r>
          </w:p>
        </w:tc>
        <w:tc>
          <w:tcPr>
            <w:tcW w:w="701" w:type="pct"/>
            <w:tcBorders>
              <w:top w:val="nil"/>
              <w:left w:val="nil"/>
              <w:bottom w:val="single" w:sz="4" w:space="0" w:color="auto"/>
              <w:right w:val="single" w:sz="4" w:space="0" w:color="auto"/>
            </w:tcBorders>
            <w:noWrap/>
            <w:vAlign w:val="center"/>
            <w:hideMark/>
          </w:tcPr>
          <w:p w14:paraId="4A92976B" w14:textId="77777777" w:rsidR="001F24ED" w:rsidRDefault="001F24ED">
            <w:pPr>
              <w:jc w:val="right"/>
              <w:rPr>
                <w:rFonts w:ascii="Arial" w:hAnsi="Arial" w:cs="Arial"/>
                <w:color w:val="000000"/>
                <w:sz w:val="16"/>
                <w:szCs w:val="16"/>
              </w:rPr>
            </w:pPr>
            <w:r>
              <w:rPr>
                <w:rFonts w:ascii="Arial" w:hAnsi="Arial" w:cs="Arial"/>
                <w:sz w:val="16"/>
                <w:szCs w:val="16"/>
              </w:rPr>
              <w:t xml:space="preserve">$ 100 </w:t>
            </w:r>
          </w:p>
        </w:tc>
        <w:tc>
          <w:tcPr>
            <w:tcW w:w="743" w:type="pct"/>
            <w:tcBorders>
              <w:top w:val="nil"/>
              <w:left w:val="nil"/>
              <w:bottom w:val="single" w:sz="4" w:space="0" w:color="auto"/>
              <w:right w:val="single" w:sz="4" w:space="0" w:color="auto"/>
            </w:tcBorders>
            <w:noWrap/>
            <w:vAlign w:val="center"/>
            <w:hideMark/>
          </w:tcPr>
          <w:p w14:paraId="74C7C32D"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c>
          <w:tcPr>
            <w:tcW w:w="715" w:type="pct"/>
            <w:tcBorders>
              <w:top w:val="nil"/>
              <w:left w:val="nil"/>
              <w:bottom w:val="single" w:sz="4" w:space="0" w:color="auto"/>
              <w:right w:val="single" w:sz="4" w:space="0" w:color="auto"/>
            </w:tcBorders>
            <w:noWrap/>
            <w:vAlign w:val="center"/>
            <w:hideMark/>
          </w:tcPr>
          <w:p w14:paraId="2E97975A"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0CE070F8" w14:textId="77777777" w:rsidTr="001F24ED">
        <w:trPr>
          <w:trHeight w:val="270"/>
        </w:trPr>
        <w:tc>
          <w:tcPr>
            <w:tcW w:w="241" w:type="pct"/>
            <w:tcBorders>
              <w:top w:val="nil"/>
              <w:left w:val="single" w:sz="4" w:space="0" w:color="auto"/>
              <w:bottom w:val="single" w:sz="4" w:space="0" w:color="auto"/>
              <w:right w:val="single" w:sz="4" w:space="0" w:color="auto"/>
            </w:tcBorders>
            <w:vAlign w:val="center"/>
            <w:hideMark/>
          </w:tcPr>
          <w:p w14:paraId="0011DED5" w14:textId="77777777" w:rsidR="001F24ED" w:rsidRDefault="001F24ED">
            <w:pPr>
              <w:jc w:val="center"/>
              <w:rPr>
                <w:rFonts w:ascii="Arial" w:hAnsi="Arial" w:cs="Arial"/>
                <w:color w:val="000000"/>
                <w:sz w:val="16"/>
                <w:szCs w:val="16"/>
              </w:rPr>
            </w:pPr>
            <w:r>
              <w:rPr>
                <w:rFonts w:ascii="Arial" w:hAnsi="Arial" w:cs="Arial"/>
                <w:sz w:val="16"/>
                <w:szCs w:val="16"/>
              </w:rPr>
              <w:t>19</w:t>
            </w:r>
          </w:p>
        </w:tc>
        <w:tc>
          <w:tcPr>
            <w:tcW w:w="1896" w:type="pct"/>
            <w:tcBorders>
              <w:top w:val="nil"/>
              <w:left w:val="nil"/>
              <w:bottom w:val="single" w:sz="4" w:space="0" w:color="auto"/>
              <w:right w:val="single" w:sz="4" w:space="0" w:color="auto"/>
            </w:tcBorders>
            <w:vAlign w:val="center"/>
            <w:hideMark/>
          </w:tcPr>
          <w:p w14:paraId="489E3E1C" w14:textId="77777777" w:rsidR="001F24ED" w:rsidRDefault="001F24ED">
            <w:pPr>
              <w:rPr>
                <w:rFonts w:ascii="Arial" w:hAnsi="Arial" w:cs="Arial"/>
                <w:color w:val="000000"/>
                <w:sz w:val="16"/>
                <w:szCs w:val="16"/>
              </w:rPr>
            </w:pPr>
            <w:r>
              <w:rPr>
                <w:rFonts w:ascii="Arial" w:hAnsi="Arial" w:cs="Arial"/>
                <w:sz w:val="16"/>
                <w:szCs w:val="16"/>
              </w:rPr>
              <w:t xml:space="preserve">IHS Global </w:t>
            </w:r>
            <w:proofErr w:type="spellStart"/>
            <w:r>
              <w:rPr>
                <w:rFonts w:ascii="Arial" w:hAnsi="Arial" w:cs="Arial"/>
                <w:sz w:val="16"/>
                <w:szCs w:val="16"/>
              </w:rPr>
              <w:t>Inc</w:t>
            </w:r>
            <w:proofErr w:type="spellEnd"/>
          </w:p>
        </w:tc>
        <w:tc>
          <w:tcPr>
            <w:tcW w:w="704" w:type="pct"/>
            <w:tcBorders>
              <w:top w:val="nil"/>
              <w:left w:val="nil"/>
              <w:bottom w:val="single" w:sz="4" w:space="0" w:color="auto"/>
              <w:right w:val="single" w:sz="4" w:space="0" w:color="auto"/>
            </w:tcBorders>
            <w:vAlign w:val="center"/>
            <w:hideMark/>
          </w:tcPr>
          <w:p w14:paraId="79C1A2DE" w14:textId="77777777" w:rsidR="001F24ED" w:rsidRDefault="001F24ED">
            <w:pPr>
              <w:jc w:val="center"/>
              <w:rPr>
                <w:rFonts w:ascii="Arial" w:hAnsi="Arial" w:cs="Arial"/>
                <w:color w:val="000000"/>
                <w:sz w:val="16"/>
                <w:szCs w:val="16"/>
              </w:rPr>
            </w:pPr>
            <w:r>
              <w:rPr>
                <w:rFonts w:ascii="Arial" w:hAnsi="Arial" w:cs="Arial"/>
                <w:sz w:val="16"/>
                <w:szCs w:val="16"/>
              </w:rPr>
              <w:t>413 de 2018</w:t>
            </w:r>
          </w:p>
        </w:tc>
        <w:tc>
          <w:tcPr>
            <w:tcW w:w="701" w:type="pct"/>
            <w:tcBorders>
              <w:top w:val="nil"/>
              <w:left w:val="nil"/>
              <w:bottom w:val="single" w:sz="4" w:space="0" w:color="auto"/>
              <w:right w:val="single" w:sz="4" w:space="0" w:color="auto"/>
            </w:tcBorders>
            <w:noWrap/>
            <w:vAlign w:val="center"/>
            <w:hideMark/>
          </w:tcPr>
          <w:p w14:paraId="14921F4E" w14:textId="77777777" w:rsidR="001F24ED" w:rsidRDefault="001F24ED">
            <w:pPr>
              <w:jc w:val="right"/>
              <w:rPr>
                <w:rFonts w:ascii="Arial" w:hAnsi="Arial" w:cs="Arial"/>
                <w:color w:val="000000"/>
                <w:sz w:val="16"/>
                <w:szCs w:val="16"/>
              </w:rPr>
            </w:pPr>
            <w:r>
              <w:rPr>
                <w:rFonts w:ascii="Arial" w:hAnsi="Arial" w:cs="Arial"/>
                <w:sz w:val="16"/>
                <w:szCs w:val="16"/>
              </w:rPr>
              <w:t xml:space="preserve">$ 810 </w:t>
            </w:r>
          </w:p>
        </w:tc>
        <w:tc>
          <w:tcPr>
            <w:tcW w:w="743" w:type="pct"/>
            <w:tcBorders>
              <w:top w:val="nil"/>
              <w:left w:val="nil"/>
              <w:bottom w:val="single" w:sz="4" w:space="0" w:color="auto"/>
              <w:right w:val="single" w:sz="4" w:space="0" w:color="auto"/>
            </w:tcBorders>
            <w:noWrap/>
            <w:vAlign w:val="center"/>
            <w:hideMark/>
          </w:tcPr>
          <w:p w14:paraId="44C7A22B"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c>
          <w:tcPr>
            <w:tcW w:w="715" w:type="pct"/>
            <w:tcBorders>
              <w:top w:val="nil"/>
              <w:left w:val="nil"/>
              <w:bottom w:val="single" w:sz="4" w:space="0" w:color="auto"/>
              <w:right w:val="single" w:sz="4" w:space="0" w:color="auto"/>
            </w:tcBorders>
            <w:noWrap/>
            <w:vAlign w:val="center"/>
            <w:hideMark/>
          </w:tcPr>
          <w:p w14:paraId="39A51341"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365AC2C4" w14:textId="77777777" w:rsidTr="001F24ED">
        <w:trPr>
          <w:trHeight w:val="404"/>
        </w:trPr>
        <w:tc>
          <w:tcPr>
            <w:tcW w:w="241" w:type="pct"/>
            <w:tcBorders>
              <w:top w:val="nil"/>
              <w:left w:val="single" w:sz="4" w:space="0" w:color="auto"/>
              <w:bottom w:val="single" w:sz="4" w:space="0" w:color="auto"/>
              <w:right w:val="single" w:sz="4" w:space="0" w:color="auto"/>
            </w:tcBorders>
            <w:vAlign w:val="center"/>
            <w:hideMark/>
          </w:tcPr>
          <w:p w14:paraId="195A9118" w14:textId="77777777" w:rsidR="001F24ED" w:rsidRDefault="001F24ED">
            <w:pPr>
              <w:jc w:val="center"/>
              <w:rPr>
                <w:rFonts w:ascii="Arial" w:hAnsi="Arial" w:cs="Arial"/>
                <w:color w:val="000000"/>
                <w:sz w:val="16"/>
                <w:szCs w:val="16"/>
              </w:rPr>
            </w:pPr>
            <w:r>
              <w:rPr>
                <w:rFonts w:ascii="Arial" w:hAnsi="Arial" w:cs="Arial"/>
                <w:sz w:val="16"/>
                <w:szCs w:val="16"/>
              </w:rPr>
              <w:t>20</w:t>
            </w:r>
          </w:p>
        </w:tc>
        <w:tc>
          <w:tcPr>
            <w:tcW w:w="1896" w:type="pct"/>
            <w:tcBorders>
              <w:top w:val="nil"/>
              <w:left w:val="nil"/>
              <w:bottom w:val="single" w:sz="4" w:space="0" w:color="auto"/>
              <w:right w:val="single" w:sz="4" w:space="0" w:color="auto"/>
            </w:tcBorders>
            <w:vAlign w:val="center"/>
            <w:hideMark/>
          </w:tcPr>
          <w:p w14:paraId="427D05A2" w14:textId="77777777" w:rsidR="001F24ED" w:rsidRDefault="001F24ED">
            <w:pPr>
              <w:rPr>
                <w:rFonts w:ascii="Arial" w:hAnsi="Arial" w:cs="Arial"/>
                <w:color w:val="000000"/>
                <w:sz w:val="16"/>
                <w:szCs w:val="16"/>
              </w:rPr>
            </w:pPr>
            <w:r>
              <w:rPr>
                <w:rFonts w:ascii="Arial" w:hAnsi="Arial" w:cs="Arial"/>
                <w:sz w:val="16"/>
                <w:szCs w:val="16"/>
              </w:rPr>
              <w:t xml:space="preserve">Ingrid Yaneth Mejía  Chaparro  -Sintonizar Medios SAS </w:t>
            </w:r>
          </w:p>
        </w:tc>
        <w:tc>
          <w:tcPr>
            <w:tcW w:w="704" w:type="pct"/>
            <w:tcBorders>
              <w:top w:val="nil"/>
              <w:left w:val="nil"/>
              <w:bottom w:val="single" w:sz="4" w:space="0" w:color="auto"/>
              <w:right w:val="single" w:sz="4" w:space="0" w:color="auto"/>
            </w:tcBorders>
            <w:vAlign w:val="center"/>
            <w:hideMark/>
          </w:tcPr>
          <w:p w14:paraId="514DEF5E" w14:textId="77777777" w:rsidR="001F24ED" w:rsidRDefault="001F24ED">
            <w:pPr>
              <w:jc w:val="center"/>
              <w:rPr>
                <w:rFonts w:ascii="Arial" w:hAnsi="Arial" w:cs="Arial"/>
                <w:color w:val="000000"/>
                <w:sz w:val="16"/>
                <w:szCs w:val="16"/>
              </w:rPr>
            </w:pPr>
            <w:r>
              <w:rPr>
                <w:rFonts w:ascii="Arial" w:hAnsi="Arial" w:cs="Arial"/>
                <w:sz w:val="16"/>
                <w:szCs w:val="16"/>
              </w:rPr>
              <w:t>425 de 2018</w:t>
            </w:r>
          </w:p>
        </w:tc>
        <w:tc>
          <w:tcPr>
            <w:tcW w:w="701" w:type="pct"/>
            <w:tcBorders>
              <w:top w:val="nil"/>
              <w:left w:val="nil"/>
              <w:bottom w:val="single" w:sz="4" w:space="0" w:color="auto"/>
              <w:right w:val="single" w:sz="4" w:space="0" w:color="auto"/>
            </w:tcBorders>
            <w:noWrap/>
            <w:vAlign w:val="center"/>
            <w:hideMark/>
          </w:tcPr>
          <w:p w14:paraId="35E4C8FC" w14:textId="77777777" w:rsidR="001F24ED" w:rsidRDefault="001F24ED">
            <w:pPr>
              <w:jc w:val="right"/>
              <w:rPr>
                <w:rFonts w:ascii="Arial" w:hAnsi="Arial" w:cs="Arial"/>
                <w:color w:val="000000"/>
                <w:sz w:val="16"/>
                <w:szCs w:val="16"/>
              </w:rPr>
            </w:pPr>
            <w:r>
              <w:rPr>
                <w:rFonts w:ascii="Arial" w:hAnsi="Arial" w:cs="Arial"/>
                <w:sz w:val="16"/>
                <w:szCs w:val="16"/>
              </w:rPr>
              <w:t xml:space="preserve">$ 450 </w:t>
            </w:r>
          </w:p>
        </w:tc>
        <w:tc>
          <w:tcPr>
            <w:tcW w:w="743" w:type="pct"/>
            <w:tcBorders>
              <w:top w:val="nil"/>
              <w:left w:val="nil"/>
              <w:bottom w:val="single" w:sz="4" w:space="0" w:color="auto"/>
              <w:right w:val="single" w:sz="4" w:space="0" w:color="auto"/>
            </w:tcBorders>
            <w:noWrap/>
            <w:vAlign w:val="center"/>
            <w:hideMark/>
          </w:tcPr>
          <w:p w14:paraId="24FF2B3D"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c>
          <w:tcPr>
            <w:tcW w:w="715" w:type="pct"/>
            <w:tcBorders>
              <w:top w:val="nil"/>
              <w:left w:val="nil"/>
              <w:bottom w:val="single" w:sz="4" w:space="0" w:color="auto"/>
              <w:right w:val="single" w:sz="4" w:space="0" w:color="auto"/>
            </w:tcBorders>
            <w:noWrap/>
            <w:vAlign w:val="center"/>
            <w:hideMark/>
          </w:tcPr>
          <w:p w14:paraId="6C2A85C5"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7DD13C18" w14:textId="77777777" w:rsidTr="001F24ED">
        <w:trPr>
          <w:trHeight w:val="285"/>
        </w:trPr>
        <w:tc>
          <w:tcPr>
            <w:tcW w:w="241" w:type="pct"/>
            <w:tcBorders>
              <w:top w:val="nil"/>
              <w:left w:val="single" w:sz="4" w:space="0" w:color="auto"/>
              <w:bottom w:val="single" w:sz="4" w:space="0" w:color="auto"/>
              <w:right w:val="single" w:sz="4" w:space="0" w:color="auto"/>
            </w:tcBorders>
            <w:vAlign w:val="center"/>
            <w:hideMark/>
          </w:tcPr>
          <w:p w14:paraId="52EE97C4" w14:textId="77777777" w:rsidR="001F24ED" w:rsidRDefault="001F24ED">
            <w:pPr>
              <w:jc w:val="center"/>
              <w:rPr>
                <w:rFonts w:ascii="Arial" w:hAnsi="Arial" w:cs="Arial"/>
                <w:color w:val="000000"/>
                <w:sz w:val="16"/>
                <w:szCs w:val="16"/>
              </w:rPr>
            </w:pPr>
            <w:r>
              <w:rPr>
                <w:rFonts w:ascii="Arial" w:hAnsi="Arial" w:cs="Arial"/>
                <w:sz w:val="16"/>
                <w:szCs w:val="16"/>
              </w:rPr>
              <w:t>21</w:t>
            </w:r>
          </w:p>
        </w:tc>
        <w:tc>
          <w:tcPr>
            <w:tcW w:w="1896" w:type="pct"/>
            <w:tcBorders>
              <w:top w:val="nil"/>
              <w:left w:val="nil"/>
              <w:bottom w:val="single" w:sz="4" w:space="0" w:color="auto"/>
              <w:right w:val="single" w:sz="4" w:space="0" w:color="auto"/>
            </w:tcBorders>
            <w:vAlign w:val="center"/>
            <w:hideMark/>
          </w:tcPr>
          <w:p w14:paraId="26412DBF" w14:textId="77777777" w:rsidR="001F24ED" w:rsidRDefault="001F24ED">
            <w:pPr>
              <w:rPr>
                <w:rFonts w:ascii="Arial" w:hAnsi="Arial" w:cs="Arial"/>
                <w:color w:val="000000"/>
                <w:sz w:val="16"/>
                <w:szCs w:val="16"/>
              </w:rPr>
            </w:pPr>
            <w:r>
              <w:rPr>
                <w:rFonts w:ascii="Arial" w:hAnsi="Arial" w:cs="Arial"/>
                <w:sz w:val="16"/>
                <w:szCs w:val="16"/>
              </w:rPr>
              <w:t>Plural Comunicaciones SA</w:t>
            </w:r>
          </w:p>
        </w:tc>
        <w:tc>
          <w:tcPr>
            <w:tcW w:w="704" w:type="pct"/>
            <w:tcBorders>
              <w:top w:val="nil"/>
              <w:left w:val="nil"/>
              <w:bottom w:val="single" w:sz="4" w:space="0" w:color="auto"/>
              <w:right w:val="single" w:sz="4" w:space="0" w:color="auto"/>
            </w:tcBorders>
            <w:vAlign w:val="center"/>
            <w:hideMark/>
          </w:tcPr>
          <w:p w14:paraId="2D84AF50" w14:textId="77777777" w:rsidR="001F24ED" w:rsidRDefault="001F24ED">
            <w:pPr>
              <w:jc w:val="center"/>
              <w:rPr>
                <w:rFonts w:ascii="Arial" w:hAnsi="Arial" w:cs="Arial"/>
                <w:color w:val="000000"/>
                <w:sz w:val="16"/>
                <w:szCs w:val="16"/>
              </w:rPr>
            </w:pPr>
            <w:r>
              <w:rPr>
                <w:rFonts w:ascii="Arial" w:hAnsi="Arial" w:cs="Arial"/>
                <w:sz w:val="16"/>
                <w:szCs w:val="16"/>
              </w:rPr>
              <w:t>431 de 2018</w:t>
            </w:r>
          </w:p>
        </w:tc>
        <w:tc>
          <w:tcPr>
            <w:tcW w:w="701" w:type="pct"/>
            <w:tcBorders>
              <w:top w:val="nil"/>
              <w:left w:val="nil"/>
              <w:bottom w:val="single" w:sz="4" w:space="0" w:color="auto"/>
              <w:right w:val="single" w:sz="4" w:space="0" w:color="auto"/>
            </w:tcBorders>
            <w:noWrap/>
            <w:vAlign w:val="center"/>
            <w:hideMark/>
          </w:tcPr>
          <w:p w14:paraId="56464902" w14:textId="77777777" w:rsidR="001F24ED" w:rsidRDefault="001F24ED">
            <w:pPr>
              <w:jc w:val="right"/>
              <w:rPr>
                <w:rFonts w:ascii="Arial" w:hAnsi="Arial" w:cs="Arial"/>
                <w:color w:val="000000"/>
                <w:sz w:val="16"/>
                <w:szCs w:val="16"/>
              </w:rPr>
            </w:pPr>
            <w:r>
              <w:rPr>
                <w:rFonts w:ascii="Arial" w:hAnsi="Arial" w:cs="Arial"/>
                <w:sz w:val="16"/>
                <w:szCs w:val="16"/>
              </w:rPr>
              <w:t xml:space="preserve">$ 140 </w:t>
            </w:r>
          </w:p>
        </w:tc>
        <w:tc>
          <w:tcPr>
            <w:tcW w:w="743" w:type="pct"/>
            <w:tcBorders>
              <w:top w:val="nil"/>
              <w:left w:val="nil"/>
              <w:bottom w:val="single" w:sz="4" w:space="0" w:color="auto"/>
              <w:right w:val="single" w:sz="4" w:space="0" w:color="auto"/>
            </w:tcBorders>
            <w:noWrap/>
            <w:vAlign w:val="center"/>
            <w:hideMark/>
          </w:tcPr>
          <w:p w14:paraId="616BAD5D"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c>
          <w:tcPr>
            <w:tcW w:w="715" w:type="pct"/>
            <w:tcBorders>
              <w:top w:val="nil"/>
              <w:left w:val="nil"/>
              <w:bottom w:val="single" w:sz="4" w:space="0" w:color="auto"/>
              <w:right w:val="single" w:sz="4" w:space="0" w:color="auto"/>
            </w:tcBorders>
            <w:noWrap/>
            <w:vAlign w:val="center"/>
            <w:hideMark/>
          </w:tcPr>
          <w:p w14:paraId="7AE6A83E"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22A060F3" w14:textId="77777777" w:rsidTr="001F24ED">
        <w:trPr>
          <w:trHeight w:val="263"/>
        </w:trPr>
        <w:tc>
          <w:tcPr>
            <w:tcW w:w="241" w:type="pct"/>
            <w:tcBorders>
              <w:top w:val="nil"/>
              <w:left w:val="single" w:sz="4" w:space="0" w:color="auto"/>
              <w:bottom w:val="single" w:sz="4" w:space="0" w:color="auto"/>
              <w:right w:val="single" w:sz="4" w:space="0" w:color="auto"/>
            </w:tcBorders>
            <w:vAlign w:val="center"/>
            <w:hideMark/>
          </w:tcPr>
          <w:p w14:paraId="5EFB625F" w14:textId="77777777" w:rsidR="001F24ED" w:rsidRDefault="001F24ED">
            <w:pPr>
              <w:jc w:val="center"/>
              <w:rPr>
                <w:rFonts w:ascii="Arial" w:hAnsi="Arial" w:cs="Arial"/>
                <w:color w:val="000000"/>
                <w:sz w:val="16"/>
                <w:szCs w:val="16"/>
              </w:rPr>
            </w:pPr>
            <w:r>
              <w:rPr>
                <w:rFonts w:ascii="Arial" w:hAnsi="Arial" w:cs="Arial"/>
                <w:sz w:val="16"/>
                <w:szCs w:val="16"/>
              </w:rPr>
              <w:t>22</w:t>
            </w:r>
          </w:p>
        </w:tc>
        <w:tc>
          <w:tcPr>
            <w:tcW w:w="1896" w:type="pct"/>
            <w:tcBorders>
              <w:top w:val="nil"/>
              <w:left w:val="nil"/>
              <w:bottom w:val="single" w:sz="4" w:space="0" w:color="auto"/>
              <w:right w:val="single" w:sz="4" w:space="0" w:color="auto"/>
            </w:tcBorders>
            <w:vAlign w:val="center"/>
            <w:hideMark/>
          </w:tcPr>
          <w:p w14:paraId="6CF9C7E0" w14:textId="77777777" w:rsidR="001F24ED" w:rsidRDefault="001F24ED">
            <w:pPr>
              <w:rPr>
                <w:rFonts w:ascii="Arial" w:hAnsi="Arial" w:cs="Arial"/>
                <w:color w:val="000000"/>
                <w:sz w:val="16"/>
                <w:szCs w:val="16"/>
              </w:rPr>
            </w:pPr>
            <w:r>
              <w:rPr>
                <w:rFonts w:ascii="Arial" w:hAnsi="Arial" w:cs="Arial"/>
                <w:sz w:val="16"/>
                <w:szCs w:val="16"/>
              </w:rPr>
              <w:t xml:space="preserve">El Heraldo S.A. </w:t>
            </w:r>
          </w:p>
        </w:tc>
        <w:tc>
          <w:tcPr>
            <w:tcW w:w="704" w:type="pct"/>
            <w:tcBorders>
              <w:top w:val="nil"/>
              <w:left w:val="nil"/>
              <w:bottom w:val="single" w:sz="4" w:space="0" w:color="auto"/>
              <w:right w:val="single" w:sz="4" w:space="0" w:color="auto"/>
            </w:tcBorders>
            <w:vAlign w:val="center"/>
            <w:hideMark/>
          </w:tcPr>
          <w:p w14:paraId="4575D5C2" w14:textId="77777777" w:rsidR="001F24ED" w:rsidRDefault="001F24ED">
            <w:pPr>
              <w:jc w:val="center"/>
              <w:rPr>
                <w:rFonts w:ascii="Arial" w:hAnsi="Arial" w:cs="Arial"/>
                <w:color w:val="000000"/>
                <w:sz w:val="16"/>
                <w:szCs w:val="16"/>
              </w:rPr>
            </w:pPr>
            <w:r>
              <w:rPr>
                <w:rFonts w:ascii="Arial" w:hAnsi="Arial" w:cs="Arial"/>
                <w:sz w:val="16"/>
                <w:szCs w:val="16"/>
              </w:rPr>
              <w:t>440 de 2018</w:t>
            </w:r>
          </w:p>
        </w:tc>
        <w:tc>
          <w:tcPr>
            <w:tcW w:w="701" w:type="pct"/>
            <w:tcBorders>
              <w:top w:val="nil"/>
              <w:left w:val="nil"/>
              <w:bottom w:val="single" w:sz="4" w:space="0" w:color="auto"/>
              <w:right w:val="single" w:sz="4" w:space="0" w:color="auto"/>
            </w:tcBorders>
            <w:noWrap/>
            <w:vAlign w:val="center"/>
            <w:hideMark/>
          </w:tcPr>
          <w:p w14:paraId="54965735" w14:textId="77777777" w:rsidR="001F24ED" w:rsidRDefault="001F24ED">
            <w:pPr>
              <w:jc w:val="right"/>
              <w:rPr>
                <w:rFonts w:ascii="Arial" w:hAnsi="Arial" w:cs="Arial"/>
                <w:color w:val="000000"/>
                <w:sz w:val="16"/>
                <w:szCs w:val="16"/>
              </w:rPr>
            </w:pPr>
            <w:r>
              <w:rPr>
                <w:rFonts w:ascii="Arial" w:hAnsi="Arial" w:cs="Arial"/>
                <w:sz w:val="16"/>
                <w:szCs w:val="16"/>
              </w:rPr>
              <w:t xml:space="preserve">$ 40 </w:t>
            </w:r>
          </w:p>
        </w:tc>
        <w:tc>
          <w:tcPr>
            <w:tcW w:w="743" w:type="pct"/>
            <w:tcBorders>
              <w:top w:val="nil"/>
              <w:left w:val="nil"/>
              <w:bottom w:val="single" w:sz="4" w:space="0" w:color="auto"/>
              <w:right w:val="single" w:sz="4" w:space="0" w:color="auto"/>
            </w:tcBorders>
            <w:noWrap/>
            <w:vAlign w:val="center"/>
            <w:hideMark/>
          </w:tcPr>
          <w:p w14:paraId="269C5D07"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c>
          <w:tcPr>
            <w:tcW w:w="715" w:type="pct"/>
            <w:tcBorders>
              <w:top w:val="nil"/>
              <w:left w:val="nil"/>
              <w:bottom w:val="single" w:sz="4" w:space="0" w:color="auto"/>
              <w:right w:val="single" w:sz="4" w:space="0" w:color="auto"/>
            </w:tcBorders>
            <w:noWrap/>
            <w:vAlign w:val="center"/>
            <w:hideMark/>
          </w:tcPr>
          <w:p w14:paraId="57A9A80A"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254E27FA" w14:textId="77777777" w:rsidTr="001F24ED">
        <w:trPr>
          <w:trHeight w:val="283"/>
        </w:trPr>
        <w:tc>
          <w:tcPr>
            <w:tcW w:w="241" w:type="pct"/>
            <w:tcBorders>
              <w:top w:val="nil"/>
              <w:left w:val="single" w:sz="4" w:space="0" w:color="auto"/>
              <w:bottom w:val="single" w:sz="4" w:space="0" w:color="auto"/>
              <w:right w:val="single" w:sz="4" w:space="0" w:color="auto"/>
            </w:tcBorders>
            <w:vAlign w:val="center"/>
            <w:hideMark/>
          </w:tcPr>
          <w:p w14:paraId="7DB41188" w14:textId="77777777" w:rsidR="001F24ED" w:rsidRDefault="001F24ED">
            <w:pPr>
              <w:jc w:val="center"/>
              <w:rPr>
                <w:rFonts w:ascii="Arial" w:hAnsi="Arial" w:cs="Arial"/>
                <w:color w:val="000000"/>
                <w:sz w:val="16"/>
                <w:szCs w:val="16"/>
              </w:rPr>
            </w:pPr>
            <w:r>
              <w:rPr>
                <w:rFonts w:ascii="Arial" w:hAnsi="Arial" w:cs="Arial"/>
                <w:sz w:val="16"/>
                <w:szCs w:val="16"/>
              </w:rPr>
              <w:t>23</w:t>
            </w:r>
          </w:p>
        </w:tc>
        <w:tc>
          <w:tcPr>
            <w:tcW w:w="1896" w:type="pct"/>
            <w:tcBorders>
              <w:top w:val="nil"/>
              <w:left w:val="nil"/>
              <w:bottom w:val="single" w:sz="4" w:space="0" w:color="auto"/>
              <w:right w:val="single" w:sz="4" w:space="0" w:color="auto"/>
            </w:tcBorders>
            <w:vAlign w:val="center"/>
            <w:hideMark/>
          </w:tcPr>
          <w:p w14:paraId="001184A6" w14:textId="77777777" w:rsidR="001F24ED" w:rsidRDefault="001F24ED">
            <w:pPr>
              <w:rPr>
                <w:rFonts w:ascii="Arial" w:hAnsi="Arial" w:cs="Arial"/>
                <w:color w:val="000000"/>
                <w:sz w:val="16"/>
                <w:szCs w:val="16"/>
              </w:rPr>
            </w:pPr>
            <w:r>
              <w:rPr>
                <w:rFonts w:ascii="Arial" w:hAnsi="Arial" w:cs="Arial"/>
                <w:sz w:val="16"/>
                <w:szCs w:val="16"/>
              </w:rPr>
              <w:t>D2 Publicidad SAS</w:t>
            </w:r>
          </w:p>
        </w:tc>
        <w:tc>
          <w:tcPr>
            <w:tcW w:w="704" w:type="pct"/>
            <w:tcBorders>
              <w:top w:val="nil"/>
              <w:left w:val="nil"/>
              <w:bottom w:val="single" w:sz="4" w:space="0" w:color="auto"/>
              <w:right w:val="single" w:sz="4" w:space="0" w:color="auto"/>
            </w:tcBorders>
            <w:vAlign w:val="center"/>
            <w:hideMark/>
          </w:tcPr>
          <w:p w14:paraId="3B1A798B" w14:textId="77777777" w:rsidR="001F24ED" w:rsidRDefault="001F24ED">
            <w:pPr>
              <w:jc w:val="center"/>
              <w:rPr>
                <w:rFonts w:ascii="Arial" w:hAnsi="Arial" w:cs="Arial"/>
                <w:color w:val="000000"/>
                <w:sz w:val="16"/>
                <w:szCs w:val="16"/>
              </w:rPr>
            </w:pPr>
            <w:r>
              <w:rPr>
                <w:rFonts w:ascii="Arial" w:hAnsi="Arial" w:cs="Arial"/>
                <w:sz w:val="16"/>
                <w:szCs w:val="16"/>
              </w:rPr>
              <w:t>441 de 2018</w:t>
            </w:r>
          </w:p>
        </w:tc>
        <w:tc>
          <w:tcPr>
            <w:tcW w:w="701" w:type="pct"/>
            <w:tcBorders>
              <w:top w:val="nil"/>
              <w:left w:val="nil"/>
              <w:bottom w:val="single" w:sz="4" w:space="0" w:color="auto"/>
              <w:right w:val="single" w:sz="4" w:space="0" w:color="auto"/>
            </w:tcBorders>
            <w:noWrap/>
            <w:vAlign w:val="center"/>
            <w:hideMark/>
          </w:tcPr>
          <w:p w14:paraId="01B5ADE8" w14:textId="77777777" w:rsidR="001F24ED" w:rsidRDefault="001F24ED">
            <w:pPr>
              <w:jc w:val="right"/>
              <w:rPr>
                <w:rFonts w:ascii="Arial" w:hAnsi="Arial" w:cs="Arial"/>
                <w:color w:val="000000"/>
                <w:sz w:val="16"/>
                <w:szCs w:val="16"/>
              </w:rPr>
            </w:pPr>
            <w:r>
              <w:rPr>
                <w:rFonts w:ascii="Arial" w:hAnsi="Arial" w:cs="Arial"/>
                <w:sz w:val="16"/>
                <w:szCs w:val="16"/>
              </w:rPr>
              <w:t xml:space="preserve">$ 119 </w:t>
            </w:r>
          </w:p>
        </w:tc>
        <w:tc>
          <w:tcPr>
            <w:tcW w:w="743" w:type="pct"/>
            <w:tcBorders>
              <w:top w:val="nil"/>
              <w:left w:val="nil"/>
              <w:bottom w:val="single" w:sz="4" w:space="0" w:color="auto"/>
              <w:right w:val="single" w:sz="4" w:space="0" w:color="auto"/>
            </w:tcBorders>
            <w:noWrap/>
            <w:vAlign w:val="center"/>
            <w:hideMark/>
          </w:tcPr>
          <w:p w14:paraId="31DD4751"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c>
          <w:tcPr>
            <w:tcW w:w="715" w:type="pct"/>
            <w:tcBorders>
              <w:top w:val="nil"/>
              <w:left w:val="nil"/>
              <w:bottom w:val="single" w:sz="4" w:space="0" w:color="auto"/>
              <w:right w:val="single" w:sz="4" w:space="0" w:color="auto"/>
            </w:tcBorders>
            <w:noWrap/>
            <w:vAlign w:val="center"/>
            <w:hideMark/>
          </w:tcPr>
          <w:p w14:paraId="1105C473" w14:textId="77777777" w:rsidR="001F24ED" w:rsidRDefault="001F24ED">
            <w:pPr>
              <w:jc w:val="right"/>
              <w:rPr>
                <w:rFonts w:ascii="Arial" w:hAnsi="Arial" w:cs="Arial"/>
                <w:color w:val="000000"/>
                <w:sz w:val="16"/>
                <w:szCs w:val="16"/>
              </w:rPr>
            </w:pPr>
            <w:r>
              <w:rPr>
                <w:rFonts w:ascii="Arial" w:hAnsi="Arial" w:cs="Arial"/>
                <w:sz w:val="16"/>
                <w:szCs w:val="16"/>
              </w:rPr>
              <w:t xml:space="preserve">- </w:t>
            </w:r>
          </w:p>
        </w:tc>
      </w:tr>
      <w:tr w:rsidR="001F24ED" w14:paraId="0895AEE6" w14:textId="77777777" w:rsidTr="001F24ED">
        <w:trPr>
          <w:trHeight w:val="275"/>
        </w:trPr>
        <w:tc>
          <w:tcPr>
            <w:tcW w:w="241" w:type="pct"/>
            <w:tcBorders>
              <w:top w:val="nil"/>
              <w:left w:val="single" w:sz="4" w:space="0" w:color="auto"/>
              <w:bottom w:val="single" w:sz="4" w:space="0" w:color="auto"/>
              <w:right w:val="single" w:sz="4" w:space="0" w:color="auto"/>
            </w:tcBorders>
            <w:vAlign w:val="center"/>
            <w:hideMark/>
          </w:tcPr>
          <w:p w14:paraId="42605E23" w14:textId="77777777" w:rsidR="001F24ED" w:rsidRDefault="001F24ED">
            <w:pPr>
              <w:jc w:val="center"/>
              <w:rPr>
                <w:rFonts w:ascii="Arial" w:hAnsi="Arial" w:cs="Arial"/>
                <w:color w:val="000000"/>
                <w:sz w:val="16"/>
                <w:szCs w:val="16"/>
              </w:rPr>
            </w:pPr>
            <w:r>
              <w:rPr>
                <w:rFonts w:ascii="Arial" w:hAnsi="Arial" w:cs="Arial"/>
                <w:sz w:val="16"/>
                <w:szCs w:val="16"/>
              </w:rPr>
              <w:t>24</w:t>
            </w:r>
          </w:p>
        </w:tc>
        <w:tc>
          <w:tcPr>
            <w:tcW w:w="1896" w:type="pct"/>
            <w:tcBorders>
              <w:top w:val="nil"/>
              <w:left w:val="nil"/>
              <w:bottom w:val="single" w:sz="4" w:space="0" w:color="auto"/>
              <w:right w:val="single" w:sz="4" w:space="0" w:color="auto"/>
            </w:tcBorders>
            <w:vAlign w:val="center"/>
            <w:hideMark/>
          </w:tcPr>
          <w:p w14:paraId="06084706" w14:textId="77777777" w:rsidR="001F24ED" w:rsidRDefault="001F24ED">
            <w:pPr>
              <w:rPr>
                <w:rFonts w:ascii="Arial" w:hAnsi="Arial" w:cs="Arial"/>
                <w:color w:val="000000"/>
                <w:sz w:val="16"/>
                <w:szCs w:val="16"/>
              </w:rPr>
            </w:pPr>
            <w:r>
              <w:rPr>
                <w:rFonts w:ascii="Arial" w:hAnsi="Arial" w:cs="Arial"/>
                <w:sz w:val="16"/>
                <w:szCs w:val="16"/>
              </w:rPr>
              <w:t>Viáticos y Transportes para Eventos</w:t>
            </w:r>
          </w:p>
        </w:tc>
        <w:tc>
          <w:tcPr>
            <w:tcW w:w="704" w:type="pct"/>
            <w:tcBorders>
              <w:top w:val="nil"/>
              <w:left w:val="nil"/>
              <w:bottom w:val="single" w:sz="4" w:space="0" w:color="auto"/>
              <w:right w:val="single" w:sz="4" w:space="0" w:color="auto"/>
            </w:tcBorders>
            <w:vAlign w:val="center"/>
            <w:hideMark/>
          </w:tcPr>
          <w:p w14:paraId="069970A6" w14:textId="77777777" w:rsidR="001F24ED" w:rsidRDefault="001F24ED">
            <w:pPr>
              <w:jc w:val="center"/>
              <w:rPr>
                <w:rFonts w:ascii="Arial" w:hAnsi="Arial" w:cs="Arial"/>
                <w:color w:val="000000"/>
                <w:sz w:val="16"/>
                <w:szCs w:val="16"/>
              </w:rPr>
            </w:pPr>
            <w:r>
              <w:rPr>
                <w:rFonts w:ascii="Arial" w:hAnsi="Arial" w:cs="Arial"/>
                <w:sz w:val="16"/>
                <w:szCs w:val="16"/>
              </w:rPr>
              <w:t>-</w:t>
            </w:r>
          </w:p>
        </w:tc>
        <w:tc>
          <w:tcPr>
            <w:tcW w:w="701" w:type="pct"/>
            <w:tcBorders>
              <w:top w:val="nil"/>
              <w:left w:val="nil"/>
              <w:bottom w:val="single" w:sz="4" w:space="0" w:color="auto"/>
              <w:right w:val="single" w:sz="4" w:space="0" w:color="auto"/>
            </w:tcBorders>
            <w:noWrap/>
            <w:vAlign w:val="center"/>
            <w:hideMark/>
          </w:tcPr>
          <w:p w14:paraId="47833E03" w14:textId="77777777" w:rsidR="001F24ED" w:rsidRDefault="001F24ED">
            <w:pPr>
              <w:jc w:val="right"/>
              <w:rPr>
                <w:rFonts w:ascii="Arial" w:hAnsi="Arial" w:cs="Arial"/>
                <w:color w:val="000000"/>
                <w:sz w:val="16"/>
                <w:szCs w:val="16"/>
              </w:rPr>
            </w:pPr>
            <w:r>
              <w:rPr>
                <w:rFonts w:ascii="Arial" w:hAnsi="Arial" w:cs="Arial"/>
                <w:sz w:val="16"/>
                <w:szCs w:val="16"/>
              </w:rPr>
              <w:t xml:space="preserve">$ 93 </w:t>
            </w:r>
          </w:p>
        </w:tc>
        <w:tc>
          <w:tcPr>
            <w:tcW w:w="743" w:type="pct"/>
            <w:tcBorders>
              <w:top w:val="nil"/>
              <w:left w:val="nil"/>
              <w:bottom w:val="single" w:sz="4" w:space="0" w:color="auto"/>
              <w:right w:val="single" w:sz="4" w:space="0" w:color="auto"/>
            </w:tcBorders>
            <w:noWrap/>
            <w:vAlign w:val="center"/>
            <w:hideMark/>
          </w:tcPr>
          <w:p w14:paraId="10EECB4A" w14:textId="77777777" w:rsidR="001F24ED" w:rsidRDefault="001F24ED">
            <w:pPr>
              <w:jc w:val="right"/>
              <w:rPr>
                <w:rFonts w:ascii="Arial" w:hAnsi="Arial" w:cs="Arial"/>
                <w:color w:val="000000"/>
                <w:sz w:val="16"/>
                <w:szCs w:val="16"/>
              </w:rPr>
            </w:pPr>
            <w:r>
              <w:rPr>
                <w:rFonts w:ascii="Arial" w:hAnsi="Arial" w:cs="Arial"/>
                <w:sz w:val="16"/>
                <w:szCs w:val="16"/>
              </w:rPr>
              <w:t xml:space="preserve">$ 43 </w:t>
            </w:r>
          </w:p>
        </w:tc>
        <w:tc>
          <w:tcPr>
            <w:tcW w:w="715" w:type="pct"/>
            <w:tcBorders>
              <w:top w:val="nil"/>
              <w:left w:val="nil"/>
              <w:bottom w:val="single" w:sz="4" w:space="0" w:color="auto"/>
              <w:right w:val="single" w:sz="4" w:space="0" w:color="auto"/>
            </w:tcBorders>
            <w:noWrap/>
            <w:vAlign w:val="center"/>
            <w:hideMark/>
          </w:tcPr>
          <w:p w14:paraId="33F99353" w14:textId="77777777" w:rsidR="001F24ED" w:rsidRDefault="001F24ED">
            <w:pPr>
              <w:jc w:val="right"/>
              <w:rPr>
                <w:rFonts w:ascii="Arial" w:hAnsi="Arial" w:cs="Arial"/>
                <w:color w:val="000000"/>
                <w:sz w:val="16"/>
                <w:szCs w:val="16"/>
              </w:rPr>
            </w:pPr>
            <w:r>
              <w:rPr>
                <w:rFonts w:ascii="Arial" w:hAnsi="Arial" w:cs="Arial"/>
                <w:sz w:val="16"/>
                <w:szCs w:val="16"/>
              </w:rPr>
              <w:t xml:space="preserve">$ 43 </w:t>
            </w:r>
          </w:p>
        </w:tc>
      </w:tr>
      <w:tr w:rsidR="001F24ED" w14:paraId="0BA670AB" w14:textId="77777777" w:rsidTr="001F24ED">
        <w:trPr>
          <w:trHeight w:val="315"/>
        </w:trPr>
        <w:tc>
          <w:tcPr>
            <w:tcW w:w="2841" w:type="pct"/>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1635590" w14:textId="77777777" w:rsidR="001F24ED" w:rsidRDefault="001F24ED">
            <w:pPr>
              <w:jc w:val="center"/>
              <w:rPr>
                <w:rFonts w:ascii="Arial" w:hAnsi="Arial" w:cs="Arial"/>
                <w:b/>
                <w:bCs/>
                <w:sz w:val="16"/>
                <w:szCs w:val="16"/>
              </w:rPr>
            </w:pPr>
            <w:r>
              <w:rPr>
                <w:rFonts w:ascii="Arial" w:hAnsi="Arial" w:cs="Arial"/>
                <w:b/>
                <w:bCs/>
                <w:sz w:val="16"/>
                <w:szCs w:val="16"/>
              </w:rPr>
              <w:t>Total</w:t>
            </w:r>
          </w:p>
        </w:tc>
        <w:tc>
          <w:tcPr>
            <w:tcW w:w="701" w:type="pct"/>
            <w:tcBorders>
              <w:top w:val="nil"/>
              <w:left w:val="nil"/>
              <w:bottom w:val="single" w:sz="4" w:space="0" w:color="auto"/>
              <w:right w:val="single" w:sz="4" w:space="0" w:color="auto"/>
            </w:tcBorders>
            <w:shd w:val="clear" w:color="auto" w:fill="4F81BD" w:themeFill="accent1"/>
            <w:vAlign w:val="center"/>
            <w:hideMark/>
          </w:tcPr>
          <w:p w14:paraId="0AD6755E" w14:textId="77777777" w:rsidR="001F24ED" w:rsidRDefault="001F24ED">
            <w:pPr>
              <w:jc w:val="right"/>
              <w:rPr>
                <w:rFonts w:ascii="Arial" w:hAnsi="Arial" w:cs="Arial"/>
                <w:b/>
                <w:bCs/>
                <w:sz w:val="16"/>
                <w:szCs w:val="16"/>
              </w:rPr>
            </w:pPr>
            <w:r>
              <w:rPr>
                <w:rFonts w:ascii="Arial" w:hAnsi="Arial" w:cs="Arial"/>
                <w:b/>
                <w:bCs/>
                <w:sz w:val="16"/>
                <w:szCs w:val="16"/>
              </w:rPr>
              <w:t xml:space="preserve">$ 4.774 </w:t>
            </w:r>
          </w:p>
        </w:tc>
        <w:tc>
          <w:tcPr>
            <w:tcW w:w="743" w:type="pct"/>
            <w:tcBorders>
              <w:top w:val="nil"/>
              <w:left w:val="nil"/>
              <w:bottom w:val="single" w:sz="4" w:space="0" w:color="auto"/>
              <w:right w:val="single" w:sz="4" w:space="0" w:color="auto"/>
            </w:tcBorders>
            <w:shd w:val="clear" w:color="auto" w:fill="4F81BD" w:themeFill="accent1"/>
            <w:vAlign w:val="center"/>
            <w:hideMark/>
          </w:tcPr>
          <w:p w14:paraId="60615AF5" w14:textId="77777777" w:rsidR="001F24ED" w:rsidRDefault="001F24ED">
            <w:pPr>
              <w:jc w:val="right"/>
              <w:rPr>
                <w:rFonts w:ascii="Arial" w:hAnsi="Arial" w:cs="Arial"/>
                <w:b/>
                <w:bCs/>
                <w:sz w:val="16"/>
                <w:szCs w:val="16"/>
              </w:rPr>
            </w:pPr>
            <w:r>
              <w:rPr>
                <w:rFonts w:ascii="Arial" w:hAnsi="Arial" w:cs="Arial"/>
                <w:b/>
                <w:bCs/>
                <w:sz w:val="16"/>
                <w:szCs w:val="16"/>
              </w:rPr>
              <w:t xml:space="preserve">$ 1.559 </w:t>
            </w:r>
          </w:p>
        </w:tc>
        <w:tc>
          <w:tcPr>
            <w:tcW w:w="715" w:type="pct"/>
            <w:tcBorders>
              <w:top w:val="nil"/>
              <w:left w:val="nil"/>
              <w:bottom w:val="single" w:sz="4" w:space="0" w:color="auto"/>
              <w:right w:val="single" w:sz="4" w:space="0" w:color="auto"/>
            </w:tcBorders>
            <w:shd w:val="clear" w:color="auto" w:fill="4F81BD" w:themeFill="accent1"/>
            <w:vAlign w:val="center"/>
            <w:hideMark/>
          </w:tcPr>
          <w:p w14:paraId="11EB519B" w14:textId="77777777" w:rsidR="001F24ED" w:rsidRDefault="001F24ED">
            <w:pPr>
              <w:jc w:val="right"/>
              <w:rPr>
                <w:rFonts w:ascii="Arial" w:hAnsi="Arial" w:cs="Arial"/>
                <w:b/>
                <w:bCs/>
                <w:sz w:val="16"/>
                <w:szCs w:val="16"/>
              </w:rPr>
            </w:pPr>
            <w:r>
              <w:rPr>
                <w:rFonts w:ascii="Arial" w:hAnsi="Arial" w:cs="Arial"/>
                <w:b/>
                <w:bCs/>
                <w:sz w:val="16"/>
                <w:szCs w:val="16"/>
              </w:rPr>
              <w:t xml:space="preserve">$ 1.559 </w:t>
            </w:r>
          </w:p>
        </w:tc>
      </w:tr>
    </w:tbl>
    <w:p w14:paraId="4569B66B" w14:textId="0B3CFCEF" w:rsidR="00C02282" w:rsidRPr="001F24ED" w:rsidRDefault="001F24ED" w:rsidP="00C02282">
      <w:pPr>
        <w:spacing w:after="0" w:line="240" w:lineRule="auto"/>
        <w:jc w:val="center"/>
        <w:rPr>
          <w:rFonts w:ascii="Arial" w:eastAsia="Calibri" w:hAnsi="Arial" w:cs="Arial"/>
          <w:sz w:val="16"/>
          <w:szCs w:val="16"/>
        </w:rPr>
      </w:pPr>
      <w:r w:rsidRPr="001F24ED">
        <w:rPr>
          <w:rFonts w:ascii="Arial" w:hAnsi="Arial" w:cs="Arial"/>
          <w:sz w:val="16"/>
          <w:szCs w:val="16"/>
          <w:lang w:eastAsia="es-ES"/>
        </w:rPr>
        <w:t xml:space="preserve"> </w:t>
      </w:r>
      <w:r w:rsidR="00C02282" w:rsidRPr="001F24ED">
        <w:rPr>
          <w:rFonts w:ascii="Arial" w:hAnsi="Arial" w:cs="Arial"/>
          <w:sz w:val="16"/>
          <w:szCs w:val="16"/>
          <w:lang w:eastAsia="es-ES"/>
        </w:rPr>
        <w:t>Millones de pesos</w:t>
      </w:r>
    </w:p>
    <w:p w14:paraId="0387F9E5" w14:textId="0A1084BD" w:rsidR="00C02282" w:rsidRPr="001F24ED" w:rsidRDefault="001F24ED" w:rsidP="00C02282">
      <w:pPr>
        <w:spacing w:after="0" w:line="240" w:lineRule="auto"/>
        <w:jc w:val="center"/>
        <w:rPr>
          <w:rFonts w:ascii="Arial" w:hAnsi="Arial" w:cs="Arial"/>
          <w:sz w:val="16"/>
          <w:szCs w:val="16"/>
          <w:lang w:eastAsia="es-ES"/>
        </w:rPr>
      </w:pPr>
      <w:r w:rsidRPr="001F24ED">
        <w:rPr>
          <w:rFonts w:ascii="Arial" w:hAnsi="Arial" w:cs="Arial"/>
          <w:sz w:val="16"/>
          <w:szCs w:val="16"/>
          <w:lang w:eastAsia="es-ES"/>
        </w:rPr>
        <w:t xml:space="preserve">Fuente </w:t>
      </w:r>
      <w:r w:rsidR="00C02282" w:rsidRPr="001F24ED">
        <w:rPr>
          <w:rFonts w:ascii="Arial" w:hAnsi="Arial" w:cs="Arial"/>
          <w:sz w:val="16"/>
          <w:szCs w:val="16"/>
          <w:lang w:eastAsia="es-ES"/>
        </w:rPr>
        <w:t>Promoción y Asignación de Áreas</w:t>
      </w:r>
    </w:p>
    <w:p w14:paraId="128A8390" w14:textId="77777777" w:rsidR="00C02282" w:rsidRPr="001F24ED" w:rsidRDefault="00C02282" w:rsidP="00C02282">
      <w:pPr>
        <w:jc w:val="both"/>
        <w:rPr>
          <w:rFonts w:ascii="Arial" w:hAnsi="Arial" w:cs="Arial"/>
        </w:rPr>
      </w:pPr>
    </w:p>
    <w:p w14:paraId="66E5D5B8" w14:textId="36C0F38B" w:rsidR="00C02282" w:rsidRPr="001F24ED" w:rsidRDefault="00C02282" w:rsidP="00C02282">
      <w:pPr>
        <w:rPr>
          <w:rFonts w:ascii="Arial" w:eastAsia="Batang" w:hAnsi="Arial" w:cs="Arial"/>
          <w:b/>
        </w:rPr>
      </w:pPr>
      <w:r w:rsidRPr="001F24ED">
        <w:rPr>
          <w:rFonts w:ascii="Arial" w:eastAsia="Batang" w:hAnsi="Arial" w:cs="Arial"/>
          <w:b/>
        </w:rPr>
        <w:t>Actividades Para Realizar durante el II</w:t>
      </w:r>
      <w:r w:rsidR="001F24ED">
        <w:rPr>
          <w:rFonts w:ascii="Arial" w:eastAsia="Batang" w:hAnsi="Arial" w:cs="Arial"/>
          <w:b/>
        </w:rPr>
        <w:t>I</w:t>
      </w:r>
      <w:r w:rsidRPr="001F24ED">
        <w:rPr>
          <w:rFonts w:ascii="Arial" w:eastAsia="Batang" w:hAnsi="Arial" w:cs="Arial"/>
          <w:b/>
        </w:rPr>
        <w:t xml:space="preserve"> Trimestre 2018</w:t>
      </w:r>
    </w:p>
    <w:p w14:paraId="03B19E3B" w14:textId="77777777" w:rsidR="001F24ED" w:rsidRDefault="001F24ED" w:rsidP="001F24ED">
      <w:pPr>
        <w:jc w:val="both"/>
        <w:rPr>
          <w:rFonts w:ascii="Arial" w:eastAsia="Batang" w:hAnsi="Arial" w:cs="Arial"/>
          <w:color w:val="0D0D0D"/>
        </w:rPr>
      </w:pPr>
      <w:r>
        <w:rPr>
          <w:rFonts w:ascii="Arial" w:eastAsia="Batang" w:hAnsi="Arial" w:cs="Arial"/>
          <w:color w:val="0D0D0D"/>
        </w:rPr>
        <w:t xml:space="preserve">Con recursos de inversión, para el tercer trimestre de 2018, se tiene programado la participación en 4 escenarios estratégicos, Evento Gremial 100 años del sector hidrocarburos, </w:t>
      </w:r>
      <w:proofErr w:type="spellStart"/>
      <w:r>
        <w:rPr>
          <w:rFonts w:ascii="Arial" w:eastAsia="Batang" w:hAnsi="Arial" w:cs="Arial"/>
          <w:color w:val="0D0D0D"/>
        </w:rPr>
        <w:t>Latin</w:t>
      </w:r>
      <w:proofErr w:type="spellEnd"/>
      <w:r>
        <w:rPr>
          <w:rFonts w:ascii="Arial" w:eastAsia="Batang" w:hAnsi="Arial" w:cs="Arial"/>
          <w:color w:val="0D0D0D"/>
        </w:rPr>
        <w:t xml:space="preserve"> </w:t>
      </w:r>
      <w:proofErr w:type="spellStart"/>
      <w:r>
        <w:rPr>
          <w:rFonts w:ascii="Arial" w:eastAsia="Batang" w:hAnsi="Arial" w:cs="Arial"/>
          <w:color w:val="0D0D0D"/>
        </w:rPr>
        <w:t>America</w:t>
      </w:r>
      <w:proofErr w:type="spellEnd"/>
      <w:r>
        <w:rPr>
          <w:rFonts w:ascii="Arial" w:eastAsia="Batang" w:hAnsi="Arial" w:cs="Arial"/>
          <w:color w:val="0D0D0D"/>
        </w:rPr>
        <w:t xml:space="preserve"> </w:t>
      </w:r>
      <w:proofErr w:type="spellStart"/>
      <w:r>
        <w:rPr>
          <w:rFonts w:ascii="Arial" w:eastAsia="Batang" w:hAnsi="Arial" w:cs="Arial"/>
          <w:color w:val="0D0D0D"/>
        </w:rPr>
        <w:t>Energy</w:t>
      </w:r>
      <w:proofErr w:type="spellEnd"/>
      <w:r>
        <w:rPr>
          <w:rFonts w:ascii="Arial" w:eastAsia="Batang" w:hAnsi="Arial" w:cs="Arial"/>
          <w:color w:val="0D0D0D"/>
        </w:rPr>
        <w:t xml:space="preserve"> </w:t>
      </w:r>
      <w:proofErr w:type="spellStart"/>
      <w:r>
        <w:rPr>
          <w:rFonts w:ascii="Arial" w:eastAsia="Batang" w:hAnsi="Arial" w:cs="Arial"/>
          <w:color w:val="0D0D0D"/>
        </w:rPr>
        <w:t>Opportunities</w:t>
      </w:r>
      <w:proofErr w:type="spellEnd"/>
      <w:r>
        <w:rPr>
          <w:rFonts w:ascii="Arial" w:eastAsia="Batang" w:hAnsi="Arial" w:cs="Arial"/>
          <w:color w:val="0D0D0D"/>
        </w:rPr>
        <w:t xml:space="preserve"> 2018, XXXV Conferencia Energética Colombiana y en el de </w:t>
      </w:r>
      <w:proofErr w:type="spellStart"/>
      <w:r>
        <w:rPr>
          <w:rFonts w:ascii="Arial" w:eastAsia="Batang" w:hAnsi="Arial" w:cs="Arial"/>
          <w:color w:val="0D0D0D"/>
        </w:rPr>
        <w:t>Oil</w:t>
      </w:r>
      <w:proofErr w:type="spellEnd"/>
      <w:r>
        <w:rPr>
          <w:rFonts w:ascii="Arial" w:eastAsia="Batang" w:hAnsi="Arial" w:cs="Arial"/>
          <w:color w:val="0D0D0D"/>
        </w:rPr>
        <w:t xml:space="preserve"> &amp; Money  se espera dar inicio al desarrollo del contrato realizado con IHS Global </w:t>
      </w:r>
      <w:proofErr w:type="spellStart"/>
      <w:r>
        <w:rPr>
          <w:rFonts w:ascii="Arial" w:eastAsia="Batang" w:hAnsi="Arial" w:cs="Arial"/>
          <w:color w:val="0D0D0D"/>
        </w:rPr>
        <w:t>Inc</w:t>
      </w:r>
      <w:proofErr w:type="spellEnd"/>
      <w:r>
        <w:rPr>
          <w:rFonts w:ascii="Arial" w:eastAsia="Batang" w:hAnsi="Arial" w:cs="Arial"/>
          <w:color w:val="0D0D0D"/>
        </w:rPr>
        <w:t xml:space="preserve">, enfocados en la atracción de nuevos inversionistas mediante la identificación del mejoramiento de competitividad en Colombia para Yacimientos en Roca Generadora. </w:t>
      </w:r>
    </w:p>
    <w:p w14:paraId="0F5A83A8" w14:textId="77777777" w:rsidR="001F24ED" w:rsidRDefault="001F24ED" w:rsidP="001F24ED">
      <w:pPr>
        <w:jc w:val="both"/>
        <w:rPr>
          <w:rFonts w:ascii="Arial" w:eastAsia="Batang" w:hAnsi="Arial" w:cs="Arial"/>
          <w:color w:val="0D0D0D"/>
        </w:rPr>
      </w:pPr>
      <w:r>
        <w:rPr>
          <w:rFonts w:ascii="Arial" w:eastAsia="Batang" w:hAnsi="Arial" w:cs="Arial"/>
          <w:color w:val="0D0D0D"/>
        </w:rPr>
        <w:t>Igualmente, se van a obligar recursos en cumplimiento de lo pactado en los contratos 411, 413 y 425 de 2018, los cuales corresponden publicaciones con casa editorial el tiempo, el estudio de Yacimientos en roca generadora y de servicios de pauta radial respectivamente.</w:t>
      </w:r>
    </w:p>
    <w:p w14:paraId="78247D02" w14:textId="1E796F7E" w:rsidR="00C02282" w:rsidRPr="001F24ED" w:rsidRDefault="001F24ED" w:rsidP="001F24ED">
      <w:pPr>
        <w:rPr>
          <w:rFonts w:ascii="Arial" w:eastAsia="Batang" w:hAnsi="Arial" w:cs="Arial"/>
          <w:b/>
        </w:rPr>
      </w:pPr>
      <w:r w:rsidRPr="001F24ED">
        <w:rPr>
          <w:rFonts w:ascii="Arial" w:eastAsia="Batang" w:hAnsi="Arial" w:cs="Arial"/>
          <w:b/>
        </w:rPr>
        <w:t xml:space="preserve"> </w:t>
      </w:r>
      <w:r w:rsidR="00C02282" w:rsidRPr="001F24ED">
        <w:rPr>
          <w:rFonts w:ascii="Arial" w:eastAsia="Batang" w:hAnsi="Arial" w:cs="Arial"/>
          <w:b/>
        </w:rPr>
        <w:t xml:space="preserve">Proyecto: </w:t>
      </w:r>
      <w:proofErr w:type="spellStart"/>
      <w:r w:rsidR="00C02282" w:rsidRPr="001F24ED">
        <w:rPr>
          <w:rFonts w:ascii="Arial" w:eastAsia="Batang" w:hAnsi="Arial" w:cs="Arial"/>
          <w:b/>
        </w:rPr>
        <w:t>Gestion</w:t>
      </w:r>
      <w:proofErr w:type="spellEnd"/>
      <w:r w:rsidR="00C02282" w:rsidRPr="001F24ED">
        <w:rPr>
          <w:rFonts w:ascii="Arial" w:eastAsia="Batang" w:hAnsi="Arial" w:cs="Arial"/>
          <w:b/>
        </w:rPr>
        <w:t xml:space="preserve"> de Tecnologías de Información y Comunicaciones </w:t>
      </w:r>
    </w:p>
    <w:p w14:paraId="2ADCABF7" w14:textId="77777777" w:rsidR="00C02282" w:rsidRPr="001F24ED" w:rsidRDefault="00C02282" w:rsidP="00C02282">
      <w:pPr>
        <w:autoSpaceDE w:val="0"/>
        <w:adjustRightInd w:val="0"/>
        <w:jc w:val="both"/>
        <w:rPr>
          <w:rFonts w:ascii="Arial" w:eastAsia="Batang" w:hAnsi="Arial" w:cs="Arial"/>
        </w:rPr>
      </w:pPr>
      <w:r w:rsidRPr="001F24ED">
        <w:rPr>
          <w:rFonts w:ascii="Arial" w:eastAsia="Batang" w:hAnsi="Arial" w:cs="Arial"/>
          <w:b/>
        </w:rPr>
        <w:t>Caracterización del proyecto</w:t>
      </w:r>
      <w:r w:rsidRPr="001F24ED">
        <w:rPr>
          <w:rFonts w:ascii="Arial" w:eastAsia="Batang" w:hAnsi="Arial" w:cs="Arial"/>
        </w:rPr>
        <w:t>:</w:t>
      </w:r>
    </w:p>
    <w:p w14:paraId="6104F1BC" w14:textId="15BA9097" w:rsidR="001F24ED" w:rsidRDefault="001F24ED" w:rsidP="001F24ED">
      <w:pPr>
        <w:autoSpaceDE w:val="0"/>
        <w:adjustRightInd w:val="0"/>
        <w:jc w:val="both"/>
        <w:rPr>
          <w:rFonts w:ascii="Arial" w:eastAsia="Batang" w:hAnsi="Arial" w:cs="Arial"/>
        </w:rPr>
      </w:pPr>
      <w:r>
        <w:rPr>
          <w:rFonts w:ascii="Arial" w:eastAsia="Batang" w:hAnsi="Arial" w:cs="Arial"/>
        </w:rPr>
        <w:t>El proyecto “Gestión de Tecnologías de Información y Comunicaciones”, identificado con el código BPIN 2014011000416, tiene como objeto “Proveer la infraestructura de TIC y Sistemas de Información requeridos por la ANH alineados con las tendencias tecnológicas y el entorno”.</w:t>
      </w:r>
    </w:p>
    <w:p w14:paraId="304058DF" w14:textId="4658FDAA" w:rsidR="001F24ED" w:rsidRDefault="001F24ED" w:rsidP="001F24ED">
      <w:pPr>
        <w:autoSpaceDE w:val="0"/>
        <w:adjustRightInd w:val="0"/>
        <w:jc w:val="both"/>
        <w:rPr>
          <w:rFonts w:ascii="Arial" w:eastAsia="Batang" w:hAnsi="Arial" w:cs="Arial"/>
        </w:rPr>
      </w:pPr>
      <w:r>
        <w:rPr>
          <w:rFonts w:ascii="Arial" w:eastAsia="Batang" w:hAnsi="Arial" w:cs="Arial"/>
        </w:rPr>
        <w:lastRenderedPageBreak/>
        <w:t xml:space="preserve">Este proyecto con clasificación presupuestal en el programa 2199, Fortalecimiento de la Gestión y Del Sector Minas y Energía y subprograma 1900 Intersectorial Minas y Energía. </w:t>
      </w:r>
    </w:p>
    <w:p w14:paraId="7F230E47" w14:textId="2F9E252D" w:rsidR="00C02282" w:rsidRPr="001F24ED" w:rsidRDefault="001F24ED" w:rsidP="001F24ED">
      <w:pPr>
        <w:jc w:val="both"/>
        <w:rPr>
          <w:rFonts w:ascii="Arial" w:eastAsia="Batang" w:hAnsi="Arial" w:cs="Arial"/>
          <w:b/>
        </w:rPr>
      </w:pPr>
      <w:r w:rsidRPr="001F24ED">
        <w:rPr>
          <w:rFonts w:ascii="Arial" w:eastAsia="Batang" w:hAnsi="Arial" w:cs="Arial"/>
          <w:b/>
        </w:rPr>
        <w:t xml:space="preserve"> </w:t>
      </w:r>
      <w:r w:rsidR="00C02282" w:rsidRPr="001F24ED">
        <w:rPr>
          <w:rFonts w:ascii="Arial" w:eastAsia="Batang" w:hAnsi="Arial" w:cs="Arial"/>
          <w:b/>
        </w:rPr>
        <w:t>Antecedentes del proyecto:</w:t>
      </w:r>
    </w:p>
    <w:p w14:paraId="7EE7B3EC" w14:textId="77777777" w:rsidR="00C02282" w:rsidRPr="008B5E15" w:rsidRDefault="00C02282" w:rsidP="00C02282">
      <w:pPr>
        <w:jc w:val="both"/>
        <w:rPr>
          <w:rFonts w:ascii="Arial" w:eastAsia="Batang" w:hAnsi="Arial" w:cs="Arial"/>
        </w:rPr>
      </w:pPr>
      <w:r w:rsidRPr="001F24ED">
        <w:rPr>
          <w:rFonts w:ascii="Arial" w:eastAsia="Batang" w:hAnsi="Arial" w:cs="Arial"/>
        </w:rPr>
        <w:t xml:space="preserve">De conformidad con lo estipulado en el Decreto 4137 de 2011 por el cual se modifica la naturaleza jurídica de la Agencia Nacional de Hidrocarburos, en la entidad se realizan actividades enfocadas en la modernización continua de la plataforma tecnológica y los sistemas de información involucrados en las labores diarias de los funcionarios de </w:t>
      </w:r>
      <w:r w:rsidRPr="008B5E15">
        <w:rPr>
          <w:rFonts w:ascii="Arial" w:eastAsia="Batang" w:hAnsi="Arial" w:cs="Arial"/>
        </w:rPr>
        <w:t>las diversas áreas.</w:t>
      </w:r>
    </w:p>
    <w:p w14:paraId="37915D92" w14:textId="77777777" w:rsidR="001F24ED" w:rsidRDefault="001F24ED" w:rsidP="001F24ED">
      <w:pPr>
        <w:jc w:val="both"/>
        <w:rPr>
          <w:rFonts w:ascii="Arial" w:hAnsi="Arial" w:cs="Arial"/>
        </w:rPr>
      </w:pPr>
      <w:r>
        <w:rPr>
          <w:rFonts w:ascii="Arial" w:hAnsi="Arial" w:cs="Arial"/>
        </w:rPr>
        <w:t>De otro lado, es importante anotar que, en el mes de junio de 2015, la Oficina de Tecnologías de la Información de la ANH adelantó la estructuración del PETI 2015-2018 en plena conexidad con la estrategia de gobierno en línea (ecosistema digital), la política de cero papel (expediente electrónico) y la seguridad de la información, fundamentado en tres objetivos para materializar la estrategia tecnológica en cada una de las fases establecidas en los diferentes ejes temáticos, garantizando en todo momento la concreción de resultados, de manera concomitante en cada derrotero: consolidar, articular y unificar.</w:t>
      </w:r>
    </w:p>
    <w:p w14:paraId="70CF0777" w14:textId="77777777" w:rsidR="001F24ED" w:rsidRDefault="001F24ED" w:rsidP="001F24ED">
      <w:pPr>
        <w:jc w:val="both"/>
        <w:rPr>
          <w:rFonts w:ascii="Arial" w:hAnsi="Arial" w:cs="Arial"/>
        </w:rPr>
      </w:pPr>
      <w:r>
        <w:rPr>
          <w:rFonts w:ascii="Arial" w:hAnsi="Arial" w:cs="Arial"/>
        </w:rPr>
        <w:t>La gestión adelantada por la OTI durante la vigencia 2015, al igual que el prospecto del Plan de Adquisiciones que ayudará a consolidar Plan Estratégico de Sistemas de Información –PESI– del Fondo, se fundamentó en los principios básicos de la ingeniería propios del ecosistema digital para cada uno de sus componentes (infraestructura, aplicaciones, servicios y usuarios) en torno a la seguridad de la información en el ciclo vital del tratamiento electrónico de datos, apoyados en las tecnologías de la información y las comunicaciones –TIC.</w:t>
      </w:r>
    </w:p>
    <w:p w14:paraId="100D9508" w14:textId="515E4A8E" w:rsidR="00C02282" w:rsidRPr="001F24ED" w:rsidRDefault="001F24ED" w:rsidP="001F24ED">
      <w:pPr>
        <w:autoSpaceDE w:val="0"/>
        <w:adjustRightInd w:val="0"/>
        <w:jc w:val="both"/>
        <w:rPr>
          <w:rFonts w:ascii="Arial" w:hAnsi="Arial" w:cs="Arial"/>
          <w:b/>
          <w:bCs/>
          <w:sz w:val="16"/>
          <w:szCs w:val="16"/>
          <w:lang w:val="es-ES" w:eastAsia="es-ES"/>
        </w:rPr>
      </w:pPr>
      <w:r w:rsidRPr="001F24ED">
        <w:rPr>
          <w:rFonts w:ascii="Arial" w:hAnsi="Arial" w:cs="Arial"/>
          <w:b/>
        </w:rPr>
        <w:t xml:space="preserve"> </w:t>
      </w:r>
      <w:r w:rsidR="00C02282" w:rsidRPr="001F24ED">
        <w:rPr>
          <w:rFonts w:ascii="Arial" w:hAnsi="Arial" w:cs="Arial"/>
          <w:b/>
        </w:rPr>
        <w:t xml:space="preserve">Descripción de la ejecución presupuestal </w:t>
      </w:r>
      <w:bookmarkStart w:id="179" w:name="_Hlk514952259"/>
    </w:p>
    <w:p w14:paraId="741B05E1" w14:textId="4098C87F" w:rsidR="00C02282" w:rsidRPr="001F24ED" w:rsidRDefault="00C02282" w:rsidP="00C02282">
      <w:pPr>
        <w:pStyle w:val="Descripcin"/>
        <w:keepNext/>
        <w:jc w:val="center"/>
      </w:pPr>
      <w:bookmarkStart w:id="180" w:name="_Toc525652539"/>
      <w:r w:rsidRPr="001F24ED">
        <w:t xml:space="preserve">Tabla </w:t>
      </w:r>
      <w:r w:rsidRPr="001F24ED">
        <w:fldChar w:fldCharType="begin"/>
      </w:r>
      <w:r w:rsidRPr="001F24ED">
        <w:instrText xml:space="preserve"> SEQ Tabla \* ARABIC </w:instrText>
      </w:r>
      <w:r w:rsidRPr="001F24ED">
        <w:fldChar w:fldCharType="separate"/>
      </w:r>
      <w:r w:rsidR="008B4625">
        <w:rPr>
          <w:noProof/>
        </w:rPr>
        <w:t>94</w:t>
      </w:r>
      <w:r w:rsidRPr="001F24ED">
        <w:fldChar w:fldCharType="end"/>
      </w:r>
      <w:r w:rsidRPr="001F24ED">
        <w:t xml:space="preserve">Ejecución Inversión </w:t>
      </w:r>
      <w:r w:rsidR="00D41D3A" w:rsidRPr="001F24ED">
        <w:t>Gestión</w:t>
      </w:r>
      <w:r w:rsidRPr="001F24ED">
        <w:t xml:space="preserve"> De Tecnologías De La Información Y Comunicaciones a 3</w:t>
      </w:r>
      <w:r w:rsidR="001F24ED" w:rsidRPr="001F24ED">
        <w:t xml:space="preserve">0 de junio de 2018 </w:t>
      </w:r>
      <w:r w:rsidRPr="001F24ED">
        <w:t xml:space="preserve"> ANH</w:t>
      </w:r>
      <w:bookmarkEnd w:id="180"/>
    </w:p>
    <w:tbl>
      <w:tblPr>
        <w:tblW w:w="9000" w:type="dxa"/>
        <w:tblCellMar>
          <w:left w:w="70" w:type="dxa"/>
          <w:right w:w="70" w:type="dxa"/>
        </w:tblCellMar>
        <w:tblLook w:val="04A0" w:firstRow="1" w:lastRow="0" w:firstColumn="1" w:lastColumn="0" w:noHBand="0" w:noVBand="1"/>
      </w:tblPr>
      <w:tblGrid>
        <w:gridCol w:w="1980"/>
        <w:gridCol w:w="1880"/>
        <w:gridCol w:w="640"/>
        <w:gridCol w:w="1540"/>
        <w:gridCol w:w="640"/>
        <w:gridCol w:w="1740"/>
        <w:gridCol w:w="580"/>
      </w:tblGrid>
      <w:tr w:rsidR="001F24ED" w14:paraId="75C4EAFD" w14:textId="77777777" w:rsidTr="001F24ED">
        <w:trPr>
          <w:trHeight w:val="525"/>
        </w:trPr>
        <w:tc>
          <w:tcPr>
            <w:tcW w:w="198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bookmarkEnd w:id="179"/>
          <w:p w14:paraId="6156A8B5" w14:textId="77777777" w:rsidR="001F24ED" w:rsidRDefault="001F24ED">
            <w:pPr>
              <w:jc w:val="center"/>
              <w:rPr>
                <w:rFonts w:ascii="Arial" w:hAnsi="Arial" w:cs="Arial"/>
                <w:b/>
                <w:bCs/>
                <w:sz w:val="16"/>
                <w:szCs w:val="16"/>
              </w:rPr>
            </w:pPr>
            <w:r>
              <w:rPr>
                <w:rFonts w:ascii="Arial" w:hAnsi="Arial" w:cs="Arial"/>
                <w:b/>
                <w:bCs/>
                <w:sz w:val="16"/>
                <w:szCs w:val="16"/>
              </w:rPr>
              <w:t>APROPIACIÓN   DISPONIBLE</w:t>
            </w:r>
          </w:p>
        </w:tc>
        <w:tc>
          <w:tcPr>
            <w:tcW w:w="1880" w:type="dxa"/>
            <w:tcBorders>
              <w:top w:val="single" w:sz="8" w:space="0" w:color="auto"/>
              <w:left w:val="nil"/>
              <w:bottom w:val="single" w:sz="8" w:space="0" w:color="auto"/>
              <w:right w:val="single" w:sz="8" w:space="0" w:color="auto"/>
            </w:tcBorders>
            <w:shd w:val="clear" w:color="auto" w:fill="4F81BD" w:themeFill="accent1"/>
            <w:vAlign w:val="center"/>
            <w:hideMark/>
          </w:tcPr>
          <w:p w14:paraId="5492FF1F" w14:textId="77777777" w:rsidR="001F24ED" w:rsidRDefault="001F24ED">
            <w:pPr>
              <w:jc w:val="center"/>
              <w:rPr>
                <w:rFonts w:ascii="Arial" w:hAnsi="Arial" w:cs="Arial"/>
                <w:b/>
                <w:bCs/>
                <w:sz w:val="16"/>
                <w:szCs w:val="16"/>
              </w:rPr>
            </w:pPr>
            <w:r>
              <w:rPr>
                <w:rFonts w:ascii="Arial" w:hAnsi="Arial" w:cs="Arial"/>
                <w:b/>
                <w:bCs/>
                <w:sz w:val="16"/>
                <w:szCs w:val="16"/>
              </w:rPr>
              <w:t>COMPROMISO</w:t>
            </w:r>
          </w:p>
        </w:tc>
        <w:tc>
          <w:tcPr>
            <w:tcW w:w="640" w:type="dxa"/>
            <w:tcBorders>
              <w:top w:val="single" w:sz="8" w:space="0" w:color="auto"/>
              <w:left w:val="nil"/>
              <w:bottom w:val="single" w:sz="8" w:space="0" w:color="auto"/>
              <w:right w:val="single" w:sz="8" w:space="0" w:color="auto"/>
            </w:tcBorders>
            <w:shd w:val="clear" w:color="auto" w:fill="4F81BD" w:themeFill="accent1"/>
            <w:vAlign w:val="center"/>
            <w:hideMark/>
          </w:tcPr>
          <w:p w14:paraId="26521A29" w14:textId="77777777" w:rsidR="001F24ED" w:rsidRDefault="001F24ED">
            <w:pPr>
              <w:jc w:val="center"/>
              <w:rPr>
                <w:rFonts w:ascii="Arial" w:hAnsi="Arial" w:cs="Arial"/>
                <w:b/>
                <w:bCs/>
                <w:sz w:val="16"/>
                <w:szCs w:val="16"/>
              </w:rPr>
            </w:pPr>
            <w:r>
              <w:rPr>
                <w:rFonts w:ascii="Arial" w:hAnsi="Arial" w:cs="Arial"/>
                <w:b/>
                <w:bCs/>
                <w:sz w:val="16"/>
                <w:szCs w:val="16"/>
              </w:rPr>
              <w:t>%</w:t>
            </w:r>
          </w:p>
        </w:tc>
        <w:tc>
          <w:tcPr>
            <w:tcW w:w="1540" w:type="dxa"/>
            <w:tcBorders>
              <w:top w:val="single" w:sz="8" w:space="0" w:color="auto"/>
              <w:left w:val="nil"/>
              <w:bottom w:val="single" w:sz="8" w:space="0" w:color="auto"/>
              <w:right w:val="single" w:sz="8" w:space="0" w:color="auto"/>
            </w:tcBorders>
            <w:shd w:val="clear" w:color="auto" w:fill="4F81BD" w:themeFill="accent1"/>
            <w:vAlign w:val="center"/>
            <w:hideMark/>
          </w:tcPr>
          <w:p w14:paraId="36C25ED4" w14:textId="77777777" w:rsidR="001F24ED" w:rsidRDefault="001F24ED">
            <w:pPr>
              <w:jc w:val="center"/>
              <w:rPr>
                <w:rFonts w:ascii="Arial" w:hAnsi="Arial" w:cs="Arial"/>
                <w:b/>
                <w:bCs/>
                <w:sz w:val="16"/>
                <w:szCs w:val="16"/>
              </w:rPr>
            </w:pPr>
            <w:r>
              <w:rPr>
                <w:rFonts w:ascii="Arial" w:hAnsi="Arial" w:cs="Arial"/>
                <w:b/>
                <w:bCs/>
                <w:sz w:val="16"/>
                <w:szCs w:val="16"/>
              </w:rPr>
              <w:t xml:space="preserve"> OBLIGACIÓN  </w:t>
            </w:r>
          </w:p>
        </w:tc>
        <w:tc>
          <w:tcPr>
            <w:tcW w:w="640" w:type="dxa"/>
            <w:tcBorders>
              <w:top w:val="single" w:sz="8" w:space="0" w:color="auto"/>
              <w:left w:val="nil"/>
              <w:bottom w:val="single" w:sz="8" w:space="0" w:color="auto"/>
              <w:right w:val="single" w:sz="8" w:space="0" w:color="auto"/>
            </w:tcBorders>
            <w:shd w:val="clear" w:color="auto" w:fill="4F81BD" w:themeFill="accent1"/>
            <w:vAlign w:val="center"/>
            <w:hideMark/>
          </w:tcPr>
          <w:p w14:paraId="59BCACE0" w14:textId="77777777" w:rsidR="001F24ED" w:rsidRDefault="001F24ED">
            <w:pPr>
              <w:jc w:val="center"/>
              <w:rPr>
                <w:rFonts w:ascii="Arial" w:hAnsi="Arial" w:cs="Arial"/>
                <w:b/>
                <w:bCs/>
                <w:sz w:val="16"/>
                <w:szCs w:val="16"/>
              </w:rPr>
            </w:pPr>
            <w:r>
              <w:rPr>
                <w:rFonts w:ascii="Arial" w:hAnsi="Arial" w:cs="Arial"/>
                <w:b/>
                <w:bCs/>
                <w:sz w:val="16"/>
                <w:szCs w:val="16"/>
              </w:rPr>
              <w:t>%</w:t>
            </w:r>
          </w:p>
        </w:tc>
        <w:tc>
          <w:tcPr>
            <w:tcW w:w="1740" w:type="dxa"/>
            <w:tcBorders>
              <w:top w:val="single" w:sz="8" w:space="0" w:color="auto"/>
              <w:left w:val="nil"/>
              <w:bottom w:val="single" w:sz="8" w:space="0" w:color="auto"/>
              <w:right w:val="single" w:sz="8" w:space="0" w:color="auto"/>
            </w:tcBorders>
            <w:shd w:val="clear" w:color="auto" w:fill="4F81BD" w:themeFill="accent1"/>
            <w:vAlign w:val="center"/>
            <w:hideMark/>
          </w:tcPr>
          <w:p w14:paraId="3641009E" w14:textId="77777777" w:rsidR="001F24ED" w:rsidRDefault="001F24ED">
            <w:pPr>
              <w:jc w:val="center"/>
              <w:rPr>
                <w:rFonts w:ascii="Arial" w:hAnsi="Arial" w:cs="Arial"/>
                <w:b/>
                <w:bCs/>
                <w:sz w:val="16"/>
                <w:szCs w:val="16"/>
              </w:rPr>
            </w:pPr>
            <w:r>
              <w:rPr>
                <w:rFonts w:ascii="Arial" w:hAnsi="Arial" w:cs="Arial"/>
                <w:b/>
                <w:bCs/>
                <w:sz w:val="16"/>
                <w:szCs w:val="16"/>
              </w:rPr>
              <w:t xml:space="preserve"> PAGO  </w:t>
            </w:r>
          </w:p>
        </w:tc>
        <w:tc>
          <w:tcPr>
            <w:tcW w:w="580" w:type="dxa"/>
            <w:tcBorders>
              <w:top w:val="single" w:sz="8" w:space="0" w:color="auto"/>
              <w:left w:val="nil"/>
              <w:bottom w:val="single" w:sz="8" w:space="0" w:color="auto"/>
              <w:right w:val="single" w:sz="8" w:space="0" w:color="auto"/>
            </w:tcBorders>
            <w:shd w:val="clear" w:color="auto" w:fill="4F81BD" w:themeFill="accent1"/>
            <w:vAlign w:val="center"/>
            <w:hideMark/>
          </w:tcPr>
          <w:p w14:paraId="76C16ECF" w14:textId="77777777" w:rsidR="001F24ED" w:rsidRDefault="001F24ED">
            <w:pPr>
              <w:jc w:val="center"/>
              <w:rPr>
                <w:rFonts w:ascii="Arial" w:hAnsi="Arial" w:cs="Arial"/>
                <w:b/>
                <w:bCs/>
                <w:sz w:val="16"/>
                <w:szCs w:val="16"/>
              </w:rPr>
            </w:pPr>
            <w:r>
              <w:rPr>
                <w:rFonts w:ascii="Arial" w:hAnsi="Arial" w:cs="Arial"/>
                <w:b/>
                <w:bCs/>
                <w:sz w:val="16"/>
                <w:szCs w:val="16"/>
              </w:rPr>
              <w:t>%</w:t>
            </w:r>
          </w:p>
        </w:tc>
      </w:tr>
      <w:tr w:rsidR="001F24ED" w:rsidRPr="001F24ED" w14:paraId="3676F2A2" w14:textId="77777777" w:rsidTr="001F24ED">
        <w:trPr>
          <w:trHeight w:val="705"/>
        </w:trPr>
        <w:tc>
          <w:tcPr>
            <w:tcW w:w="1980" w:type="dxa"/>
            <w:tcBorders>
              <w:top w:val="nil"/>
              <w:left w:val="single" w:sz="8" w:space="0" w:color="auto"/>
              <w:bottom w:val="single" w:sz="8" w:space="0" w:color="auto"/>
              <w:right w:val="single" w:sz="8" w:space="0" w:color="auto"/>
            </w:tcBorders>
            <w:vAlign w:val="center"/>
            <w:hideMark/>
          </w:tcPr>
          <w:p w14:paraId="1E77EC6A" w14:textId="77777777" w:rsidR="001F24ED" w:rsidRPr="001F24ED" w:rsidRDefault="001F24ED">
            <w:pPr>
              <w:jc w:val="center"/>
              <w:rPr>
                <w:rFonts w:ascii="Arial" w:hAnsi="Arial" w:cs="Arial"/>
                <w:color w:val="333333"/>
                <w:sz w:val="16"/>
                <w:szCs w:val="16"/>
              </w:rPr>
            </w:pPr>
            <w:r w:rsidRPr="001F24ED">
              <w:rPr>
                <w:rFonts w:ascii="Arial" w:hAnsi="Arial" w:cs="Arial"/>
                <w:color w:val="333333"/>
                <w:sz w:val="16"/>
                <w:szCs w:val="16"/>
              </w:rPr>
              <w:t>$ 14.166</w:t>
            </w:r>
          </w:p>
        </w:tc>
        <w:tc>
          <w:tcPr>
            <w:tcW w:w="1880" w:type="dxa"/>
            <w:tcBorders>
              <w:top w:val="nil"/>
              <w:left w:val="nil"/>
              <w:bottom w:val="single" w:sz="8" w:space="0" w:color="auto"/>
              <w:right w:val="single" w:sz="8" w:space="0" w:color="auto"/>
            </w:tcBorders>
            <w:vAlign w:val="center"/>
            <w:hideMark/>
          </w:tcPr>
          <w:p w14:paraId="79B565C3" w14:textId="77777777" w:rsidR="001F24ED" w:rsidRPr="001F24ED" w:rsidRDefault="001F24ED">
            <w:pPr>
              <w:jc w:val="center"/>
              <w:rPr>
                <w:rFonts w:ascii="Arial" w:hAnsi="Arial" w:cs="Arial"/>
                <w:color w:val="333333"/>
                <w:sz w:val="16"/>
                <w:szCs w:val="16"/>
              </w:rPr>
            </w:pPr>
            <w:r w:rsidRPr="001F24ED">
              <w:rPr>
                <w:rFonts w:ascii="Arial" w:hAnsi="Arial" w:cs="Arial"/>
                <w:color w:val="333333"/>
                <w:sz w:val="16"/>
                <w:szCs w:val="16"/>
              </w:rPr>
              <w:t>$ 1.844</w:t>
            </w:r>
          </w:p>
        </w:tc>
        <w:tc>
          <w:tcPr>
            <w:tcW w:w="640" w:type="dxa"/>
            <w:tcBorders>
              <w:top w:val="nil"/>
              <w:left w:val="nil"/>
              <w:bottom w:val="single" w:sz="8" w:space="0" w:color="auto"/>
              <w:right w:val="single" w:sz="8" w:space="0" w:color="auto"/>
            </w:tcBorders>
            <w:vAlign w:val="center"/>
            <w:hideMark/>
          </w:tcPr>
          <w:p w14:paraId="3F0DE014" w14:textId="77777777" w:rsidR="001F24ED" w:rsidRPr="001F24ED" w:rsidRDefault="001F24ED">
            <w:pPr>
              <w:jc w:val="center"/>
              <w:rPr>
                <w:rFonts w:ascii="Arial" w:hAnsi="Arial" w:cs="Arial"/>
                <w:b/>
                <w:bCs/>
                <w:color w:val="333333"/>
                <w:sz w:val="16"/>
                <w:szCs w:val="16"/>
              </w:rPr>
            </w:pPr>
            <w:r w:rsidRPr="001F24ED">
              <w:rPr>
                <w:rFonts w:ascii="Arial" w:hAnsi="Arial" w:cs="Arial"/>
                <w:b/>
                <w:bCs/>
                <w:color w:val="333333"/>
                <w:sz w:val="16"/>
                <w:szCs w:val="16"/>
              </w:rPr>
              <w:t>13%</w:t>
            </w:r>
          </w:p>
        </w:tc>
        <w:tc>
          <w:tcPr>
            <w:tcW w:w="1540" w:type="dxa"/>
            <w:tcBorders>
              <w:top w:val="nil"/>
              <w:left w:val="nil"/>
              <w:bottom w:val="single" w:sz="8" w:space="0" w:color="auto"/>
              <w:right w:val="single" w:sz="8" w:space="0" w:color="auto"/>
            </w:tcBorders>
            <w:vAlign w:val="center"/>
            <w:hideMark/>
          </w:tcPr>
          <w:p w14:paraId="125A2ADF" w14:textId="77777777" w:rsidR="001F24ED" w:rsidRPr="001F24ED" w:rsidRDefault="001F24ED">
            <w:pPr>
              <w:jc w:val="center"/>
              <w:rPr>
                <w:rFonts w:ascii="Arial" w:hAnsi="Arial" w:cs="Arial"/>
                <w:color w:val="333333"/>
                <w:sz w:val="16"/>
                <w:szCs w:val="16"/>
              </w:rPr>
            </w:pPr>
            <w:r w:rsidRPr="001F24ED">
              <w:rPr>
                <w:rFonts w:ascii="Arial" w:hAnsi="Arial" w:cs="Arial"/>
                <w:color w:val="333333"/>
                <w:sz w:val="16"/>
                <w:szCs w:val="16"/>
              </w:rPr>
              <w:t>$ 1.844</w:t>
            </w:r>
          </w:p>
        </w:tc>
        <w:tc>
          <w:tcPr>
            <w:tcW w:w="640" w:type="dxa"/>
            <w:tcBorders>
              <w:top w:val="nil"/>
              <w:left w:val="nil"/>
              <w:bottom w:val="single" w:sz="8" w:space="0" w:color="auto"/>
              <w:right w:val="single" w:sz="8" w:space="0" w:color="auto"/>
            </w:tcBorders>
            <w:vAlign w:val="center"/>
            <w:hideMark/>
          </w:tcPr>
          <w:p w14:paraId="282B6B0E" w14:textId="77777777" w:rsidR="001F24ED" w:rsidRPr="001F24ED" w:rsidRDefault="001F24ED">
            <w:pPr>
              <w:jc w:val="center"/>
              <w:rPr>
                <w:rFonts w:ascii="Arial" w:hAnsi="Arial" w:cs="Arial"/>
                <w:b/>
                <w:bCs/>
                <w:color w:val="333333"/>
                <w:sz w:val="16"/>
                <w:szCs w:val="16"/>
              </w:rPr>
            </w:pPr>
            <w:r w:rsidRPr="001F24ED">
              <w:rPr>
                <w:rFonts w:ascii="Arial" w:hAnsi="Arial" w:cs="Arial"/>
                <w:b/>
                <w:bCs/>
                <w:color w:val="333333"/>
                <w:sz w:val="16"/>
                <w:szCs w:val="16"/>
              </w:rPr>
              <w:t>13%</w:t>
            </w:r>
          </w:p>
        </w:tc>
        <w:tc>
          <w:tcPr>
            <w:tcW w:w="1740" w:type="dxa"/>
            <w:tcBorders>
              <w:top w:val="nil"/>
              <w:left w:val="nil"/>
              <w:bottom w:val="single" w:sz="8" w:space="0" w:color="auto"/>
              <w:right w:val="single" w:sz="8" w:space="0" w:color="auto"/>
            </w:tcBorders>
            <w:vAlign w:val="center"/>
            <w:hideMark/>
          </w:tcPr>
          <w:p w14:paraId="24B6BAD9" w14:textId="77777777" w:rsidR="001F24ED" w:rsidRPr="001F24ED" w:rsidRDefault="001F24ED">
            <w:pPr>
              <w:jc w:val="center"/>
              <w:rPr>
                <w:rFonts w:ascii="Arial" w:hAnsi="Arial" w:cs="Arial"/>
                <w:color w:val="333333"/>
                <w:sz w:val="16"/>
                <w:szCs w:val="16"/>
              </w:rPr>
            </w:pPr>
            <w:r w:rsidRPr="001F24ED">
              <w:rPr>
                <w:rFonts w:ascii="Arial" w:hAnsi="Arial" w:cs="Arial"/>
                <w:color w:val="333333"/>
                <w:sz w:val="16"/>
                <w:szCs w:val="16"/>
              </w:rPr>
              <w:t>$ 1.844</w:t>
            </w:r>
          </w:p>
        </w:tc>
        <w:tc>
          <w:tcPr>
            <w:tcW w:w="580" w:type="dxa"/>
            <w:tcBorders>
              <w:top w:val="nil"/>
              <w:left w:val="nil"/>
              <w:bottom w:val="single" w:sz="8" w:space="0" w:color="auto"/>
              <w:right w:val="single" w:sz="8" w:space="0" w:color="auto"/>
            </w:tcBorders>
            <w:vAlign w:val="center"/>
            <w:hideMark/>
          </w:tcPr>
          <w:p w14:paraId="112AEA9B" w14:textId="77777777" w:rsidR="001F24ED" w:rsidRPr="001F24ED" w:rsidRDefault="001F24ED">
            <w:pPr>
              <w:jc w:val="center"/>
              <w:rPr>
                <w:rFonts w:ascii="Arial" w:hAnsi="Arial" w:cs="Arial"/>
                <w:b/>
                <w:bCs/>
                <w:color w:val="333333"/>
                <w:sz w:val="16"/>
                <w:szCs w:val="16"/>
              </w:rPr>
            </w:pPr>
            <w:r w:rsidRPr="001F24ED">
              <w:rPr>
                <w:rFonts w:ascii="Arial" w:hAnsi="Arial" w:cs="Arial"/>
                <w:b/>
                <w:bCs/>
                <w:color w:val="333333"/>
                <w:sz w:val="16"/>
                <w:szCs w:val="16"/>
              </w:rPr>
              <w:t>13%</w:t>
            </w:r>
          </w:p>
        </w:tc>
      </w:tr>
    </w:tbl>
    <w:p w14:paraId="1E21190A" w14:textId="0C46FEC8" w:rsidR="00C02282" w:rsidRPr="001F24ED" w:rsidRDefault="001F24ED" w:rsidP="00C02282">
      <w:pPr>
        <w:spacing w:after="0" w:line="240" w:lineRule="auto"/>
        <w:jc w:val="center"/>
        <w:rPr>
          <w:rFonts w:ascii="Arial" w:eastAsia="Calibri" w:hAnsi="Arial" w:cs="Arial"/>
          <w:sz w:val="16"/>
          <w:szCs w:val="16"/>
        </w:rPr>
      </w:pPr>
      <w:r w:rsidRPr="001F24ED">
        <w:rPr>
          <w:rFonts w:ascii="Arial" w:hAnsi="Arial" w:cs="Arial"/>
          <w:sz w:val="16"/>
          <w:szCs w:val="16"/>
          <w:lang w:eastAsia="es-ES"/>
        </w:rPr>
        <w:t xml:space="preserve"> </w:t>
      </w:r>
      <w:r w:rsidR="00C02282" w:rsidRPr="001F24ED">
        <w:rPr>
          <w:rFonts w:ascii="Arial" w:hAnsi="Arial" w:cs="Arial"/>
          <w:sz w:val="16"/>
          <w:szCs w:val="16"/>
          <w:lang w:eastAsia="es-ES"/>
        </w:rPr>
        <w:t>Millones de pesos</w:t>
      </w:r>
    </w:p>
    <w:p w14:paraId="76CA6481" w14:textId="77777777" w:rsidR="00C02282" w:rsidRPr="001F24ED" w:rsidRDefault="00C02282" w:rsidP="00C02282">
      <w:pPr>
        <w:jc w:val="center"/>
        <w:rPr>
          <w:rFonts w:ascii="Arial" w:hAnsi="Arial" w:cs="Arial"/>
          <w:bCs/>
          <w:lang w:val="es-MX" w:eastAsia="es-ES"/>
        </w:rPr>
      </w:pPr>
      <w:r w:rsidRPr="001F24ED">
        <w:rPr>
          <w:rFonts w:ascii="Calibri" w:hAnsi="Calibri" w:cs="Calibri"/>
          <w:sz w:val="18"/>
          <w:szCs w:val="18"/>
        </w:rPr>
        <w:t>Fuente SIIF</w:t>
      </w:r>
    </w:p>
    <w:p w14:paraId="6254307C" w14:textId="00986734" w:rsidR="001F24ED" w:rsidRPr="006A67B4" w:rsidRDefault="001F24ED" w:rsidP="00C02282">
      <w:pPr>
        <w:pStyle w:val="Textoindependiente2"/>
        <w:shd w:val="clear" w:color="auto" w:fill="FFFFFF" w:themeFill="background1"/>
        <w:spacing w:line="240" w:lineRule="auto"/>
        <w:jc w:val="both"/>
        <w:rPr>
          <w:rFonts w:ascii="Arial" w:hAnsi="Arial" w:cs="Arial"/>
          <w:bCs/>
          <w:sz w:val="22"/>
          <w:szCs w:val="22"/>
          <w:highlight w:val="yellow"/>
        </w:rPr>
      </w:pPr>
      <w:r>
        <w:rPr>
          <w:rFonts w:ascii="Arial" w:hAnsi="Arial" w:cs="Arial"/>
          <w:sz w:val="22"/>
          <w:szCs w:val="22"/>
        </w:rPr>
        <w:t xml:space="preserve">La Oficina de Tecnologías de la información -OTI- continuó su gestión en la vigencia 2017, soportada en el esquema de Convergencia Tecnológica y su carta de navegación en el instrumento Plan Estratégico de Tecnologías de la Información -PETI- 2015 – 2018, en consecuencia, con los lineamientos del  </w:t>
      </w:r>
      <w:r>
        <w:rPr>
          <w:rFonts w:ascii="Arial" w:hAnsi="Arial" w:cs="Arial"/>
          <w:bCs/>
          <w:sz w:val="22"/>
          <w:szCs w:val="22"/>
        </w:rPr>
        <w:t xml:space="preserve">(i) Plan Nacional de Desarrollo 2015-2018, (ii) Plan Estratégico Sectorial, el (iii) El Modelo Integrado de Planeación y Gestión, y el (iv) Plan Estratégico ANH 2015-2018, en aras de consolidar y mantener los servicios óptimos de infraestructura tecnológica, la articulación de los sistemas de información y la unificación de  los </w:t>
      </w:r>
      <w:r>
        <w:rPr>
          <w:rFonts w:ascii="Arial" w:hAnsi="Arial" w:cs="Arial"/>
          <w:bCs/>
          <w:sz w:val="22"/>
          <w:szCs w:val="22"/>
        </w:rPr>
        <w:lastRenderedPageBreak/>
        <w:t xml:space="preserve">servicios informáticos, que soporte los procesos estratégicos, misionales y de apoyo, en conjunto con estrategias que buscan obtener un mayor aprovechamiento de las TIC y la masificación de su uso por los usuarios de la ANH. </w:t>
      </w:r>
    </w:p>
    <w:p w14:paraId="518820DE" w14:textId="080748CB" w:rsidR="00C02282" w:rsidRPr="001F24ED" w:rsidRDefault="00C02282" w:rsidP="00C02282">
      <w:pPr>
        <w:pStyle w:val="Descripcin"/>
        <w:keepNext/>
        <w:jc w:val="center"/>
      </w:pPr>
      <w:bookmarkStart w:id="181" w:name="_Toc525652540"/>
      <w:r w:rsidRPr="001F24ED">
        <w:t xml:space="preserve">Tabla </w:t>
      </w:r>
      <w:r w:rsidRPr="001F24ED">
        <w:fldChar w:fldCharType="begin"/>
      </w:r>
      <w:r w:rsidRPr="001F24ED">
        <w:instrText xml:space="preserve"> SEQ Tabla \* ARABIC </w:instrText>
      </w:r>
      <w:r w:rsidRPr="001F24ED">
        <w:fldChar w:fldCharType="separate"/>
      </w:r>
      <w:r w:rsidR="008B4625">
        <w:rPr>
          <w:noProof/>
        </w:rPr>
        <w:t>95</w:t>
      </w:r>
      <w:r w:rsidRPr="001F24ED">
        <w:fldChar w:fldCharType="end"/>
      </w:r>
      <w:r w:rsidRPr="001F24ED">
        <w:t xml:space="preserve"> Ejecución Inversión </w:t>
      </w:r>
      <w:r w:rsidR="00D41D3A" w:rsidRPr="001F24ED">
        <w:t>Gestión</w:t>
      </w:r>
      <w:r w:rsidRPr="001F24ED">
        <w:t xml:space="preserve"> De Tecnologías De La Información Y Comunicaciones – Contratación ANH</w:t>
      </w:r>
      <w:bookmarkEnd w:id="181"/>
    </w:p>
    <w:tbl>
      <w:tblPr>
        <w:tblStyle w:val="Tablanormal14"/>
        <w:tblW w:w="9634" w:type="dxa"/>
        <w:tblInd w:w="0" w:type="dxa"/>
        <w:tblLook w:val="04A0" w:firstRow="1" w:lastRow="0" w:firstColumn="1" w:lastColumn="0" w:noHBand="0" w:noVBand="1"/>
      </w:tblPr>
      <w:tblGrid>
        <w:gridCol w:w="2771"/>
        <w:gridCol w:w="4839"/>
        <w:gridCol w:w="2024"/>
      </w:tblGrid>
      <w:tr w:rsidR="001F24ED" w14:paraId="641B5820" w14:textId="77777777" w:rsidTr="001F24ED">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F81BD" w:themeFill="accent1"/>
            <w:noWrap/>
            <w:hideMark/>
          </w:tcPr>
          <w:p w14:paraId="149B6324" w14:textId="77777777" w:rsidR="001F24ED" w:rsidRDefault="001F24ED">
            <w:pPr>
              <w:jc w:val="center"/>
              <w:rPr>
                <w:rFonts w:ascii="Arial" w:hAnsi="Arial" w:cs="Arial"/>
                <w:sz w:val="16"/>
                <w:szCs w:val="16"/>
              </w:rPr>
            </w:pPr>
            <w:r>
              <w:rPr>
                <w:rFonts w:ascii="Arial" w:hAnsi="Arial" w:cs="Arial"/>
                <w:sz w:val="16"/>
                <w:szCs w:val="16"/>
              </w:rPr>
              <w:t>CONTRATO</w:t>
            </w:r>
          </w:p>
        </w:tc>
        <w:tc>
          <w:tcPr>
            <w:tcW w:w="4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F81BD" w:themeFill="accent1"/>
            <w:hideMark/>
          </w:tcPr>
          <w:p w14:paraId="28372655" w14:textId="77777777" w:rsidR="001F24ED" w:rsidRDefault="001F24E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OBJETO PROYECTADO / NECESIDAD</w:t>
            </w:r>
          </w:p>
        </w:tc>
        <w:tc>
          <w:tcPr>
            <w:tcW w:w="2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F81BD" w:themeFill="accent1"/>
            <w:noWrap/>
            <w:hideMark/>
          </w:tcPr>
          <w:p w14:paraId="66C664F1" w14:textId="77777777" w:rsidR="001F24ED" w:rsidRDefault="001F24E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CUANTÍA</w:t>
            </w:r>
          </w:p>
        </w:tc>
      </w:tr>
      <w:tr w:rsidR="001F24ED" w:rsidRPr="001F24ED" w14:paraId="3B411C11" w14:textId="77777777" w:rsidTr="001F24E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7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10B705" w14:textId="77777777" w:rsidR="001F24ED" w:rsidRPr="001F24ED" w:rsidRDefault="001F24ED">
            <w:pPr>
              <w:suppressAutoHyphens/>
              <w:spacing w:line="276" w:lineRule="auto"/>
              <w:jc w:val="both"/>
              <w:rPr>
                <w:rFonts w:ascii="Arial" w:hAnsi="Arial" w:cs="Arial"/>
                <w:b w:val="0"/>
                <w:color w:val="auto"/>
                <w:sz w:val="16"/>
                <w:szCs w:val="16"/>
                <w:lang w:eastAsia="es-ES"/>
              </w:rPr>
            </w:pPr>
            <w:r w:rsidRPr="001F24ED">
              <w:rPr>
                <w:rFonts w:ascii="Arial" w:hAnsi="Arial" w:cs="Arial"/>
                <w:b w:val="0"/>
                <w:color w:val="auto"/>
                <w:sz w:val="16"/>
                <w:szCs w:val="16"/>
                <w:lang w:eastAsia="es-ES"/>
              </w:rPr>
              <w:t>Orden de Compra 24936</w:t>
            </w:r>
          </w:p>
        </w:tc>
        <w:tc>
          <w:tcPr>
            <w:tcW w:w="4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49E3CE" w14:textId="77777777" w:rsidR="001F24ED" w:rsidRPr="001F24ED" w:rsidRDefault="001F24ED">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s-ES"/>
              </w:rPr>
            </w:pPr>
            <w:r w:rsidRPr="001F24ED">
              <w:rPr>
                <w:rFonts w:ascii="Arial" w:hAnsi="Arial" w:cs="Arial"/>
                <w:color w:val="auto"/>
                <w:sz w:val="16"/>
                <w:szCs w:val="16"/>
                <w:lang w:eastAsia="es-ES"/>
              </w:rPr>
              <w:t>Adquisición y actualización de licencias Microsoft para infraestructura tecnológica de la ANH.</w:t>
            </w:r>
          </w:p>
        </w:tc>
        <w:tc>
          <w:tcPr>
            <w:tcW w:w="20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B51707" w14:textId="77777777" w:rsidR="001F24ED" w:rsidRPr="001F24ED" w:rsidRDefault="001F24ED">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lang w:eastAsia="es-ES"/>
              </w:rPr>
            </w:pPr>
            <w:r w:rsidRPr="001F24ED">
              <w:rPr>
                <w:rFonts w:ascii="Arial" w:hAnsi="Arial" w:cs="Arial"/>
                <w:color w:val="auto"/>
                <w:sz w:val="16"/>
                <w:szCs w:val="16"/>
                <w:lang w:eastAsia="es-ES"/>
              </w:rPr>
              <w:t xml:space="preserve">            $1.844 </w:t>
            </w:r>
          </w:p>
        </w:tc>
      </w:tr>
    </w:tbl>
    <w:p w14:paraId="78EDC66C" w14:textId="4BDE9EAD" w:rsidR="00C02282" w:rsidRPr="001F24ED" w:rsidRDefault="001F24ED" w:rsidP="00C02282">
      <w:pPr>
        <w:spacing w:after="0" w:line="240" w:lineRule="auto"/>
        <w:jc w:val="center"/>
        <w:rPr>
          <w:rFonts w:ascii="Arial" w:eastAsia="Calibri" w:hAnsi="Arial" w:cs="Arial"/>
          <w:sz w:val="16"/>
          <w:szCs w:val="16"/>
        </w:rPr>
      </w:pPr>
      <w:r w:rsidRPr="001F24ED">
        <w:rPr>
          <w:rFonts w:ascii="Arial" w:hAnsi="Arial" w:cs="Arial"/>
          <w:sz w:val="16"/>
          <w:szCs w:val="16"/>
          <w:lang w:eastAsia="es-ES"/>
        </w:rPr>
        <w:t xml:space="preserve"> </w:t>
      </w:r>
      <w:r w:rsidR="00C02282" w:rsidRPr="001F24ED">
        <w:rPr>
          <w:rFonts w:ascii="Arial" w:hAnsi="Arial" w:cs="Arial"/>
          <w:sz w:val="16"/>
          <w:szCs w:val="16"/>
          <w:lang w:eastAsia="es-ES"/>
        </w:rPr>
        <w:t>Millones de pesos</w:t>
      </w:r>
    </w:p>
    <w:p w14:paraId="54E20D2D" w14:textId="77777777" w:rsidR="00C02282" w:rsidRPr="001F24ED" w:rsidRDefault="00C02282" w:rsidP="00C02282">
      <w:pPr>
        <w:jc w:val="center"/>
        <w:rPr>
          <w:rFonts w:ascii="Arial" w:hAnsi="Arial" w:cs="Arial"/>
          <w:bCs/>
          <w:lang w:val="es-MX" w:eastAsia="es-ES"/>
        </w:rPr>
      </w:pPr>
      <w:r w:rsidRPr="001F24ED">
        <w:rPr>
          <w:rFonts w:ascii="Calibri" w:hAnsi="Calibri" w:cs="Calibri"/>
          <w:sz w:val="18"/>
          <w:szCs w:val="18"/>
        </w:rPr>
        <w:t>Fuente OIT</w:t>
      </w:r>
    </w:p>
    <w:p w14:paraId="17F9978A" w14:textId="77777777" w:rsidR="00C02282" w:rsidRPr="00C015D8" w:rsidRDefault="00C02282" w:rsidP="00C02282">
      <w:pPr>
        <w:tabs>
          <w:tab w:val="left" w:pos="7725"/>
        </w:tabs>
        <w:jc w:val="both"/>
        <w:rPr>
          <w:rFonts w:ascii="Arial" w:eastAsia="Batang" w:hAnsi="Arial" w:cs="Arial"/>
          <w:b/>
        </w:rPr>
      </w:pPr>
      <w:r w:rsidRPr="00C015D8">
        <w:rPr>
          <w:rFonts w:ascii="Arial" w:eastAsia="Batang" w:hAnsi="Arial" w:cs="Arial"/>
          <w:b/>
        </w:rPr>
        <w:t>Actividades Para Realizar durante el II Trimestre 2018</w:t>
      </w:r>
    </w:p>
    <w:p w14:paraId="155A85F1" w14:textId="77777777" w:rsidR="00C015D8" w:rsidRPr="00C015D8" w:rsidRDefault="00C015D8" w:rsidP="00C015D8">
      <w:pPr>
        <w:tabs>
          <w:tab w:val="left" w:pos="7725"/>
        </w:tabs>
        <w:jc w:val="both"/>
        <w:rPr>
          <w:rFonts w:ascii="Arial" w:hAnsi="Arial" w:cs="Arial"/>
        </w:rPr>
      </w:pPr>
      <w:r w:rsidRPr="00C015D8">
        <w:rPr>
          <w:rFonts w:ascii="Arial" w:eastAsia="Batang" w:hAnsi="Arial" w:cs="Arial"/>
        </w:rPr>
        <w:t xml:space="preserve">Es necesario avanzar en el objetivo de </w:t>
      </w:r>
      <w:r w:rsidRPr="00C015D8">
        <w:rPr>
          <w:rFonts w:ascii="Arial" w:eastAsia="Batang" w:hAnsi="Arial" w:cs="Arial"/>
          <w:i/>
        </w:rPr>
        <w:t>“</w:t>
      </w:r>
      <w:r w:rsidRPr="00C015D8">
        <w:rPr>
          <w:rFonts w:ascii="Arial" w:hAnsi="Arial" w:cs="Arial"/>
          <w:i/>
        </w:rPr>
        <w:t>Proveer la infraestructura de TIC y Sistemas de Información requeridos por la ANH alineados con las tendencias tecnológicas y el entorno.”,</w:t>
      </w:r>
      <w:r w:rsidRPr="00C015D8">
        <w:rPr>
          <w:rFonts w:ascii="Arial" w:hAnsi="Arial" w:cs="Arial"/>
        </w:rPr>
        <w:t xml:space="preserve"> por el cual se han programado las actividades de la estructura de desglose de trabajo -EDT- que materialicen la ejecución del portafolio de proyectos del Plan Estratégico de Tecnologías mediante la adquisición de bienes y servicios que se relacionan a continuación:</w:t>
      </w:r>
    </w:p>
    <w:p w14:paraId="13C0BEFF" w14:textId="64A677B4" w:rsidR="00C02282" w:rsidRPr="00C015D8" w:rsidRDefault="00C02282" w:rsidP="00C015D8">
      <w:pPr>
        <w:pStyle w:val="Descripcin"/>
        <w:keepNext/>
        <w:jc w:val="center"/>
      </w:pPr>
      <w:bookmarkStart w:id="182" w:name="_Toc525652541"/>
      <w:r w:rsidRPr="00C015D8">
        <w:t xml:space="preserve">Tabla </w:t>
      </w:r>
      <w:r w:rsidRPr="00C015D8">
        <w:fldChar w:fldCharType="begin"/>
      </w:r>
      <w:r w:rsidRPr="00C015D8">
        <w:instrText xml:space="preserve"> SEQ Tabla \* ARABIC </w:instrText>
      </w:r>
      <w:r w:rsidRPr="00C015D8">
        <w:fldChar w:fldCharType="separate"/>
      </w:r>
      <w:r w:rsidR="008B4625">
        <w:rPr>
          <w:noProof/>
        </w:rPr>
        <w:t>96</w:t>
      </w:r>
      <w:r w:rsidRPr="00C015D8">
        <w:fldChar w:fldCharType="end"/>
      </w:r>
      <w:r w:rsidR="00C015D8" w:rsidRPr="00C015D8">
        <w:t xml:space="preserve"> </w:t>
      </w:r>
      <w:r w:rsidRPr="00C015D8">
        <w:t xml:space="preserve">Ejecución Inversión </w:t>
      </w:r>
      <w:r w:rsidR="00C015D8" w:rsidRPr="00C015D8">
        <w:t>Gestión</w:t>
      </w:r>
      <w:r w:rsidRPr="00C015D8">
        <w:t xml:space="preserve"> De Tecnologías De La Información Y Comunicaciones – Bienes y Servicios</w:t>
      </w:r>
      <w:r w:rsidR="009E5C47">
        <w:t xml:space="preserve"> </w:t>
      </w:r>
      <w:r w:rsidR="00C015D8" w:rsidRPr="00C015D8">
        <w:t xml:space="preserve">a 30 de junio de 2018 </w:t>
      </w:r>
      <w:r w:rsidRPr="00C015D8">
        <w:t xml:space="preserve"> ANH</w:t>
      </w:r>
      <w:bookmarkEnd w:id="182"/>
    </w:p>
    <w:tbl>
      <w:tblPr>
        <w:tblW w:w="8614" w:type="dxa"/>
        <w:tblCellMar>
          <w:left w:w="70" w:type="dxa"/>
          <w:right w:w="70" w:type="dxa"/>
        </w:tblCellMar>
        <w:tblLook w:val="04A0" w:firstRow="1" w:lastRow="0" w:firstColumn="1" w:lastColumn="0" w:noHBand="0" w:noVBand="1"/>
      </w:tblPr>
      <w:tblGrid>
        <w:gridCol w:w="6903"/>
        <w:gridCol w:w="1711"/>
      </w:tblGrid>
      <w:tr w:rsidR="00C015D8" w14:paraId="19CDD878" w14:textId="77777777" w:rsidTr="00D41D3A">
        <w:trPr>
          <w:trHeight w:val="308"/>
          <w:tblHeader/>
        </w:trPr>
        <w:tc>
          <w:tcPr>
            <w:tcW w:w="6903" w:type="dxa"/>
            <w:tcBorders>
              <w:top w:val="single" w:sz="8" w:space="0" w:color="auto"/>
              <w:left w:val="single" w:sz="8" w:space="0" w:color="auto"/>
              <w:bottom w:val="single" w:sz="8" w:space="0" w:color="auto"/>
              <w:right w:val="single" w:sz="4" w:space="0" w:color="auto"/>
            </w:tcBorders>
            <w:shd w:val="clear" w:color="auto" w:fill="4F81BD" w:themeFill="accent1"/>
            <w:vAlign w:val="center"/>
            <w:hideMark/>
          </w:tcPr>
          <w:p w14:paraId="292DDB4B" w14:textId="77777777" w:rsidR="00C015D8" w:rsidRDefault="00C015D8">
            <w:pPr>
              <w:jc w:val="center"/>
              <w:rPr>
                <w:rFonts w:ascii="Arial" w:hAnsi="Arial" w:cs="Arial"/>
                <w:b/>
                <w:bCs/>
                <w:color w:val="000000"/>
                <w:sz w:val="20"/>
                <w:szCs w:val="20"/>
              </w:rPr>
            </w:pPr>
            <w:r>
              <w:rPr>
                <w:rFonts w:ascii="Arial" w:eastAsia="Batang" w:hAnsi="Arial" w:cs="Arial"/>
                <w:b/>
                <w:bCs/>
                <w:sz w:val="20"/>
                <w:szCs w:val="20"/>
              </w:rPr>
              <w:t>Actividades programadas</w:t>
            </w:r>
          </w:p>
        </w:tc>
        <w:tc>
          <w:tcPr>
            <w:tcW w:w="1711" w:type="dxa"/>
            <w:tcBorders>
              <w:top w:val="single" w:sz="8" w:space="0" w:color="auto"/>
              <w:left w:val="nil"/>
              <w:bottom w:val="single" w:sz="8" w:space="0" w:color="auto"/>
              <w:right w:val="single" w:sz="8" w:space="0" w:color="auto"/>
            </w:tcBorders>
            <w:shd w:val="clear" w:color="auto" w:fill="4F81BD" w:themeFill="accent1"/>
            <w:vAlign w:val="center"/>
            <w:hideMark/>
          </w:tcPr>
          <w:p w14:paraId="5F429EAA" w14:textId="77777777" w:rsidR="00C015D8" w:rsidRDefault="00C015D8">
            <w:pPr>
              <w:jc w:val="center"/>
              <w:rPr>
                <w:rFonts w:ascii="Arial" w:hAnsi="Arial" w:cs="Arial"/>
                <w:b/>
                <w:bCs/>
                <w:color w:val="000000"/>
                <w:sz w:val="20"/>
                <w:szCs w:val="20"/>
              </w:rPr>
            </w:pPr>
            <w:r>
              <w:rPr>
                <w:rFonts w:ascii="Arial" w:eastAsia="Batang" w:hAnsi="Arial" w:cs="Arial"/>
                <w:b/>
                <w:bCs/>
                <w:sz w:val="20"/>
                <w:szCs w:val="20"/>
              </w:rPr>
              <w:t>Presupuesto</w:t>
            </w:r>
          </w:p>
        </w:tc>
      </w:tr>
      <w:tr w:rsidR="00C015D8" w14:paraId="041D7722" w14:textId="77777777" w:rsidTr="00C015D8">
        <w:trPr>
          <w:trHeight w:val="733"/>
        </w:trPr>
        <w:tc>
          <w:tcPr>
            <w:tcW w:w="6903" w:type="dxa"/>
            <w:tcBorders>
              <w:top w:val="nil"/>
              <w:left w:val="single" w:sz="8" w:space="0" w:color="auto"/>
              <w:bottom w:val="single" w:sz="4" w:space="0" w:color="auto"/>
              <w:right w:val="single" w:sz="4" w:space="0" w:color="auto"/>
            </w:tcBorders>
            <w:vAlign w:val="center"/>
            <w:hideMark/>
          </w:tcPr>
          <w:p w14:paraId="08F63EFA" w14:textId="77777777" w:rsidR="00C015D8" w:rsidRDefault="00C015D8">
            <w:pPr>
              <w:jc w:val="both"/>
              <w:rPr>
                <w:rFonts w:ascii="Arial" w:hAnsi="Arial" w:cs="Arial"/>
                <w:color w:val="000000"/>
                <w:sz w:val="20"/>
                <w:szCs w:val="20"/>
              </w:rPr>
            </w:pPr>
            <w:r>
              <w:rPr>
                <w:rFonts w:ascii="Arial" w:hAnsi="Arial" w:cs="Arial"/>
                <w:bCs/>
                <w:sz w:val="20"/>
                <w:szCs w:val="20"/>
              </w:rPr>
              <w:t>Adquirir la ampliación de capacidad en la librería de cintas sl3000 y bandeja de disco zfs3.</w:t>
            </w:r>
          </w:p>
        </w:tc>
        <w:tc>
          <w:tcPr>
            <w:tcW w:w="1711" w:type="dxa"/>
            <w:tcBorders>
              <w:top w:val="nil"/>
              <w:left w:val="nil"/>
              <w:bottom w:val="single" w:sz="4" w:space="0" w:color="auto"/>
              <w:right w:val="single" w:sz="8" w:space="0" w:color="auto"/>
            </w:tcBorders>
            <w:vAlign w:val="center"/>
            <w:hideMark/>
          </w:tcPr>
          <w:p w14:paraId="69DAA5F4" w14:textId="77777777" w:rsidR="00C015D8" w:rsidRDefault="00C015D8">
            <w:pPr>
              <w:jc w:val="right"/>
              <w:rPr>
                <w:rFonts w:ascii="Arial" w:hAnsi="Arial" w:cs="Arial"/>
                <w:color w:val="000000"/>
                <w:sz w:val="20"/>
                <w:szCs w:val="20"/>
              </w:rPr>
            </w:pPr>
            <w:r>
              <w:rPr>
                <w:rFonts w:ascii="Arial" w:hAnsi="Arial" w:cs="Arial"/>
                <w:sz w:val="20"/>
                <w:szCs w:val="20"/>
              </w:rPr>
              <w:t>855</w:t>
            </w:r>
          </w:p>
        </w:tc>
      </w:tr>
      <w:tr w:rsidR="00C015D8" w14:paraId="4598B7D3" w14:textId="77777777" w:rsidTr="00C015D8">
        <w:trPr>
          <w:trHeight w:val="1218"/>
        </w:trPr>
        <w:tc>
          <w:tcPr>
            <w:tcW w:w="6903" w:type="dxa"/>
            <w:tcBorders>
              <w:top w:val="single" w:sz="4" w:space="0" w:color="auto"/>
              <w:left w:val="single" w:sz="8" w:space="0" w:color="auto"/>
              <w:bottom w:val="single" w:sz="4" w:space="0" w:color="auto"/>
              <w:right w:val="single" w:sz="4" w:space="0" w:color="auto"/>
            </w:tcBorders>
            <w:vAlign w:val="center"/>
            <w:hideMark/>
          </w:tcPr>
          <w:p w14:paraId="796FFFA2" w14:textId="77777777" w:rsidR="00C015D8" w:rsidRDefault="00C015D8">
            <w:pPr>
              <w:jc w:val="both"/>
              <w:rPr>
                <w:rFonts w:ascii="Arial" w:hAnsi="Arial" w:cs="Arial"/>
                <w:color w:val="000000"/>
                <w:sz w:val="20"/>
                <w:szCs w:val="20"/>
              </w:rPr>
            </w:pPr>
            <w:r>
              <w:rPr>
                <w:rFonts w:ascii="Arial" w:hAnsi="Arial" w:cs="Arial"/>
                <w:bCs/>
                <w:sz w:val="20"/>
                <w:szCs w:val="20"/>
              </w:rPr>
              <w:t>Implementar el sistema de gestión de seguridad de la información SGSI y licencia de solución tecnológica para la administración, evaluación, gestión de riesgos y de las etapas del ciclo de vida del SGSI</w:t>
            </w:r>
          </w:p>
        </w:tc>
        <w:tc>
          <w:tcPr>
            <w:tcW w:w="1711" w:type="dxa"/>
            <w:tcBorders>
              <w:top w:val="single" w:sz="4" w:space="0" w:color="auto"/>
              <w:left w:val="nil"/>
              <w:bottom w:val="single" w:sz="4" w:space="0" w:color="auto"/>
              <w:right w:val="single" w:sz="8" w:space="0" w:color="auto"/>
            </w:tcBorders>
            <w:vAlign w:val="center"/>
            <w:hideMark/>
          </w:tcPr>
          <w:p w14:paraId="58AED11A" w14:textId="77777777" w:rsidR="00C015D8" w:rsidRDefault="00C015D8">
            <w:pPr>
              <w:jc w:val="right"/>
              <w:rPr>
                <w:rFonts w:ascii="Arial" w:hAnsi="Arial" w:cs="Arial"/>
                <w:color w:val="000000"/>
                <w:sz w:val="20"/>
                <w:szCs w:val="20"/>
              </w:rPr>
            </w:pPr>
            <w:r>
              <w:rPr>
                <w:rFonts w:ascii="Arial" w:hAnsi="Arial" w:cs="Arial"/>
                <w:sz w:val="20"/>
                <w:szCs w:val="20"/>
              </w:rPr>
              <w:t>1.249</w:t>
            </w:r>
          </w:p>
        </w:tc>
      </w:tr>
      <w:tr w:rsidR="00C015D8" w14:paraId="60D4E040" w14:textId="77777777" w:rsidTr="00C015D8">
        <w:trPr>
          <w:trHeight w:val="1262"/>
        </w:trPr>
        <w:tc>
          <w:tcPr>
            <w:tcW w:w="6903" w:type="dxa"/>
            <w:tcBorders>
              <w:top w:val="single" w:sz="4" w:space="0" w:color="auto"/>
              <w:left w:val="single" w:sz="4" w:space="0" w:color="auto"/>
              <w:bottom w:val="single" w:sz="4" w:space="0" w:color="auto"/>
              <w:right w:val="single" w:sz="4" w:space="0" w:color="auto"/>
            </w:tcBorders>
            <w:vAlign w:val="center"/>
            <w:hideMark/>
          </w:tcPr>
          <w:p w14:paraId="0ED0EA47" w14:textId="77777777" w:rsidR="00C015D8" w:rsidRDefault="00C015D8">
            <w:pPr>
              <w:jc w:val="both"/>
              <w:rPr>
                <w:rFonts w:ascii="Arial" w:hAnsi="Arial" w:cs="Arial"/>
                <w:color w:val="000000"/>
                <w:sz w:val="20"/>
                <w:szCs w:val="20"/>
              </w:rPr>
            </w:pPr>
            <w:r>
              <w:rPr>
                <w:rFonts w:ascii="Arial" w:hAnsi="Arial" w:cs="Arial"/>
                <w:bCs/>
                <w:sz w:val="20"/>
                <w:szCs w:val="20"/>
              </w:rPr>
              <w:t xml:space="preserve">Diseñar y formular la definición del plan estratégico de tecnologías de la información y las comunicaciones </w:t>
            </w:r>
            <w:proofErr w:type="spellStart"/>
            <w:r>
              <w:rPr>
                <w:rFonts w:ascii="Arial" w:hAnsi="Arial" w:cs="Arial"/>
                <w:bCs/>
                <w:sz w:val="20"/>
                <w:szCs w:val="20"/>
              </w:rPr>
              <w:t>Petic</w:t>
            </w:r>
            <w:proofErr w:type="spellEnd"/>
            <w:r>
              <w:rPr>
                <w:rFonts w:ascii="Arial" w:hAnsi="Arial" w:cs="Arial"/>
                <w:bCs/>
                <w:sz w:val="20"/>
                <w:szCs w:val="20"/>
              </w:rPr>
              <w:t xml:space="preserve"> de la ANH para el horizonte 2019 - 2022 que soporte la arquitectura empresarial, en el marco de la implementación</w:t>
            </w:r>
          </w:p>
        </w:tc>
        <w:tc>
          <w:tcPr>
            <w:tcW w:w="1711" w:type="dxa"/>
            <w:tcBorders>
              <w:top w:val="single" w:sz="4" w:space="0" w:color="auto"/>
              <w:left w:val="single" w:sz="4" w:space="0" w:color="auto"/>
              <w:bottom w:val="single" w:sz="4" w:space="0" w:color="auto"/>
              <w:right w:val="single" w:sz="4" w:space="0" w:color="auto"/>
            </w:tcBorders>
            <w:vAlign w:val="center"/>
            <w:hideMark/>
          </w:tcPr>
          <w:p w14:paraId="7FB86A59" w14:textId="77777777" w:rsidR="00C015D8" w:rsidRDefault="00C015D8">
            <w:pPr>
              <w:jc w:val="right"/>
              <w:rPr>
                <w:rFonts w:ascii="Arial" w:hAnsi="Arial" w:cs="Arial"/>
                <w:color w:val="000000"/>
                <w:sz w:val="20"/>
                <w:szCs w:val="20"/>
              </w:rPr>
            </w:pPr>
            <w:r>
              <w:rPr>
                <w:rFonts w:ascii="Arial" w:hAnsi="Arial" w:cs="Arial"/>
                <w:sz w:val="20"/>
                <w:szCs w:val="20"/>
              </w:rPr>
              <w:t>404,00</w:t>
            </w:r>
          </w:p>
        </w:tc>
      </w:tr>
      <w:tr w:rsidR="00C015D8" w14:paraId="3C1FC329" w14:textId="77777777" w:rsidTr="00C015D8">
        <w:trPr>
          <w:trHeight w:val="997"/>
        </w:trPr>
        <w:tc>
          <w:tcPr>
            <w:tcW w:w="6903" w:type="dxa"/>
            <w:tcBorders>
              <w:top w:val="nil"/>
              <w:left w:val="single" w:sz="8" w:space="0" w:color="auto"/>
              <w:bottom w:val="single" w:sz="4" w:space="0" w:color="auto"/>
              <w:right w:val="single" w:sz="4" w:space="0" w:color="auto"/>
            </w:tcBorders>
            <w:vAlign w:val="center"/>
            <w:hideMark/>
          </w:tcPr>
          <w:p w14:paraId="61ABE41E" w14:textId="77777777" w:rsidR="00C015D8" w:rsidRDefault="00C015D8">
            <w:pPr>
              <w:jc w:val="both"/>
              <w:rPr>
                <w:rFonts w:ascii="Arial" w:hAnsi="Arial" w:cs="Arial"/>
                <w:color w:val="000000"/>
                <w:sz w:val="20"/>
                <w:szCs w:val="20"/>
              </w:rPr>
            </w:pPr>
            <w:r>
              <w:rPr>
                <w:rFonts w:ascii="Arial" w:hAnsi="Arial" w:cs="Arial"/>
                <w:bCs/>
                <w:sz w:val="20"/>
                <w:szCs w:val="20"/>
              </w:rPr>
              <w:t xml:space="preserve">Implantar una solución tecnológica de </w:t>
            </w:r>
            <w:proofErr w:type="spellStart"/>
            <w:r>
              <w:rPr>
                <w:rFonts w:ascii="Arial" w:hAnsi="Arial" w:cs="Arial"/>
                <w:bCs/>
                <w:sz w:val="20"/>
                <w:szCs w:val="20"/>
              </w:rPr>
              <w:t>enterprise</w:t>
            </w:r>
            <w:proofErr w:type="spellEnd"/>
            <w:r>
              <w:rPr>
                <w:rFonts w:ascii="Arial" w:hAnsi="Arial" w:cs="Arial"/>
                <w:bCs/>
                <w:sz w:val="20"/>
                <w:szCs w:val="20"/>
              </w:rPr>
              <w:t xml:space="preserve"> </w:t>
            </w:r>
            <w:proofErr w:type="spellStart"/>
            <w:r>
              <w:rPr>
                <w:rFonts w:ascii="Arial" w:hAnsi="Arial" w:cs="Arial"/>
                <w:bCs/>
                <w:sz w:val="20"/>
                <w:szCs w:val="20"/>
              </w:rPr>
              <w:t>resource</w:t>
            </w:r>
            <w:proofErr w:type="spellEnd"/>
            <w:r>
              <w:rPr>
                <w:rFonts w:ascii="Arial" w:hAnsi="Arial" w:cs="Arial"/>
                <w:bCs/>
                <w:sz w:val="20"/>
                <w:szCs w:val="20"/>
              </w:rPr>
              <w:t xml:space="preserve"> </w:t>
            </w:r>
            <w:proofErr w:type="spellStart"/>
            <w:r>
              <w:rPr>
                <w:rFonts w:ascii="Arial" w:hAnsi="Arial" w:cs="Arial"/>
                <w:bCs/>
                <w:sz w:val="20"/>
                <w:szCs w:val="20"/>
              </w:rPr>
              <w:t>planning</w:t>
            </w:r>
            <w:proofErr w:type="spellEnd"/>
            <w:r>
              <w:rPr>
                <w:rFonts w:ascii="Arial" w:hAnsi="Arial" w:cs="Arial"/>
                <w:bCs/>
                <w:sz w:val="20"/>
                <w:szCs w:val="20"/>
              </w:rPr>
              <w:t xml:space="preserve"> - </w:t>
            </w:r>
            <w:proofErr w:type="spellStart"/>
            <w:r>
              <w:rPr>
                <w:rFonts w:ascii="Arial" w:hAnsi="Arial" w:cs="Arial"/>
                <w:bCs/>
                <w:sz w:val="20"/>
                <w:szCs w:val="20"/>
              </w:rPr>
              <w:t>erp</w:t>
            </w:r>
            <w:proofErr w:type="spellEnd"/>
            <w:r>
              <w:rPr>
                <w:rFonts w:ascii="Arial" w:hAnsi="Arial" w:cs="Arial"/>
                <w:bCs/>
                <w:sz w:val="20"/>
                <w:szCs w:val="20"/>
              </w:rPr>
              <w:t xml:space="preserve">, el </w:t>
            </w:r>
            <w:proofErr w:type="spellStart"/>
            <w:r>
              <w:rPr>
                <w:rFonts w:ascii="Arial" w:hAnsi="Arial" w:cs="Arial"/>
                <w:bCs/>
                <w:sz w:val="20"/>
                <w:szCs w:val="20"/>
              </w:rPr>
              <w:t>customer</w:t>
            </w:r>
            <w:proofErr w:type="spellEnd"/>
            <w:r>
              <w:rPr>
                <w:rFonts w:ascii="Arial" w:hAnsi="Arial" w:cs="Arial"/>
                <w:bCs/>
                <w:sz w:val="20"/>
                <w:szCs w:val="20"/>
              </w:rPr>
              <w:t xml:space="preserve"> </w:t>
            </w:r>
            <w:proofErr w:type="spellStart"/>
            <w:r>
              <w:rPr>
                <w:rFonts w:ascii="Arial" w:hAnsi="Arial" w:cs="Arial"/>
                <w:bCs/>
                <w:sz w:val="20"/>
                <w:szCs w:val="20"/>
              </w:rPr>
              <w:t>relationship</w:t>
            </w:r>
            <w:proofErr w:type="spellEnd"/>
            <w:r>
              <w:rPr>
                <w:rFonts w:ascii="Arial" w:hAnsi="Arial" w:cs="Arial"/>
                <w:bCs/>
                <w:sz w:val="20"/>
                <w:szCs w:val="20"/>
              </w:rPr>
              <w:t xml:space="preserve"> </w:t>
            </w:r>
            <w:proofErr w:type="spellStart"/>
            <w:r>
              <w:rPr>
                <w:rFonts w:ascii="Arial" w:hAnsi="Arial" w:cs="Arial"/>
                <w:bCs/>
                <w:sz w:val="20"/>
                <w:szCs w:val="20"/>
              </w:rPr>
              <w:t>management</w:t>
            </w:r>
            <w:proofErr w:type="spellEnd"/>
            <w:r>
              <w:rPr>
                <w:rFonts w:ascii="Arial" w:hAnsi="Arial" w:cs="Arial"/>
                <w:bCs/>
                <w:sz w:val="20"/>
                <w:szCs w:val="20"/>
              </w:rPr>
              <w:t xml:space="preserve"> </w:t>
            </w:r>
            <w:proofErr w:type="spellStart"/>
            <w:r>
              <w:rPr>
                <w:rFonts w:ascii="Arial" w:hAnsi="Arial" w:cs="Arial"/>
                <w:bCs/>
                <w:sz w:val="20"/>
                <w:szCs w:val="20"/>
              </w:rPr>
              <w:t>crm</w:t>
            </w:r>
            <w:proofErr w:type="spellEnd"/>
            <w:r>
              <w:rPr>
                <w:rFonts w:ascii="Arial" w:hAnsi="Arial" w:cs="Arial"/>
                <w:bCs/>
                <w:sz w:val="20"/>
                <w:szCs w:val="20"/>
              </w:rPr>
              <w:t xml:space="preserve"> y gestión de proyectos para la ANH</w:t>
            </w:r>
          </w:p>
        </w:tc>
        <w:tc>
          <w:tcPr>
            <w:tcW w:w="1711" w:type="dxa"/>
            <w:tcBorders>
              <w:top w:val="nil"/>
              <w:left w:val="nil"/>
              <w:bottom w:val="single" w:sz="4" w:space="0" w:color="auto"/>
              <w:right w:val="single" w:sz="8" w:space="0" w:color="auto"/>
            </w:tcBorders>
            <w:vAlign w:val="center"/>
            <w:hideMark/>
          </w:tcPr>
          <w:p w14:paraId="1A5B502E" w14:textId="77777777" w:rsidR="00C015D8" w:rsidRDefault="00C015D8">
            <w:pPr>
              <w:jc w:val="right"/>
              <w:rPr>
                <w:rFonts w:ascii="Arial" w:hAnsi="Arial" w:cs="Arial"/>
                <w:color w:val="000000"/>
                <w:sz w:val="20"/>
                <w:szCs w:val="20"/>
              </w:rPr>
            </w:pPr>
            <w:r>
              <w:rPr>
                <w:rFonts w:ascii="Arial" w:hAnsi="Arial" w:cs="Arial"/>
                <w:sz w:val="20"/>
                <w:szCs w:val="20"/>
              </w:rPr>
              <w:t>3.552,00</w:t>
            </w:r>
          </w:p>
        </w:tc>
      </w:tr>
      <w:tr w:rsidR="00C015D8" w14:paraId="4111CD89" w14:textId="77777777" w:rsidTr="00C015D8">
        <w:trPr>
          <w:trHeight w:val="968"/>
        </w:trPr>
        <w:tc>
          <w:tcPr>
            <w:tcW w:w="6903" w:type="dxa"/>
            <w:tcBorders>
              <w:top w:val="single" w:sz="4" w:space="0" w:color="auto"/>
              <w:left w:val="single" w:sz="4" w:space="0" w:color="auto"/>
              <w:bottom w:val="single" w:sz="4" w:space="0" w:color="auto"/>
              <w:right w:val="single" w:sz="4" w:space="0" w:color="auto"/>
            </w:tcBorders>
            <w:vAlign w:val="center"/>
            <w:hideMark/>
          </w:tcPr>
          <w:p w14:paraId="298EDC8E" w14:textId="77777777" w:rsidR="00C015D8" w:rsidRDefault="00C015D8">
            <w:pPr>
              <w:jc w:val="both"/>
              <w:rPr>
                <w:rFonts w:ascii="Arial" w:hAnsi="Arial" w:cs="Arial"/>
                <w:color w:val="000000"/>
                <w:sz w:val="20"/>
                <w:szCs w:val="20"/>
              </w:rPr>
            </w:pPr>
            <w:r>
              <w:rPr>
                <w:rFonts w:ascii="Arial" w:hAnsi="Arial" w:cs="Arial"/>
                <w:bCs/>
                <w:sz w:val="20"/>
                <w:szCs w:val="20"/>
              </w:rPr>
              <w:t>Diseñar y formular la definición de la arquitectura empresarial de la ANH para el horizonte 2019 - 2022 que soporte la visión, estrategias, metas, acorde a la estructura operativa y de planeación estratégica</w:t>
            </w:r>
          </w:p>
        </w:tc>
        <w:tc>
          <w:tcPr>
            <w:tcW w:w="1711" w:type="dxa"/>
            <w:tcBorders>
              <w:top w:val="single" w:sz="4" w:space="0" w:color="auto"/>
              <w:left w:val="single" w:sz="4" w:space="0" w:color="auto"/>
              <w:bottom w:val="single" w:sz="4" w:space="0" w:color="auto"/>
              <w:right w:val="single" w:sz="4" w:space="0" w:color="auto"/>
            </w:tcBorders>
            <w:vAlign w:val="center"/>
            <w:hideMark/>
          </w:tcPr>
          <w:p w14:paraId="68AFF333" w14:textId="77777777" w:rsidR="00C015D8" w:rsidRDefault="00C015D8">
            <w:pPr>
              <w:jc w:val="right"/>
              <w:rPr>
                <w:rFonts w:ascii="Arial" w:hAnsi="Arial" w:cs="Arial"/>
                <w:color w:val="000000"/>
                <w:sz w:val="20"/>
                <w:szCs w:val="20"/>
              </w:rPr>
            </w:pPr>
            <w:r>
              <w:rPr>
                <w:rFonts w:ascii="Arial" w:hAnsi="Arial" w:cs="Arial"/>
                <w:sz w:val="20"/>
                <w:szCs w:val="20"/>
              </w:rPr>
              <w:t>1.424,00</w:t>
            </w:r>
          </w:p>
        </w:tc>
      </w:tr>
      <w:tr w:rsidR="00C015D8" w14:paraId="79AFAC89" w14:textId="77777777" w:rsidTr="00C015D8">
        <w:trPr>
          <w:trHeight w:val="616"/>
        </w:trPr>
        <w:tc>
          <w:tcPr>
            <w:tcW w:w="6903" w:type="dxa"/>
            <w:tcBorders>
              <w:top w:val="nil"/>
              <w:left w:val="single" w:sz="8" w:space="0" w:color="auto"/>
              <w:bottom w:val="single" w:sz="8" w:space="0" w:color="auto"/>
              <w:right w:val="single" w:sz="4" w:space="0" w:color="auto"/>
            </w:tcBorders>
            <w:vAlign w:val="center"/>
            <w:hideMark/>
          </w:tcPr>
          <w:p w14:paraId="6306CAB9" w14:textId="77777777" w:rsidR="00C015D8" w:rsidRDefault="00C015D8">
            <w:pPr>
              <w:jc w:val="both"/>
              <w:rPr>
                <w:rFonts w:ascii="Arial" w:hAnsi="Arial" w:cs="Arial"/>
                <w:color w:val="000000"/>
                <w:sz w:val="20"/>
                <w:szCs w:val="20"/>
              </w:rPr>
            </w:pPr>
            <w:r>
              <w:rPr>
                <w:rFonts w:ascii="Arial" w:hAnsi="Arial" w:cs="Arial"/>
                <w:bCs/>
                <w:sz w:val="20"/>
                <w:szCs w:val="20"/>
              </w:rPr>
              <w:lastRenderedPageBreak/>
              <w:t xml:space="preserve">Realizar pruebas de vulnerabilidad y </w:t>
            </w:r>
            <w:proofErr w:type="spellStart"/>
            <w:r>
              <w:rPr>
                <w:rFonts w:ascii="Arial" w:hAnsi="Arial" w:cs="Arial"/>
                <w:bCs/>
                <w:sz w:val="20"/>
                <w:szCs w:val="20"/>
              </w:rPr>
              <w:t>ethical</w:t>
            </w:r>
            <w:proofErr w:type="spellEnd"/>
            <w:r>
              <w:rPr>
                <w:rFonts w:ascii="Arial" w:hAnsi="Arial" w:cs="Arial"/>
                <w:bCs/>
                <w:sz w:val="20"/>
                <w:szCs w:val="20"/>
              </w:rPr>
              <w:t xml:space="preserve"> hacking a los sistemas de la ANH.</w:t>
            </w:r>
          </w:p>
        </w:tc>
        <w:tc>
          <w:tcPr>
            <w:tcW w:w="1711" w:type="dxa"/>
            <w:tcBorders>
              <w:top w:val="nil"/>
              <w:left w:val="nil"/>
              <w:bottom w:val="single" w:sz="8" w:space="0" w:color="auto"/>
              <w:right w:val="single" w:sz="8" w:space="0" w:color="auto"/>
            </w:tcBorders>
            <w:vAlign w:val="center"/>
            <w:hideMark/>
          </w:tcPr>
          <w:p w14:paraId="169BFFC3" w14:textId="77777777" w:rsidR="00C015D8" w:rsidRDefault="00C015D8">
            <w:pPr>
              <w:jc w:val="right"/>
              <w:rPr>
                <w:rFonts w:ascii="Arial" w:hAnsi="Arial" w:cs="Arial"/>
                <w:color w:val="000000"/>
                <w:sz w:val="20"/>
                <w:szCs w:val="20"/>
              </w:rPr>
            </w:pPr>
            <w:r>
              <w:rPr>
                <w:rFonts w:ascii="Arial" w:hAnsi="Arial" w:cs="Arial"/>
                <w:sz w:val="20"/>
                <w:szCs w:val="20"/>
              </w:rPr>
              <w:t>45,00</w:t>
            </w:r>
          </w:p>
        </w:tc>
      </w:tr>
    </w:tbl>
    <w:p w14:paraId="11D405D2" w14:textId="5EFA00BC" w:rsidR="00C02282" w:rsidRPr="00C015D8" w:rsidRDefault="00C015D8" w:rsidP="00C02282">
      <w:pPr>
        <w:spacing w:after="0" w:line="240" w:lineRule="auto"/>
        <w:jc w:val="center"/>
        <w:rPr>
          <w:rFonts w:ascii="Arial" w:eastAsia="Calibri" w:hAnsi="Arial" w:cs="Arial"/>
          <w:sz w:val="16"/>
          <w:szCs w:val="16"/>
        </w:rPr>
      </w:pPr>
      <w:r w:rsidRPr="00C015D8">
        <w:rPr>
          <w:rFonts w:ascii="Arial" w:hAnsi="Arial" w:cs="Arial"/>
          <w:sz w:val="16"/>
          <w:szCs w:val="16"/>
          <w:lang w:eastAsia="es-ES"/>
        </w:rPr>
        <w:t xml:space="preserve"> </w:t>
      </w:r>
      <w:r w:rsidR="00C02282" w:rsidRPr="00C015D8">
        <w:rPr>
          <w:rFonts w:ascii="Arial" w:hAnsi="Arial" w:cs="Arial"/>
          <w:sz w:val="16"/>
          <w:szCs w:val="16"/>
          <w:lang w:eastAsia="es-ES"/>
        </w:rPr>
        <w:t>Millones de pesos</w:t>
      </w:r>
    </w:p>
    <w:p w14:paraId="0DEFF799" w14:textId="6E8EE134" w:rsidR="00C02282" w:rsidRDefault="00C02282" w:rsidP="00C02282">
      <w:pPr>
        <w:jc w:val="center"/>
        <w:rPr>
          <w:rFonts w:ascii="Calibri" w:hAnsi="Calibri" w:cs="Calibri"/>
          <w:sz w:val="18"/>
          <w:szCs w:val="18"/>
        </w:rPr>
      </w:pPr>
      <w:r w:rsidRPr="00C015D8">
        <w:rPr>
          <w:rFonts w:ascii="Calibri" w:hAnsi="Calibri" w:cs="Calibri"/>
          <w:sz w:val="18"/>
          <w:szCs w:val="18"/>
        </w:rPr>
        <w:t>Fuente OIT</w:t>
      </w:r>
    </w:p>
    <w:p w14:paraId="7A62852B" w14:textId="7E69D026" w:rsidR="009E5C47" w:rsidRDefault="009E5C47" w:rsidP="00C02282">
      <w:pPr>
        <w:jc w:val="center"/>
        <w:rPr>
          <w:rFonts w:ascii="Calibri" w:hAnsi="Calibri" w:cs="Calibri"/>
          <w:sz w:val="18"/>
          <w:szCs w:val="18"/>
        </w:rPr>
      </w:pPr>
    </w:p>
    <w:p w14:paraId="3C634156" w14:textId="12022F3D" w:rsidR="009E5C47" w:rsidRDefault="009E5C47" w:rsidP="00C02282">
      <w:pPr>
        <w:jc w:val="center"/>
        <w:rPr>
          <w:rFonts w:ascii="Calibri" w:hAnsi="Calibri" w:cs="Calibri"/>
          <w:sz w:val="18"/>
          <w:szCs w:val="18"/>
        </w:rPr>
      </w:pPr>
    </w:p>
    <w:p w14:paraId="78DAF44C" w14:textId="77777777" w:rsidR="009E5C47" w:rsidRPr="00C015D8" w:rsidRDefault="009E5C47" w:rsidP="00C02282">
      <w:pPr>
        <w:jc w:val="center"/>
        <w:rPr>
          <w:rFonts w:ascii="Arial" w:hAnsi="Arial" w:cs="Arial"/>
          <w:bCs/>
          <w:lang w:val="es-MX" w:eastAsia="es-ES"/>
        </w:rPr>
      </w:pPr>
    </w:p>
    <w:p w14:paraId="49FA65CC" w14:textId="77777777" w:rsidR="00C02282" w:rsidRPr="006A67B4" w:rsidRDefault="00C02282" w:rsidP="00C02282">
      <w:pPr>
        <w:tabs>
          <w:tab w:val="left" w:pos="7725"/>
        </w:tabs>
        <w:jc w:val="both"/>
        <w:rPr>
          <w:rFonts w:ascii="Arial" w:eastAsia="Batang" w:hAnsi="Arial" w:cs="Arial"/>
          <w:highlight w:val="yellow"/>
        </w:rPr>
      </w:pPr>
    </w:p>
    <w:p w14:paraId="26202C50" w14:textId="77777777" w:rsidR="00C02282" w:rsidRPr="00C015D8" w:rsidRDefault="00C02282" w:rsidP="00C02282">
      <w:pPr>
        <w:rPr>
          <w:rFonts w:ascii="Arial" w:eastAsia="Batang" w:hAnsi="Arial" w:cs="Arial"/>
          <w:b/>
        </w:rPr>
      </w:pPr>
      <w:r w:rsidRPr="00C015D8">
        <w:rPr>
          <w:rFonts w:ascii="Arial" w:eastAsia="Batang" w:hAnsi="Arial" w:cs="Arial"/>
          <w:b/>
        </w:rPr>
        <w:t>Proyecto: Desarrollo De Ciencia y Tecnología Para El Sector de Hidrocarburos</w:t>
      </w:r>
    </w:p>
    <w:p w14:paraId="3B50AD70" w14:textId="77777777" w:rsidR="00C02282" w:rsidRPr="00C015D8" w:rsidRDefault="00C02282" w:rsidP="00C02282">
      <w:pPr>
        <w:autoSpaceDE w:val="0"/>
        <w:adjustRightInd w:val="0"/>
        <w:jc w:val="both"/>
        <w:rPr>
          <w:rFonts w:ascii="Arial" w:eastAsia="Batang" w:hAnsi="Arial" w:cs="Arial"/>
          <w:b/>
        </w:rPr>
      </w:pPr>
      <w:r w:rsidRPr="00C015D8">
        <w:rPr>
          <w:rFonts w:ascii="Arial" w:eastAsia="Batang" w:hAnsi="Arial" w:cs="Arial"/>
          <w:b/>
        </w:rPr>
        <w:t>Caracterización del proyecto</w:t>
      </w:r>
    </w:p>
    <w:p w14:paraId="046D35F3" w14:textId="77777777" w:rsidR="00C015D8" w:rsidRPr="00C015D8" w:rsidRDefault="00C015D8" w:rsidP="00C015D8">
      <w:pPr>
        <w:jc w:val="both"/>
        <w:rPr>
          <w:rFonts w:ascii="Arial" w:eastAsia="Batang" w:hAnsi="Arial" w:cs="Arial"/>
          <w:b/>
        </w:rPr>
      </w:pPr>
      <w:r w:rsidRPr="00C015D8">
        <w:rPr>
          <w:rFonts w:ascii="Arial" w:eastAsia="Batang" w:hAnsi="Arial" w:cs="Arial"/>
        </w:rPr>
        <w:t>Este proyecto está identificado con el código BPIN 2014011000135, con programa presupuestal 2103 Consolidación Productiva del Sector de Hidrocarburos , 1900 Intersubsectorial Minas y Energía,  tiene como objetivo avanzar en el conocimiento y evaluación del potencial hidrocarburífero de aquellas zonas donde se considera posible que se encuentren nuevas reservas de hidrocarburos, con el fin de disminuir la incertidumbre en la toma de decisiones sobre el desarrollo del sector e incentivar la inversión privada en las actividades de exploración y explotación de hidrocarburos en Colombia.</w:t>
      </w:r>
    </w:p>
    <w:p w14:paraId="68774314" w14:textId="77777777" w:rsidR="00C015D8" w:rsidRPr="00C015D8" w:rsidRDefault="00C015D8" w:rsidP="00C015D8">
      <w:pPr>
        <w:jc w:val="both"/>
        <w:rPr>
          <w:rFonts w:ascii="Arial" w:eastAsia="Batang" w:hAnsi="Arial" w:cs="Arial"/>
          <w:lang w:val="es-ES" w:eastAsia="es-ES"/>
        </w:rPr>
      </w:pPr>
      <w:r w:rsidRPr="00C015D8">
        <w:rPr>
          <w:rFonts w:ascii="Arial" w:eastAsia="Batang" w:hAnsi="Arial" w:cs="Arial"/>
          <w:lang w:val="es-ES" w:eastAsia="es-ES"/>
        </w:rPr>
        <w:t xml:space="preserve">A continuación, se hace referencia a la ejecución presupuestal: </w:t>
      </w:r>
    </w:p>
    <w:p w14:paraId="0FD0DDEB" w14:textId="77777777" w:rsidR="00C02282" w:rsidRPr="00C015D8" w:rsidRDefault="00C02282" w:rsidP="00C02282">
      <w:pPr>
        <w:jc w:val="center"/>
        <w:rPr>
          <w:rFonts w:ascii="Arial" w:hAnsi="Arial" w:cs="Arial"/>
          <w:bCs/>
          <w:sz w:val="16"/>
          <w:szCs w:val="16"/>
          <w:lang w:val="es-ES" w:eastAsia="es-ES"/>
        </w:rPr>
      </w:pPr>
    </w:p>
    <w:p w14:paraId="5ADE2CBA" w14:textId="7BA93248" w:rsidR="00C02282" w:rsidRPr="00C015D8" w:rsidRDefault="00C02282" w:rsidP="00C015D8">
      <w:pPr>
        <w:pStyle w:val="Descripcin"/>
        <w:keepNext/>
        <w:jc w:val="center"/>
      </w:pPr>
      <w:bookmarkStart w:id="183" w:name="_Toc525652542"/>
      <w:r w:rsidRPr="00C015D8">
        <w:t xml:space="preserve">Tabla </w:t>
      </w:r>
      <w:r w:rsidRPr="00C015D8">
        <w:fldChar w:fldCharType="begin"/>
      </w:r>
      <w:r w:rsidRPr="00C015D8">
        <w:instrText xml:space="preserve"> SEQ Tabla \* ARABIC </w:instrText>
      </w:r>
      <w:r w:rsidRPr="00C015D8">
        <w:fldChar w:fldCharType="separate"/>
      </w:r>
      <w:r w:rsidR="008B4625">
        <w:rPr>
          <w:noProof/>
        </w:rPr>
        <w:t>97</w:t>
      </w:r>
      <w:r w:rsidRPr="00C015D8">
        <w:fldChar w:fldCharType="end"/>
      </w:r>
      <w:r w:rsidRPr="00C015D8">
        <w:t>Apropiación Desarrollo De Ciencia Y Tecnología Para El Sector De Hidrocarburos a 3</w:t>
      </w:r>
      <w:r w:rsidR="00C015D8">
        <w:t xml:space="preserve">0 de junio de 2018 </w:t>
      </w:r>
      <w:r w:rsidRPr="00C015D8">
        <w:t xml:space="preserve"> ANH</w:t>
      </w:r>
      <w:bookmarkEnd w:id="183"/>
    </w:p>
    <w:tbl>
      <w:tblPr>
        <w:tblW w:w="8740" w:type="dxa"/>
        <w:tblCellMar>
          <w:left w:w="70" w:type="dxa"/>
          <w:right w:w="70" w:type="dxa"/>
        </w:tblCellMar>
        <w:tblLook w:val="04A0" w:firstRow="1" w:lastRow="0" w:firstColumn="1" w:lastColumn="0" w:noHBand="0" w:noVBand="1"/>
      </w:tblPr>
      <w:tblGrid>
        <w:gridCol w:w="1720"/>
        <w:gridCol w:w="1880"/>
        <w:gridCol w:w="640"/>
        <w:gridCol w:w="1540"/>
        <w:gridCol w:w="640"/>
        <w:gridCol w:w="1740"/>
        <w:gridCol w:w="580"/>
      </w:tblGrid>
      <w:tr w:rsidR="00C015D8" w14:paraId="3229D90F" w14:textId="77777777" w:rsidTr="00C015D8">
        <w:trPr>
          <w:trHeight w:val="525"/>
        </w:trPr>
        <w:tc>
          <w:tcPr>
            <w:tcW w:w="1720" w:type="dxa"/>
            <w:tcBorders>
              <w:top w:val="single" w:sz="8" w:space="0" w:color="auto"/>
              <w:left w:val="single" w:sz="8" w:space="0" w:color="auto"/>
              <w:bottom w:val="single" w:sz="8" w:space="0" w:color="auto"/>
              <w:right w:val="single" w:sz="8" w:space="0" w:color="auto"/>
            </w:tcBorders>
            <w:shd w:val="clear" w:color="auto" w:fill="4F81BD" w:themeFill="accent1"/>
            <w:vAlign w:val="center"/>
            <w:hideMark/>
          </w:tcPr>
          <w:p w14:paraId="0C930800" w14:textId="77777777" w:rsidR="00C015D8" w:rsidRDefault="00C015D8">
            <w:pPr>
              <w:jc w:val="center"/>
              <w:rPr>
                <w:rFonts w:ascii="Arial" w:hAnsi="Arial" w:cs="Arial"/>
                <w:b/>
                <w:bCs/>
                <w:sz w:val="16"/>
                <w:szCs w:val="16"/>
              </w:rPr>
            </w:pPr>
            <w:r>
              <w:rPr>
                <w:rFonts w:ascii="Arial" w:hAnsi="Arial" w:cs="Arial"/>
                <w:b/>
                <w:bCs/>
                <w:sz w:val="16"/>
                <w:szCs w:val="16"/>
              </w:rPr>
              <w:t>APROPIACIÓN VIGENTE</w:t>
            </w:r>
          </w:p>
        </w:tc>
        <w:tc>
          <w:tcPr>
            <w:tcW w:w="1880" w:type="dxa"/>
            <w:tcBorders>
              <w:top w:val="single" w:sz="8" w:space="0" w:color="auto"/>
              <w:left w:val="nil"/>
              <w:bottom w:val="single" w:sz="8" w:space="0" w:color="auto"/>
              <w:right w:val="single" w:sz="8" w:space="0" w:color="auto"/>
            </w:tcBorders>
            <w:shd w:val="clear" w:color="auto" w:fill="4F81BD" w:themeFill="accent1"/>
            <w:vAlign w:val="center"/>
            <w:hideMark/>
          </w:tcPr>
          <w:p w14:paraId="7FA6910F" w14:textId="77777777" w:rsidR="00C015D8" w:rsidRDefault="00C015D8">
            <w:pPr>
              <w:jc w:val="center"/>
              <w:rPr>
                <w:rFonts w:ascii="Arial" w:hAnsi="Arial" w:cs="Arial"/>
                <w:b/>
                <w:bCs/>
                <w:sz w:val="16"/>
                <w:szCs w:val="16"/>
              </w:rPr>
            </w:pPr>
            <w:r>
              <w:rPr>
                <w:rFonts w:ascii="Arial" w:hAnsi="Arial" w:cs="Arial"/>
                <w:b/>
                <w:bCs/>
                <w:sz w:val="16"/>
                <w:szCs w:val="16"/>
              </w:rPr>
              <w:t xml:space="preserve"> COMPROMISO  </w:t>
            </w:r>
          </w:p>
        </w:tc>
        <w:tc>
          <w:tcPr>
            <w:tcW w:w="640" w:type="dxa"/>
            <w:tcBorders>
              <w:top w:val="single" w:sz="8" w:space="0" w:color="auto"/>
              <w:left w:val="nil"/>
              <w:bottom w:val="single" w:sz="8" w:space="0" w:color="auto"/>
              <w:right w:val="single" w:sz="8" w:space="0" w:color="auto"/>
            </w:tcBorders>
            <w:shd w:val="clear" w:color="auto" w:fill="4F81BD" w:themeFill="accent1"/>
            <w:vAlign w:val="center"/>
            <w:hideMark/>
          </w:tcPr>
          <w:p w14:paraId="3417DAF8" w14:textId="77777777" w:rsidR="00C015D8" w:rsidRDefault="00C015D8">
            <w:pPr>
              <w:jc w:val="center"/>
              <w:rPr>
                <w:rFonts w:ascii="Arial" w:hAnsi="Arial" w:cs="Arial"/>
                <w:b/>
                <w:bCs/>
                <w:sz w:val="16"/>
                <w:szCs w:val="16"/>
              </w:rPr>
            </w:pPr>
            <w:r>
              <w:rPr>
                <w:rFonts w:ascii="Arial" w:hAnsi="Arial" w:cs="Arial"/>
                <w:b/>
                <w:bCs/>
                <w:sz w:val="16"/>
                <w:szCs w:val="16"/>
              </w:rPr>
              <w:t>%</w:t>
            </w:r>
          </w:p>
        </w:tc>
        <w:tc>
          <w:tcPr>
            <w:tcW w:w="1540" w:type="dxa"/>
            <w:tcBorders>
              <w:top w:val="single" w:sz="8" w:space="0" w:color="auto"/>
              <w:left w:val="nil"/>
              <w:bottom w:val="single" w:sz="8" w:space="0" w:color="auto"/>
              <w:right w:val="single" w:sz="8" w:space="0" w:color="auto"/>
            </w:tcBorders>
            <w:shd w:val="clear" w:color="auto" w:fill="4F81BD" w:themeFill="accent1"/>
            <w:vAlign w:val="center"/>
            <w:hideMark/>
          </w:tcPr>
          <w:p w14:paraId="123832F0" w14:textId="77777777" w:rsidR="00C015D8" w:rsidRDefault="00C015D8">
            <w:pPr>
              <w:jc w:val="center"/>
              <w:rPr>
                <w:rFonts w:ascii="Arial" w:hAnsi="Arial" w:cs="Arial"/>
                <w:b/>
                <w:bCs/>
                <w:sz w:val="16"/>
                <w:szCs w:val="16"/>
              </w:rPr>
            </w:pPr>
            <w:r>
              <w:rPr>
                <w:rFonts w:ascii="Arial" w:hAnsi="Arial" w:cs="Arial"/>
                <w:b/>
                <w:bCs/>
                <w:sz w:val="16"/>
                <w:szCs w:val="16"/>
              </w:rPr>
              <w:t xml:space="preserve"> OBLIGACIÓN  </w:t>
            </w:r>
          </w:p>
        </w:tc>
        <w:tc>
          <w:tcPr>
            <w:tcW w:w="640" w:type="dxa"/>
            <w:tcBorders>
              <w:top w:val="single" w:sz="8" w:space="0" w:color="auto"/>
              <w:left w:val="nil"/>
              <w:bottom w:val="single" w:sz="8" w:space="0" w:color="auto"/>
              <w:right w:val="single" w:sz="8" w:space="0" w:color="auto"/>
            </w:tcBorders>
            <w:shd w:val="clear" w:color="auto" w:fill="4F81BD" w:themeFill="accent1"/>
            <w:vAlign w:val="center"/>
            <w:hideMark/>
          </w:tcPr>
          <w:p w14:paraId="1106E8AC" w14:textId="77777777" w:rsidR="00C015D8" w:rsidRDefault="00C015D8">
            <w:pPr>
              <w:jc w:val="center"/>
              <w:rPr>
                <w:rFonts w:ascii="Arial" w:hAnsi="Arial" w:cs="Arial"/>
                <w:b/>
                <w:bCs/>
                <w:sz w:val="16"/>
                <w:szCs w:val="16"/>
              </w:rPr>
            </w:pPr>
            <w:r>
              <w:rPr>
                <w:rFonts w:ascii="Arial" w:hAnsi="Arial" w:cs="Arial"/>
                <w:b/>
                <w:bCs/>
                <w:sz w:val="16"/>
                <w:szCs w:val="16"/>
              </w:rPr>
              <w:t>%</w:t>
            </w:r>
          </w:p>
        </w:tc>
        <w:tc>
          <w:tcPr>
            <w:tcW w:w="1740" w:type="dxa"/>
            <w:tcBorders>
              <w:top w:val="single" w:sz="8" w:space="0" w:color="auto"/>
              <w:left w:val="nil"/>
              <w:bottom w:val="single" w:sz="8" w:space="0" w:color="auto"/>
              <w:right w:val="single" w:sz="8" w:space="0" w:color="auto"/>
            </w:tcBorders>
            <w:shd w:val="clear" w:color="auto" w:fill="4F81BD" w:themeFill="accent1"/>
            <w:vAlign w:val="center"/>
            <w:hideMark/>
          </w:tcPr>
          <w:p w14:paraId="5118CCE6" w14:textId="77777777" w:rsidR="00C015D8" w:rsidRDefault="00C015D8">
            <w:pPr>
              <w:jc w:val="center"/>
              <w:rPr>
                <w:rFonts w:ascii="Arial" w:hAnsi="Arial" w:cs="Arial"/>
                <w:b/>
                <w:bCs/>
                <w:sz w:val="16"/>
                <w:szCs w:val="16"/>
              </w:rPr>
            </w:pPr>
            <w:r>
              <w:rPr>
                <w:rFonts w:ascii="Arial" w:hAnsi="Arial" w:cs="Arial"/>
                <w:b/>
                <w:bCs/>
                <w:sz w:val="16"/>
                <w:szCs w:val="16"/>
              </w:rPr>
              <w:t xml:space="preserve"> PAGO  </w:t>
            </w:r>
          </w:p>
        </w:tc>
        <w:tc>
          <w:tcPr>
            <w:tcW w:w="580" w:type="dxa"/>
            <w:tcBorders>
              <w:top w:val="single" w:sz="8" w:space="0" w:color="auto"/>
              <w:left w:val="nil"/>
              <w:bottom w:val="single" w:sz="8" w:space="0" w:color="auto"/>
              <w:right w:val="single" w:sz="8" w:space="0" w:color="auto"/>
            </w:tcBorders>
            <w:shd w:val="clear" w:color="auto" w:fill="4F81BD" w:themeFill="accent1"/>
            <w:vAlign w:val="center"/>
            <w:hideMark/>
          </w:tcPr>
          <w:p w14:paraId="3F797928" w14:textId="77777777" w:rsidR="00C015D8" w:rsidRDefault="00C015D8">
            <w:pPr>
              <w:jc w:val="center"/>
              <w:rPr>
                <w:rFonts w:ascii="Arial" w:hAnsi="Arial" w:cs="Arial"/>
                <w:b/>
                <w:bCs/>
                <w:sz w:val="16"/>
                <w:szCs w:val="16"/>
              </w:rPr>
            </w:pPr>
            <w:r>
              <w:rPr>
                <w:rFonts w:ascii="Arial" w:hAnsi="Arial" w:cs="Arial"/>
                <w:b/>
                <w:bCs/>
                <w:sz w:val="16"/>
                <w:szCs w:val="16"/>
              </w:rPr>
              <w:t>%</w:t>
            </w:r>
          </w:p>
        </w:tc>
      </w:tr>
      <w:tr w:rsidR="00C015D8" w14:paraId="7F401DA1" w14:textId="77777777" w:rsidTr="00C015D8">
        <w:trPr>
          <w:trHeight w:val="315"/>
        </w:trPr>
        <w:tc>
          <w:tcPr>
            <w:tcW w:w="1720" w:type="dxa"/>
            <w:tcBorders>
              <w:top w:val="nil"/>
              <w:left w:val="single" w:sz="8" w:space="0" w:color="auto"/>
              <w:bottom w:val="single" w:sz="8" w:space="0" w:color="auto"/>
              <w:right w:val="single" w:sz="8" w:space="0" w:color="auto"/>
            </w:tcBorders>
            <w:shd w:val="clear" w:color="auto" w:fill="F7F6F3"/>
            <w:vAlign w:val="center"/>
            <w:hideMark/>
          </w:tcPr>
          <w:p w14:paraId="0A78F303" w14:textId="77777777" w:rsidR="00C015D8" w:rsidRDefault="00C015D8">
            <w:pPr>
              <w:jc w:val="center"/>
              <w:rPr>
                <w:rFonts w:ascii="Arial" w:hAnsi="Arial" w:cs="Arial"/>
                <w:color w:val="000000"/>
                <w:sz w:val="16"/>
                <w:szCs w:val="16"/>
              </w:rPr>
            </w:pPr>
            <w:r>
              <w:rPr>
                <w:rFonts w:ascii="Arial" w:hAnsi="Arial" w:cs="Arial"/>
                <w:sz w:val="16"/>
                <w:szCs w:val="16"/>
              </w:rPr>
              <w:t>10.000</w:t>
            </w:r>
          </w:p>
        </w:tc>
        <w:tc>
          <w:tcPr>
            <w:tcW w:w="1880" w:type="dxa"/>
            <w:tcBorders>
              <w:top w:val="nil"/>
              <w:left w:val="nil"/>
              <w:bottom w:val="single" w:sz="8" w:space="0" w:color="auto"/>
              <w:right w:val="single" w:sz="8" w:space="0" w:color="auto"/>
            </w:tcBorders>
            <w:shd w:val="clear" w:color="auto" w:fill="F7F6F3"/>
            <w:vAlign w:val="center"/>
            <w:hideMark/>
          </w:tcPr>
          <w:p w14:paraId="5D0F7668" w14:textId="77777777" w:rsidR="00C015D8" w:rsidRDefault="00C015D8">
            <w:pPr>
              <w:jc w:val="center"/>
              <w:rPr>
                <w:rFonts w:ascii="Arial" w:hAnsi="Arial" w:cs="Arial"/>
                <w:color w:val="333333"/>
                <w:sz w:val="16"/>
                <w:szCs w:val="16"/>
              </w:rPr>
            </w:pPr>
            <w:r>
              <w:rPr>
                <w:rFonts w:ascii="Arial" w:hAnsi="Arial" w:cs="Arial"/>
                <w:color w:val="333333"/>
                <w:sz w:val="16"/>
                <w:szCs w:val="16"/>
              </w:rPr>
              <w:t>0</w:t>
            </w:r>
          </w:p>
        </w:tc>
        <w:tc>
          <w:tcPr>
            <w:tcW w:w="640" w:type="dxa"/>
            <w:tcBorders>
              <w:top w:val="nil"/>
              <w:left w:val="nil"/>
              <w:bottom w:val="single" w:sz="8" w:space="0" w:color="auto"/>
              <w:right w:val="single" w:sz="8" w:space="0" w:color="auto"/>
            </w:tcBorders>
            <w:shd w:val="clear" w:color="auto" w:fill="F7F6F3"/>
            <w:vAlign w:val="center"/>
            <w:hideMark/>
          </w:tcPr>
          <w:p w14:paraId="353E5617" w14:textId="77777777" w:rsidR="00C015D8" w:rsidRDefault="00C015D8">
            <w:pPr>
              <w:jc w:val="center"/>
              <w:rPr>
                <w:rFonts w:ascii="Arial" w:hAnsi="Arial" w:cs="Arial"/>
                <w:color w:val="333333"/>
                <w:sz w:val="16"/>
                <w:szCs w:val="16"/>
              </w:rPr>
            </w:pPr>
            <w:r>
              <w:rPr>
                <w:rFonts w:ascii="Arial" w:hAnsi="Arial" w:cs="Arial"/>
                <w:color w:val="333333"/>
                <w:sz w:val="16"/>
                <w:szCs w:val="16"/>
              </w:rPr>
              <w:t>0%</w:t>
            </w:r>
          </w:p>
        </w:tc>
        <w:tc>
          <w:tcPr>
            <w:tcW w:w="1540" w:type="dxa"/>
            <w:tcBorders>
              <w:top w:val="nil"/>
              <w:left w:val="nil"/>
              <w:bottom w:val="single" w:sz="8" w:space="0" w:color="auto"/>
              <w:right w:val="single" w:sz="8" w:space="0" w:color="auto"/>
            </w:tcBorders>
            <w:shd w:val="clear" w:color="auto" w:fill="F7F6F3"/>
            <w:vAlign w:val="center"/>
            <w:hideMark/>
          </w:tcPr>
          <w:p w14:paraId="33796FD2" w14:textId="77777777" w:rsidR="00C015D8" w:rsidRDefault="00C015D8">
            <w:pPr>
              <w:jc w:val="center"/>
              <w:rPr>
                <w:rFonts w:ascii="Arial" w:hAnsi="Arial" w:cs="Arial"/>
                <w:color w:val="333333"/>
                <w:sz w:val="16"/>
                <w:szCs w:val="16"/>
              </w:rPr>
            </w:pPr>
            <w:r>
              <w:rPr>
                <w:rFonts w:ascii="Arial" w:hAnsi="Arial" w:cs="Arial"/>
                <w:color w:val="333333"/>
                <w:sz w:val="16"/>
                <w:szCs w:val="16"/>
              </w:rPr>
              <w:t>0</w:t>
            </w:r>
          </w:p>
        </w:tc>
        <w:tc>
          <w:tcPr>
            <w:tcW w:w="640" w:type="dxa"/>
            <w:tcBorders>
              <w:top w:val="nil"/>
              <w:left w:val="nil"/>
              <w:bottom w:val="single" w:sz="8" w:space="0" w:color="auto"/>
              <w:right w:val="single" w:sz="8" w:space="0" w:color="auto"/>
            </w:tcBorders>
            <w:shd w:val="clear" w:color="auto" w:fill="F7F6F3"/>
            <w:vAlign w:val="center"/>
            <w:hideMark/>
          </w:tcPr>
          <w:p w14:paraId="54C39F5C" w14:textId="77777777" w:rsidR="00C015D8" w:rsidRDefault="00C015D8">
            <w:pPr>
              <w:jc w:val="center"/>
              <w:rPr>
                <w:rFonts w:ascii="Arial" w:hAnsi="Arial" w:cs="Arial"/>
                <w:color w:val="333333"/>
                <w:sz w:val="16"/>
                <w:szCs w:val="16"/>
              </w:rPr>
            </w:pPr>
            <w:r>
              <w:rPr>
                <w:rFonts w:ascii="Arial" w:hAnsi="Arial" w:cs="Arial"/>
                <w:color w:val="333333"/>
                <w:sz w:val="16"/>
                <w:szCs w:val="16"/>
              </w:rPr>
              <w:t>0%</w:t>
            </w:r>
          </w:p>
        </w:tc>
        <w:tc>
          <w:tcPr>
            <w:tcW w:w="1740" w:type="dxa"/>
            <w:tcBorders>
              <w:top w:val="nil"/>
              <w:left w:val="nil"/>
              <w:bottom w:val="single" w:sz="8" w:space="0" w:color="auto"/>
              <w:right w:val="single" w:sz="8" w:space="0" w:color="auto"/>
            </w:tcBorders>
            <w:shd w:val="clear" w:color="auto" w:fill="F7F6F3"/>
            <w:vAlign w:val="center"/>
            <w:hideMark/>
          </w:tcPr>
          <w:p w14:paraId="6FC55E9E" w14:textId="77777777" w:rsidR="00C015D8" w:rsidRDefault="00C015D8">
            <w:pPr>
              <w:jc w:val="center"/>
              <w:rPr>
                <w:rFonts w:ascii="Arial" w:hAnsi="Arial" w:cs="Arial"/>
                <w:color w:val="333333"/>
                <w:sz w:val="16"/>
                <w:szCs w:val="16"/>
              </w:rPr>
            </w:pPr>
            <w:r>
              <w:rPr>
                <w:rFonts w:ascii="Arial" w:hAnsi="Arial" w:cs="Arial"/>
                <w:color w:val="333333"/>
                <w:sz w:val="16"/>
                <w:szCs w:val="16"/>
              </w:rPr>
              <w:t>0</w:t>
            </w:r>
          </w:p>
        </w:tc>
        <w:tc>
          <w:tcPr>
            <w:tcW w:w="580" w:type="dxa"/>
            <w:tcBorders>
              <w:top w:val="nil"/>
              <w:left w:val="nil"/>
              <w:bottom w:val="single" w:sz="8" w:space="0" w:color="auto"/>
              <w:right w:val="single" w:sz="8" w:space="0" w:color="auto"/>
            </w:tcBorders>
            <w:noWrap/>
            <w:vAlign w:val="center"/>
            <w:hideMark/>
          </w:tcPr>
          <w:p w14:paraId="01CBB735" w14:textId="77777777" w:rsidR="00C015D8" w:rsidRDefault="00C015D8">
            <w:pPr>
              <w:jc w:val="center"/>
              <w:rPr>
                <w:rFonts w:ascii="Arial" w:hAnsi="Arial" w:cs="Arial"/>
                <w:color w:val="000000"/>
                <w:sz w:val="16"/>
                <w:szCs w:val="16"/>
              </w:rPr>
            </w:pPr>
            <w:r>
              <w:rPr>
                <w:rFonts w:ascii="Arial" w:hAnsi="Arial" w:cs="Arial"/>
                <w:sz w:val="16"/>
                <w:szCs w:val="16"/>
              </w:rPr>
              <w:t>0%</w:t>
            </w:r>
          </w:p>
        </w:tc>
      </w:tr>
    </w:tbl>
    <w:p w14:paraId="0EA33F59" w14:textId="59BD9E3A" w:rsidR="00C02282" w:rsidRPr="00C015D8" w:rsidRDefault="00C015D8" w:rsidP="00C02282">
      <w:pPr>
        <w:spacing w:after="0" w:line="240" w:lineRule="auto"/>
        <w:jc w:val="center"/>
        <w:rPr>
          <w:rFonts w:ascii="Arial" w:eastAsia="Calibri" w:hAnsi="Arial" w:cs="Arial"/>
          <w:sz w:val="16"/>
          <w:szCs w:val="16"/>
        </w:rPr>
      </w:pPr>
      <w:r w:rsidRPr="00C015D8">
        <w:rPr>
          <w:rFonts w:ascii="Arial" w:hAnsi="Arial" w:cs="Arial"/>
          <w:sz w:val="16"/>
          <w:szCs w:val="16"/>
          <w:lang w:eastAsia="es-ES"/>
        </w:rPr>
        <w:t xml:space="preserve"> </w:t>
      </w:r>
      <w:r w:rsidR="00C02282" w:rsidRPr="00C015D8">
        <w:rPr>
          <w:rFonts w:ascii="Arial" w:hAnsi="Arial" w:cs="Arial"/>
          <w:sz w:val="16"/>
          <w:szCs w:val="16"/>
          <w:lang w:eastAsia="es-ES"/>
        </w:rPr>
        <w:t>Millones de pesos</w:t>
      </w:r>
    </w:p>
    <w:p w14:paraId="27C201B7" w14:textId="77777777" w:rsidR="00C02282" w:rsidRPr="00C015D8" w:rsidRDefault="00C02282" w:rsidP="00C02282">
      <w:pPr>
        <w:jc w:val="center"/>
        <w:rPr>
          <w:rFonts w:ascii="Arial" w:hAnsi="Arial" w:cs="Arial"/>
          <w:bCs/>
          <w:lang w:val="es-MX" w:eastAsia="es-ES"/>
        </w:rPr>
      </w:pPr>
      <w:r w:rsidRPr="00C015D8">
        <w:rPr>
          <w:rFonts w:ascii="Calibri" w:hAnsi="Calibri" w:cs="Calibri"/>
          <w:sz w:val="18"/>
          <w:szCs w:val="18"/>
        </w:rPr>
        <w:t>Fuente SIIF</w:t>
      </w:r>
    </w:p>
    <w:p w14:paraId="58C88ECA" w14:textId="5A6C07B0" w:rsidR="00C02282" w:rsidRPr="00C015D8" w:rsidRDefault="00C02282" w:rsidP="00C02282">
      <w:pPr>
        <w:rPr>
          <w:rFonts w:ascii="Arial" w:eastAsia="Batang" w:hAnsi="Arial" w:cs="Arial"/>
          <w:b/>
        </w:rPr>
      </w:pPr>
      <w:r w:rsidRPr="00C015D8">
        <w:rPr>
          <w:rFonts w:ascii="Arial" w:eastAsia="Batang" w:hAnsi="Arial" w:cs="Arial"/>
          <w:b/>
        </w:rPr>
        <w:t>Actividades Desarrolladas durante el I</w:t>
      </w:r>
      <w:r w:rsidR="00C015D8" w:rsidRPr="00C015D8">
        <w:rPr>
          <w:rFonts w:ascii="Arial" w:eastAsia="Batang" w:hAnsi="Arial" w:cs="Arial"/>
          <w:b/>
        </w:rPr>
        <w:t>I</w:t>
      </w:r>
      <w:r w:rsidRPr="00C015D8">
        <w:rPr>
          <w:rFonts w:ascii="Arial" w:eastAsia="Batang" w:hAnsi="Arial" w:cs="Arial"/>
          <w:b/>
        </w:rPr>
        <w:t xml:space="preserve"> Trimestre 2017</w:t>
      </w:r>
    </w:p>
    <w:p w14:paraId="0FD54E93" w14:textId="77777777" w:rsidR="00B759F7" w:rsidRDefault="00B759F7" w:rsidP="00B759F7">
      <w:pPr>
        <w:suppressAutoHyphens/>
        <w:autoSpaceDE w:val="0"/>
        <w:autoSpaceDN w:val="0"/>
        <w:jc w:val="both"/>
        <w:textAlignment w:val="baseline"/>
        <w:rPr>
          <w:rFonts w:ascii="Arial" w:eastAsia="Calibri" w:hAnsi="Arial" w:cs="Arial"/>
        </w:rPr>
      </w:pPr>
      <w:bookmarkStart w:id="184" w:name="_Hlk511895988"/>
      <w:r>
        <w:rPr>
          <w:rFonts w:ascii="Arial" w:eastAsia="Calibri" w:hAnsi="Arial" w:cs="Arial"/>
        </w:rPr>
        <w:t>Durante el II trimestre de la vigencia 2018, se revisaron las líneas de investigación para el replanteamiento y actualización de la temática acorde a las necesidades actuales del sector.</w:t>
      </w:r>
    </w:p>
    <w:bookmarkEnd w:id="184"/>
    <w:p w14:paraId="49266678" w14:textId="77777777" w:rsidR="00D41D3A" w:rsidRDefault="00D41D3A" w:rsidP="00C02282">
      <w:pPr>
        <w:rPr>
          <w:rFonts w:ascii="Arial" w:eastAsia="Batang" w:hAnsi="Arial" w:cs="Arial"/>
          <w:b/>
        </w:rPr>
      </w:pPr>
    </w:p>
    <w:p w14:paraId="24F69CEF" w14:textId="77777777" w:rsidR="00D41D3A" w:rsidRDefault="00D41D3A" w:rsidP="00C02282">
      <w:pPr>
        <w:rPr>
          <w:rFonts w:ascii="Arial" w:eastAsia="Batang" w:hAnsi="Arial" w:cs="Arial"/>
          <w:b/>
        </w:rPr>
      </w:pPr>
    </w:p>
    <w:p w14:paraId="00762288" w14:textId="1CAC9C58" w:rsidR="00C02282" w:rsidRPr="007B73C3" w:rsidRDefault="00C02282" w:rsidP="00C02282">
      <w:pPr>
        <w:rPr>
          <w:rFonts w:ascii="Arial" w:eastAsia="Batang" w:hAnsi="Arial" w:cs="Arial"/>
          <w:b/>
        </w:rPr>
      </w:pPr>
      <w:r w:rsidRPr="007B73C3">
        <w:rPr>
          <w:rFonts w:ascii="Arial" w:eastAsia="Batang" w:hAnsi="Arial" w:cs="Arial"/>
          <w:b/>
        </w:rPr>
        <w:t>Actividades a Realizar durante el II</w:t>
      </w:r>
      <w:r w:rsidR="00B759F7" w:rsidRPr="007B73C3">
        <w:rPr>
          <w:rFonts w:ascii="Arial" w:eastAsia="Batang" w:hAnsi="Arial" w:cs="Arial"/>
          <w:b/>
        </w:rPr>
        <w:t>I</w:t>
      </w:r>
      <w:r w:rsidRPr="007B73C3">
        <w:rPr>
          <w:rFonts w:ascii="Arial" w:eastAsia="Batang" w:hAnsi="Arial" w:cs="Arial"/>
          <w:b/>
        </w:rPr>
        <w:t xml:space="preserve"> Trimestre 2018</w:t>
      </w:r>
    </w:p>
    <w:p w14:paraId="305B5787" w14:textId="77777777" w:rsidR="00B759F7" w:rsidRDefault="00B759F7" w:rsidP="00B759F7">
      <w:pPr>
        <w:jc w:val="both"/>
        <w:rPr>
          <w:rFonts w:ascii="Arial" w:eastAsia="Calibri" w:hAnsi="Arial" w:cs="Arial"/>
        </w:rPr>
      </w:pPr>
      <w:r>
        <w:rPr>
          <w:rFonts w:ascii="Arial" w:eastAsia="Calibri" w:hAnsi="Arial" w:cs="Arial"/>
        </w:rPr>
        <w:t>Se procederá a realizar actualización del Convenio Marco con COLCIENCIAS y luego de ello se realizará traslado de $9.400 millones para el desarrollo de un nuevo proceso de convocatoria para apoyar nuevos proyectos de investigación para el incremento de las reservas del país. Una vez se lleve a cabo el convenio se abrirá la convocatoria y se llevará a cabo el proceso de selección de los proyectos en lista de elegibles esta deberá ser debidamente publicada para su conocimiento público.</w:t>
      </w:r>
    </w:p>
    <w:p w14:paraId="474DC685" w14:textId="77777777" w:rsidR="00B759F7" w:rsidRDefault="00B759F7" w:rsidP="00B759F7">
      <w:pPr>
        <w:jc w:val="both"/>
        <w:rPr>
          <w:rFonts w:ascii="Arial" w:eastAsia="Calibri" w:hAnsi="Arial" w:cs="Arial"/>
        </w:rPr>
      </w:pPr>
      <w:r>
        <w:rPr>
          <w:rFonts w:ascii="Arial" w:eastAsia="Calibri" w:hAnsi="Arial" w:cs="Arial"/>
        </w:rPr>
        <w:t>Se le solicitará a COLCIENCIAS la participación de panelistas expertos del extranjero y coordinado por COLCIENCIAS en la Convocatoria nueva a realizar.</w:t>
      </w:r>
    </w:p>
    <w:p w14:paraId="2F3A7CF2" w14:textId="77777777" w:rsidR="00C02282" w:rsidRPr="00B759F7" w:rsidRDefault="00C02282" w:rsidP="00055F7C">
      <w:pPr>
        <w:pStyle w:val="Ttulo1"/>
        <w:numPr>
          <w:ilvl w:val="0"/>
          <w:numId w:val="11"/>
        </w:numPr>
        <w:rPr>
          <w:rFonts w:ascii="Arial" w:eastAsia="Arial" w:hAnsi="Arial" w:cs="Arial"/>
          <w:b/>
          <w:color w:val="auto"/>
          <w:sz w:val="22"/>
          <w:szCs w:val="22"/>
          <w:lang w:eastAsia="es-CO"/>
        </w:rPr>
      </w:pPr>
      <w:bookmarkStart w:id="185" w:name="_Toc525652045"/>
      <w:bookmarkStart w:id="186" w:name="_Toc515270534"/>
      <w:bookmarkEnd w:id="91"/>
      <w:r w:rsidRPr="00B759F7">
        <w:rPr>
          <w:rFonts w:ascii="Arial" w:eastAsia="Arial" w:hAnsi="Arial" w:cs="Arial"/>
          <w:b/>
          <w:color w:val="auto"/>
          <w:sz w:val="22"/>
          <w:szCs w:val="22"/>
          <w:lang w:eastAsia="es-CO"/>
        </w:rPr>
        <w:t>COMPOSICIÓN REZAGO PRESUPUESTAL DE LA ANH</w:t>
      </w:r>
      <w:bookmarkEnd w:id="185"/>
      <w:r w:rsidRPr="00B759F7">
        <w:rPr>
          <w:rFonts w:ascii="Arial" w:eastAsia="Arial" w:hAnsi="Arial" w:cs="Arial"/>
          <w:b/>
          <w:color w:val="auto"/>
          <w:sz w:val="22"/>
          <w:szCs w:val="22"/>
          <w:lang w:eastAsia="es-CO"/>
        </w:rPr>
        <w:t xml:space="preserve"> </w:t>
      </w:r>
      <w:bookmarkEnd w:id="186"/>
    </w:p>
    <w:p w14:paraId="71D82C00" w14:textId="77777777" w:rsidR="00C02282" w:rsidRPr="00B759F7" w:rsidRDefault="00C02282" w:rsidP="00C02282">
      <w:pPr>
        <w:pStyle w:val="Ttulo2"/>
        <w:rPr>
          <w:rFonts w:ascii="Arial" w:eastAsia="Calibri" w:hAnsi="Arial" w:cs="Arial"/>
          <w:b w:val="0"/>
          <w:color w:val="auto"/>
          <w:sz w:val="22"/>
          <w:szCs w:val="22"/>
        </w:rPr>
      </w:pPr>
      <w:bookmarkStart w:id="187" w:name="_Toc515270535"/>
      <w:bookmarkStart w:id="188" w:name="_Toc525652046"/>
      <w:r w:rsidRPr="00B759F7">
        <w:rPr>
          <w:rFonts w:ascii="Arial" w:eastAsia="Calibri" w:hAnsi="Arial" w:cs="Arial"/>
          <w:color w:val="auto"/>
          <w:sz w:val="22"/>
          <w:szCs w:val="22"/>
        </w:rPr>
        <w:t>3.1 Ejecución reservas presupuestales</w:t>
      </w:r>
      <w:bookmarkEnd w:id="187"/>
      <w:r w:rsidRPr="00B759F7">
        <w:rPr>
          <w:rFonts w:ascii="Arial" w:eastAsia="Calibri" w:hAnsi="Arial" w:cs="Arial"/>
          <w:color w:val="auto"/>
          <w:sz w:val="22"/>
          <w:szCs w:val="22"/>
        </w:rPr>
        <w:t xml:space="preserve"> ANH</w:t>
      </w:r>
      <w:bookmarkEnd w:id="188"/>
    </w:p>
    <w:p w14:paraId="27A03B21" w14:textId="77777777" w:rsidR="00C02282" w:rsidRPr="00B759F7" w:rsidRDefault="00C02282" w:rsidP="00C02282">
      <w:pPr>
        <w:pStyle w:val="Textoindependiente"/>
        <w:rPr>
          <w:sz w:val="22"/>
          <w:szCs w:val="22"/>
        </w:rPr>
      </w:pPr>
      <w:r w:rsidRPr="00B759F7">
        <w:rPr>
          <w:sz w:val="22"/>
          <w:szCs w:val="22"/>
        </w:rPr>
        <w:t>Con cargo a la vigencia 2017 se constituyeron compromisos de reservas presupuestales por valor de $24.343, al cierre de mes se ha efectuado cancelaciones por valor $12.856, por lo tanto, la reserva vigente asciende a $24.330 respecto de la cual al final del mes se presenta una ejecución acumulada de 38%.</w:t>
      </w:r>
    </w:p>
    <w:p w14:paraId="02144957" w14:textId="2951CA98" w:rsidR="00C02282" w:rsidRPr="00BC00A0" w:rsidRDefault="00C02282" w:rsidP="00C02282">
      <w:pPr>
        <w:pStyle w:val="Descripcin"/>
        <w:keepNext/>
        <w:jc w:val="center"/>
      </w:pPr>
      <w:bookmarkStart w:id="189" w:name="_Toc525652543"/>
      <w:r w:rsidRPr="00BC00A0">
        <w:t xml:space="preserve">Tabla </w:t>
      </w:r>
      <w:r w:rsidRPr="00BC00A0">
        <w:fldChar w:fldCharType="begin"/>
      </w:r>
      <w:r w:rsidRPr="00BC00A0">
        <w:instrText xml:space="preserve"> SEQ Tabla \* ARABIC </w:instrText>
      </w:r>
      <w:r w:rsidRPr="00BC00A0">
        <w:fldChar w:fldCharType="separate"/>
      </w:r>
      <w:r w:rsidR="008B4625">
        <w:rPr>
          <w:noProof/>
        </w:rPr>
        <w:t>98</w:t>
      </w:r>
      <w:r w:rsidRPr="00BC00A0">
        <w:fldChar w:fldCharType="end"/>
      </w:r>
      <w:r w:rsidR="00BC00A0" w:rsidRPr="00BC00A0">
        <w:t xml:space="preserve"> </w:t>
      </w:r>
      <w:r w:rsidRPr="00BC00A0">
        <w:t>Ejecución reservas presupuestales – a 3</w:t>
      </w:r>
      <w:r w:rsidR="00BC00A0" w:rsidRPr="00BC00A0">
        <w:t xml:space="preserve">0 de junio de 2018 </w:t>
      </w:r>
      <w:r w:rsidRPr="00BC00A0">
        <w:t xml:space="preserve"> ANH</w:t>
      </w:r>
      <w:bookmarkEnd w:id="189"/>
    </w:p>
    <w:tbl>
      <w:tblPr>
        <w:tblW w:w="8585" w:type="dxa"/>
        <w:tblCellMar>
          <w:left w:w="0" w:type="dxa"/>
          <w:right w:w="0" w:type="dxa"/>
        </w:tblCellMar>
        <w:tblLook w:val="04A0" w:firstRow="1" w:lastRow="0" w:firstColumn="1" w:lastColumn="0" w:noHBand="0" w:noVBand="1"/>
      </w:tblPr>
      <w:tblGrid>
        <w:gridCol w:w="1532"/>
        <w:gridCol w:w="1047"/>
        <w:gridCol w:w="1284"/>
        <w:gridCol w:w="1299"/>
        <w:gridCol w:w="1282"/>
        <w:gridCol w:w="1046"/>
        <w:gridCol w:w="1079"/>
        <w:gridCol w:w="16"/>
      </w:tblGrid>
      <w:tr w:rsidR="00BC00A0" w:rsidRPr="00BC00A0" w14:paraId="57914F5B" w14:textId="77777777" w:rsidTr="00BC00A0">
        <w:trPr>
          <w:trHeight w:val="279"/>
        </w:trPr>
        <w:tc>
          <w:tcPr>
            <w:tcW w:w="1532" w:type="dxa"/>
            <w:vMerge w:val="restart"/>
            <w:tcBorders>
              <w:top w:val="single" w:sz="8" w:space="0" w:color="auto"/>
              <w:left w:val="single" w:sz="8" w:space="0" w:color="auto"/>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6DE48FCA" w14:textId="77777777" w:rsidR="00BC00A0" w:rsidRPr="00BC00A0" w:rsidRDefault="00BC00A0">
            <w:pPr>
              <w:jc w:val="center"/>
              <w:rPr>
                <w:rFonts w:ascii="Arial" w:hAnsi="Arial" w:cs="Arial"/>
                <w:b/>
                <w:bCs/>
                <w:color w:val="000000"/>
                <w:sz w:val="16"/>
                <w:szCs w:val="16"/>
              </w:rPr>
            </w:pPr>
            <w:bookmarkStart w:id="190" w:name="_Toc515270536"/>
            <w:r w:rsidRPr="00BC00A0">
              <w:rPr>
                <w:rFonts w:ascii="Arial" w:hAnsi="Arial" w:cs="Arial"/>
                <w:b/>
                <w:bCs/>
                <w:sz w:val="16"/>
                <w:szCs w:val="16"/>
              </w:rPr>
              <w:t>Concepto</w:t>
            </w:r>
          </w:p>
        </w:tc>
        <w:tc>
          <w:tcPr>
            <w:tcW w:w="1047" w:type="dxa"/>
            <w:vMerge w:val="restart"/>
            <w:tcBorders>
              <w:top w:val="single" w:sz="8" w:space="0" w:color="auto"/>
              <w:left w:val="nil"/>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746D355C"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Reserva Vigente</w:t>
            </w:r>
          </w:p>
        </w:tc>
        <w:tc>
          <w:tcPr>
            <w:tcW w:w="1284" w:type="dxa"/>
            <w:vMerge w:val="restart"/>
            <w:tcBorders>
              <w:top w:val="single" w:sz="8" w:space="0" w:color="auto"/>
              <w:left w:val="nil"/>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1CA509BA"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Porcentaje Participación</w:t>
            </w:r>
          </w:p>
        </w:tc>
        <w:tc>
          <w:tcPr>
            <w:tcW w:w="1299" w:type="dxa"/>
            <w:vMerge w:val="restart"/>
            <w:tcBorders>
              <w:top w:val="single" w:sz="8" w:space="0" w:color="auto"/>
              <w:left w:val="nil"/>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0272EF6E"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Total Obligaciones Causadas</w:t>
            </w:r>
          </w:p>
        </w:tc>
        <w:tc>
          <w:tcPr>
            <w:tcW w:w="1282" w:type="dxa"/>
            <w:vMerge w:val="restart"/>
            <w:tcBorders>
              <w:top w:val="single" w:sz="8" w:space="0" w:color="auto"/>
              <w:left w:val="nil"/>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0E57EDAF"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Total Pagos Acumulados</w:t>
            </w:r>
          </w:p>
        </w:tc>
        <w:tc>
          <w:tcPr>
            <w:tcW w:w="1046" w:type="dxa"/>
            <w:vMerge w:val="restart"/>
            <w:tcBorders>
              <w:top w:val="single" w:sz="8" w:space="0" w:color="auto"/>
              <w:left w:val="nil"/>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5E46182F"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Reserva Por Ejecutar</w:t>
            </w:r>
          </w:p>
        </w:tc>
        <w:tc>
          <w:tcPr>
            <w:tcW w:w="1079" w:type="dxa"/>
            <w:vMerge w:val="restart"/>
            <w:tcBorders>
              <w:top w:val="single" w:sz="8" w:space="0" w:color="auto"/>
              <w:left w:val="nil"/>
              <w:bottom w:val="single" w:sz="8" w:space="0" w:color="auto"/>
              <w:right w:val="single" w:sz="8" w:space="0" w:color="auto"/>
            </w:tcBorders>
            <w:shd w:val="clear" w:color="auto" w:fill="4F81BD" w:themeFill="accent1"/>
            <w:tcMar>
              <w:top w:w="0" w:type="dxa"/>
              <w:left w:w="70" w:type="dxa"/>
              <w:bottom w:w="0" w:type="dxa"/>
              <w:right w:w="70" w:type="dxa"/>
            </w:tcMar>
            <w:vAlign w:val="center"/>
            <w:hideMark/>
          </w:tcPr>
          <w:p w14:paraId="421AAA1A"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  Por Ejecutar</w:t>
            </w:r>
          </w:p>
        </w:tc>
        <w:tc>
          <w:tcPr>
            <w:tcW w:w="16" w:type="dxa"/>
            <w:vAlign w:val="center"/>
            <w:hideMark/>
          </w:tcPr>
          <w:p w14:paraId="13FC77EC" w14:textId="77777777" w:rsidR="00BC00A0" w:rsidRPr="00BC00A0" w:rsidRDefault="00BC00A0">
            <w:pPr>
              <w:rPr>
                <w:rFonts w:ascii="Calibri" w:hAnsi="Calibri" w:cs="Times New Roman"/>
                <w:color w:val="000000"/>
                <w:sz w:val="19"/>
                <w:szCs w:val="19"/>
              </w:rPr>
            </w:pPr>
          </w:p>
        </w:tc>
      </w:tr>
      <w:tr w:rsidR="00BC00A0" w:rsidRPr="00BC00A0" w14:paraId="0746E72B" w14:textId="77777777" w:rsidTr="00BC00A0">
        <w:trPr>
          <w:trHeight w:val="30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C9E3FDB"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5E04A0AE"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295113E"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5BC37627"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4988EF5"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1BB13036"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7934DF9" w14:textId="77777777" w:rsidR="00BC00A0" w:rsidRPr="00BC00A0" w:rsidRDefault="00BC00A0">
            <w:pPr>
              <w:rPr>
                <w:rFonts w:ascii="Arial" w:hAnsi="Arial" w:cs="Arial"/>
                <w:b/>
                <w:bCs/>
                <w:color w:val="000000"/>
                <w:sz w:val="16"/>
                <w:szCs w:val="16"/>
              </w:rPr>
            </w:pPr>
          </w:p>
        </w:tc>
        <w:tc>
          <w:tcPr>
            <w:tcW w:w="16" w:type="dxa"/>
            <w:vAlign w:val="center"/>
            <w:hideMark/>
          </w:tcPr>
          <w:p w14:paraId="692338CC" w14:textId="77777777" w:rsidR="00BC00A0" w:rsidRPr="00BC00A0" w:rsidRDefault="00BC00A0">
            <w:pPr>
              <w:rPr>
                <w:rFonts w:ascii="Calibri" w:hAnsi="Calibri" w:cs="Times New Roman"/>
                <w:color w:val="000000"/>
                <w:sz w:val="19"/>
                <w:szCs w:val="19"/>
              </w:rPr>
            </w:pPr>
          </w:p>
        </w:tc>
      </w:tr>
      <w:tr w:rsidR="00BC00A0" w:rsidRPr="00BC00A0" w14:paraId="123EB1D9" w14:textId="77777777" w:rsidTr="00BC00A0">
        <w:trPr>
          <w:trHeight w:val="307"/>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61F162A"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31A23648"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370926A6"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51C7482"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5FAEA6FF"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4A496392"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C7DB732" w14:textId="77777777" w:rsidR="00BC00A0" w:rsidRPr="00BC00A0" w:rsidRDefault="00BC00A0">
            <w:pPr>
              <w:rPr>
                <w:rFonts w:ascii="Arial" w:hAnsi="Arial" w:cs="Arial"/>
                <w:b/>
                <w:bCs/>
                <w:color w:val="000000"/>
                <w:sz w:val="16"/>
                <w:szCs w:val="16"/>
              </w:rPr>
            </w:pPr>
          </w:p>
        </w:tc>
        <w:tc>
          <w:tcPr>
            <w:tcW w:w="16" w:type="dxa"/>
            <w:vAlign w:val="center"/>
            <w:hideMark/>
          </w:tcPr>
          <w:p w14:paraId="7DE9ED39" w14:textId="77777777" w:rsidR="00BC00A0" w:rsidRPr="00BC00A0" w:rsidRDefault="00BC00A0">
            <w:pPr>
              <w:rPr>
                <w:rFonts w:ascii="Calibri" w:hAnsi="Calibri" w:cs="Times New Roman"/>
                <w:color w:val="000000"/>
                <w:sz w:val="19"/>
                <w:szCs w:val="19"/>
              </w:rPr>
            </w:pPr>
          </w:p>
        </w:tc>
      </w:tr>
      <w:tr w:rsidR="00BC00A0" w:rsidRPr="00BC00A0" w14:paraId="48D92BAB" w14:textId="77777777" w:rsidTr="009E5C47">
        <w:trPr>
          <w:trHeight w:val="35"/>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A399B57"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5F091359"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A3826C1"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5733A9C1"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40443AD"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62A539A2" w14:textId="77777777" w:rsidR="00BC00A0" w:rsidRPr="00BC00A0" w:rsidRDefault="00BC00A0">
            <w:pPr>
              <w:rPr>
                <w:rFonts w:ascii="Arial" w:hAnsi="Arial" w:cs="Arial"/>
                <w:b/>
                <w:bCs/>
                <w:color w:val="000000"/>
                <w:sz w:val="16"/>
                <w:szCs w:val="16"/>
              </w:rPr>
            </w:pPr>
          </w:p>
        </w:tc>
        <w:tc>
          <w:tcPr>
            <w:tcW w:w="0" w:type="auto"/>
            <w:vMerge/>
            <w:tcBorders>
              <w:top w:val="single" w:sz="8" w:space="0" w:color="auto"/>
              <w:left w:val="nil"/>
              <w:bottom w:val="single" w:sz="8" w:space="0" w:color="auto"/>
              <w:right w:val="single" w:sz="8" w:space="0" w:color="auto"/>
            </w:tcBorders>
            <w:vAlign w:val="center"/>
            <w:hideMark/>
          </w:tcPr>
          <w:p w14:paraId="77A0EA5E" w14:textId="77777777" w:rsidR="00BC00A0" w:rsidRPr="00BC00A0" w:rsidRDefault="00BC00A0">
            <w:pPr>
              <w:rPr>
                <w:rFonts w:ascii="Arial" w:hAnsi="Arial" w:cs="Arial"/>
                <w:b/>
                <w:bCs/>
                <w:color w:val="000000"/>
                <w:sz w:val="16"/>
                <w:szCs w:val="16"/>
              </w:rPr>
            </w:pPr>
          </w:p>
        </w:tc>
        <w:tc>
          <w:tcPr>
            <w:tcW w:w="16" w:type="dxa"/>
            <w:vAlign w:val="center"/>
            <w:hideMark/>
          </w:tcPr>
          <w:p w14:paraId="734C1547" w14:textId="77777777" w:rsidR="00BC00A0" w:rsidRPr="00BC00A0" w:rsidRDefault="00BC00A0">
            <w:pPr>
              <w:rPr>
                <w:rFonts w:ascii="Calibri" w:hAnsi="Calibri" w:cs="Times New Roman"/>
                <w:color w:val="000000"/>
                <w:sz w:val="19"/>
                <w:szCs w:val="19"/>
              </w:rPr>
            </w:pPr>
          </w:p>
        </w:tc>
      </w:tr>
      <w:tr w:rsidR="00BC00A0" w:rsidRPr="00BC00A0" w14:paraId="7E8A5A4B" w14:textId="77777777" w:rsidTr="00BC00A0">
        <w:trPr>
          <w:trHeight w:val="307"/>
        </w:trPr>
        <w:tc>
          <w:tcPr>
            <w:tcW w:w="153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E6D2818" w14:textId="77777777" w:rsidR="00BC00A0" w:rsidRPr="00BC00A0" w:rsidRDefault="00BC00A0">
            <w:pPr>
              <w:rPr>
                <w:rFonts w:ascii="Arial" w:hAnsi="Arial" w:cs="Arial"/>
                <w:color w:val="000000"/>
                <w:sz w:val="16"/>
                <w:szCs w:val="16"/>
              </w:rPr>
            </w:pPr>
            <w:r w:rsidRPr="00BC00A0">
              <w:rPr>
                <w:rFonts w:ascii="Arial" w:hAnsi="Arial" w:cs="Arial"/>
                <w:sz w:val="16"/>
                <w:szCs w:val="16"/>
              </w:rPr>
              <w:t>Gastos de Personal</w:t>
            </w:r>
          </w:p>
        </w:tc>
        <w:tc>
          <w:tcPr>
            <w:tcW w:w="104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A80CEA"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937.490</w:t>
            </w:r>
          </w:p>
        </w:tc>
        <w:tc>
          <w:tcPr>
            <w:tcW w:w="1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0451EF"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4%</w:t>
            </w:r>
          </w:p>
        </w:tc>
        <w:tc>
          <w:tcPr>
            <w:tcW w:w="12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C8315D" w14:textId="77777777" w:rsidR="00BC00A0" w:rsidRPr="00BC00A0" w:rsidRDefault="00BC00A0">
            <w:pPr>
              <w:jc w:val="right"/>
              <w:rPr>
                <w:rFonts w:ascii="Arial" w:hAnsi="Arial" w:cs="Arial"/>
                <w:sz w:val="16"/>
                <w:szCs w:val="16"/>
              </w:rPr>
            </w:pPr>
            <w:r w:rsidRPr="00BC00A0">
              <w:rPr>
                <w:rFonts w:ascii="Arial" w:hAnsi="Arial" w:cs="Arial"/>
                <w:sz w:val="16"/>
                <w:szCs w:val="16"/>
              </w:rPr>
              <w:t>525.347</w:t>
            </w:r>
          </w:p>
        </w:tc>
        <w:tc>
          <w:tcPr>
            <w:tcW w:w="12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1A9A11"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525.347</w:t>
            </w:r>
          </w:p>
        </w:tc>
        <w:tc>
          <w:tcPr>
            <w:tcW w:w="1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9583DA"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412.143</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EFF779"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44%</w:t>
            </w:r>
          </w:p>
        </w:tc>
        <w:tc>
          <w:tcPr>
            <w:tcW w:w="16" w:type="dxa"/>
            <w:vAlign w:val="center"/>
            <w:hideMark/>
          </w:tcPr>
          <w:p w14:paraId="0EF5960E" w14:textId="77777777" w:rsidR="00BC00A0" w:rsidRPr="00BC00A0" w:rsidRDefault="00BC00A0">
            <w:pPr>
              <w:rPr>
                <w:rFonts w:ascii="Calibri" w:hAnsi="Calibri" w:cs="Times New Roman"/>
                <w:color w:val="000000"/>
                <w:sz w:val="19"/>
                <w:szCs w:val="19"/>
              </w:rPr>
            </w:pPr>
          </w:p>
        </w:tc>
      </w:tr>
      <w:tr w:rsidR="00BC00A0" w:rsidRPr="00BC00A0" w14:paraId="2E67F8D3" w14:textId="77777777" w:rsidTr="00BC00A0">
        <w:trPr>
          <w:trHeight w:val="307"/>
        </w:trPr>
        <w:tc>
          <w:tcPr>
            <w:tcW w:w="153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B6ECD4" w14:textId="77777777" w:rsidR="00BC00A0" w:rsidRPr="00BC00A0" w:rsidRDefault="00BC00A0">
            <w:pPr>
              <w:rPr>
                <w:rFonts w:ascii="Arial" w:hAnsi="Arial" w:cs="Arial"/>
                <w:color w:val="000000"/>
                <w:sz w:val="16"/>
                <w:szCs w:val="16"/>
              </w:rPr>
            </w:pPr>
            <w:r w:rsidRPr="00BC00A0">
              <w:rPr>
                <w:rFonts w:ascii="Arial" w:hAnsi="Arial" w:cs="Arial"/>
                <w:sz w:val="16"/>
                <w:szCs w:val="16"/>
              </w:rPr>
              <w:t>Gastos Generales</w:t>
            </w:r>
          </w:p>
        </w:tc>
        <w:tc>
          <w:tcPr>
            <w:tcW w:w="104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A844FA"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294.480</w:t>
            </w:r>
          </w:p>
        </w:tc>
        <w:tc>
          <w:tcPr>
            <w:tcW w:w="1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6AFAFE"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1%</w:t>
            </w:r>
          </w:p>
        </w:tc>
        <w:tc>
          <w:tcPr>
            <w:tcW w:w="12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2BC9C0" w14:textId="77777777" w:rsidR="00BC00A0" w:rsidRPr="00BC00A0" w:rsidRDefault="00BC00A0">
            <w:pPr>
              <w:jc w:val="right"/>
              <w:rPr>
                <w:rFonts w:ascii="Arial" w:hAnsi="Arial" w:cs="Arial"/>
                <w:sz w:val="16"/>
                <w:szCs w:val="16"/>
              </w:rPr>
            </w:pPr>
            <w:r w:rsidRPr="00BC00A0">
              <w:rPr>
                <w:rFonts w:ascii="Arial" w:hAnsi="Arial" w:cs="Arial"/>
                <w:sz w:val="16"/>
                <w:szCs w:val="16"/>
              </w:rPr>
              <w:t>81.800</w:t>
            </w:r>
          </w:p>
        </w:tc>
        <w:tc>
          <w:tcPr>
            <w:tcW w:w="12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E79EAC"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81.800</w:t>
            </w:r>
          </w:p>
        </w:tc>
        <w:tc>
          <w:tcPr>
            <w:tcW w:w="1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BEF0BE"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212.680</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269512"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72%</w:t>
            </w:r>
          </w:p>
        </w:tc>
        <w:tc>
          <w:tcPr>
            <w:tcW w:w="16" w:type="dxa"/>
            <w:vAlign w:val="center"/>
            <w:hideMark/>
          </w:tcPr>
          <w:p w14:paraId="0A31AA89" w14:textId="77777777" w:rsidR="00BC00A0" w:rsidRPr="00BC00A0" w:rsidRDefault="00BC00A0">
            <w:pPr>
              <w:rPr>
                <w:rFonts w:ascii="Calibri" w:hAnsi="Calibri" w:cs="Times New Roman"/>
                <w:color w:val="000000"/>
                <w:sz w:val="19"/>
                <w:szCs w:val="19"/>
              </w:rPr>
            </w:pPr>
          </w:p>
        </w:tc>
      </w:tr>
      <w:tr w:rsidR="00BC00A0" w:rsidRPr="00BC00A0" w14:paraId="680040D2" w14:textId="77777777" w:rsidTr="00BC00A0">
        <w:trPr>
          <w:trHeight w:val="390"/>
        </w:trPr>
        <w:tc>
          <w:tcPr>
            <w:tcW w:w="153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5C19330" w14:textId="77777777" w:rsidR="00BC00A0" w:rsidRPr="00BC00A0" w:rsidRDefault="00BC00A0">
            <w:pPr>
              <w:rPr>
                <w:rFonts w:ascii="Arial" w:hAnsi="Arial" w:cs="Arial"/>
                <w:color w:val="000000"/>
                <w:sz w:val="16"/>
                <w:szCs w:val="16"/>
              </w:rPr>
            </w:pPr>
            <w:r w:rsidRPr="00BC00A0">
              <w:rPr>
                <w:rFonts w:ascii="Arial" w:hAnsi="Arial" w:cs="Arial"/>
                <w:sz w:val="16"/>
                <w:szCs w:val="16"/>
              </w:rPr>
              <w:t>Transferencias</w:t>
            </w:r>
          </w:p>
        </w:tc>
        <w:tc>
          <w:tcPr>
            <w:tcW w:w="104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387ECA"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6.744.054</w:t>
            </w:r>
          </w:p>
        </w:tc>
        <w:tc>
          <w:tcPr>
            <w:tcW w:w="1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64E9DE"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28%</w:t>
            </w:r>
          </w:p>
        </w:tc>
        <w:tc>
          <w:tcPr>
            <w:tcW w:w="12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6CC55D" w14:textId="77777777" w:rsidR="00BC00A0" w:rsidRPr="00BC00A0" w:rsidRDefault="00BC00A0">
            <w:pPr>
              <w:jc w:val="right"/>
              <w:rPr>
                <w:rFonts w:ascii="Arial" w:hAnsi="Arial" w:cs="Arial"/>
                <w:sz w:val="16"/>
                <w:szCs w:val="16"/>
              </w:rPr>
            </w:pPr>
            <w:r w:rsidRPr="00BC00A0">
              <w:rPr>
                <w:rFonts w:ascii="Arial" w:hAnsi="Arial" w:cs="Arial"/>
                <w:sz w:val="16"/>
                <w:szCs w:val="16"/>
              </w:rPr>
              <w:t>581.714</w:t>
            </w:r>
          </w:p>
        </w:tc>
        <w:tc>
          <w:tcPr>
            <w:tcW w:w="12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DC40DA"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581.714</w:t>
            </w:r>
          </w:p>
        </w:tc>
        <w:tc>
          <w:tcPr>
            <w:tcW w:w="1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B0AA4A"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6.162.340</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81A11E"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91%</w:t>
            </w:r>
          </w:p>
        </w:tc>
        <w:tc>
          <w:tcPr>
            <w:tcW w:w="16" w:type="dxa"/>
            <w:vAlign w:val="center"/>
            <w:hideMark/>
          </w:tcPr>
          <w:p w14:paraId="6D0EB345" w14:textId="77777777" w:rsidR="00BC00A0" w:rsidRPr="00BC00A0" w:rsidRDefault="00BC00A0">
            <w:pPr>
              <w:rPr>
                <w:rFonts w:ascii="Calibri" w:hAnsi="Calibri" w:cs="Times New Roman"/>
                <w:color w:val="000000"/>
                <w:sz w:val="19"/>
                <w:szCs w:val="19"/>
              </w:rPr>
            </w:pPr>
          </w:p>
        </w:tc>
      </w:tr>
      <w:tr w:rsidR="00BC00A0" w:rsidRPr="00BC00A0" w14:paraId="3F8F6D88" w14:textId="77777777" w:rsidTr="00BC00A0">
        <w:trPr>
          <w:trHeight w:val="307"/>
        </w:trPr>
        <w:tc>
          <w:tcPr>
            <w:tcW w:w="153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CC3A190" w14:textId="77777777" w:rsidR="00BC00A0" w:rsidRPr="00BC00A0" w:rsidRDefault="00BC00A0">
            <w:pPr>
              <w:rPr>
                <w:rFonts w:ascii="Arial" w:hAnsi="Arial" w:cs="Arial"/>
                <w:color w:val="000000"/>
                <w:sz w:val="16"/>
                <w:szCs w:val="16"/>
              </w:rPr>
            </w:pPr>
            <w:r w:rsidRPr="00BC00A0">
              <w:rPr>
                <w:rFonts w:ascii="Arial" w:hAnsi="Arial" w:cs="Arial"/>
                <w:sz w:val="16"/>
                <w:szCs w:val="16"/>
              </w:rPr>
              <w:t>Gastos De Comercialización Y Producción</w:t>
            </w:r>
          </w:p>
        </w:tc>
        <w:tc>
          <w:tcPr>
            <w:tcW w:w="104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19F305"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15.849.443</w:t>
            </w:r>
          </w:p>
        </w:tc>
        <w:tc>
          <w:tcPr>
            <w:tcW w:w="1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8CDB44"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67%</w:t>
            </w:r>
          </w:p>
        </w:tc>
        <w:tc>
          <w:tcPr>
            <w:tcW w:w="129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C46803" w14:textId="77777777" w:rsidR="00BC00A0" w:rsidRPr="00BC00A0" w:rsidRDefault="00BC00A0">
            <w:pPr>
              <w:jc w:val="right"/>
              <w:rPr>
                <w:rFonts w:ascii="Arial" w:hAnsi="Arial" w:cs="Arial"/>
                <w:sz w:val="16"/>
                <w:szCs w:val="16"/>
              </w:rPr>
            </w:pPr>
            <w:r w:rsidRPr="00BC00A0">
              <w:rPr>
                <w:rFonts w:ascii="Arial" w:hAnsi="Arial" w:cs="Arial"/>
                <w:sz w:val="16"/>
                <w:szCs w:val="16"/>
              </w:rPr>
              <w:t>14.110.971</w:t>
            </w:r>
          </w:p>
        </w:tc>
        <w:tc>
          <w:tcPr>
            <w:tcW w:w="128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D730A7"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14.110.971</w:t>
            </w:r>
          </w:p>
        </w:tc>
        <w:tc>
          <w:tcPr>
            <w:tcW w:w="104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725049" w14:textId="77777777" w:rsidR="00BC00A0" w:rsidRPr="00BC00A0" w:rsidRDefault="00BC00A0">
            <w:pPr>
              <w:jc w:val="right"/>
              <w:rPr>
                <w:rFonts w:ascii="Arial" w:hAnsi="Arial" w:cs="Arial"/>
                <w:color w:val="000000"/>
                <w:sz w:val="16"/>
                <w:szCs w:val="16"/>
              </w:rPr>
            </w:pPr>
            <w:r w:rsidRPr="00BC00A0">
              <w:rPr>
                <w:rFonts w:ascii="Arial" w:hAnsi="Arial" w:cs="Arial"/>
                <w:sz w:val="16"/>
                <w:szCs w:val="16"/>
              </w:rPr>
              <w:t>1.738.472</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7EBD49" w14:textId="77777777" w:rsidR="00BC00A0" w:rsidRPr="00BC00A0" w:rsidRDefault="00BC00A0">
            <w:pPr>
              <w:jc w:val="center"/>
              <w:rPr>
                <w:rFonts w:ascii="Arial" w:hAnsi="Arial" w:cs="Arial"/>
                <w:color w:val="000000"/>
                <w:sz w:val="16"/>
                <w:szCs w:val="16"/>
              </w:rPr>
            </w:pPr>
            <w:r w:rsidRPr="00BC00A0">
              <w:rPr>
                <w:rFonts w:ascii="Arial" w:hAnsi="Arial" w:cs="Arial"/>
                <w:sz w:val="16"/>
                <w:szCs w:val="16"/>
              </w:rPr>
              <w:t>11%</w:t>
            </w:r>
          </w:p>
        </w:tc>
        <w:tc>
          <w:tcPr>
            <w:tcW w:w="16" w:type="dxa"/>
            <w:vAlign w:val="center"/>
            <w:hideMark/>
          </w:tcPr>
          <w:p w14:paraId="60307F45" w14:textId="77777777" w:rsidR="00BC00A0" w:rsidRPr="00BC00A0" w:rsidRDefault="00BC00A0">
            <w:pPr>
              <w:rPr>
                <w:rFonts w:ascii="Calibri" w:hAnsi="Calibri" w:cs="Times New Roman"/>
                <w:color w:val="000000"/>
                <w:sz w:val="19"/>
                <w:szCs w:val="19"/>
              </w:rPr>
            </w:pPr>
          </w:p>
        </w:tc>
      </w:tr>
      <w:tr w:rsidR="00BC00A0" w:rsidRPr="00BC00A0" w14:paraId="50DD669D" w14:textId="77777777" w:rsidTr="00BC00A0">
        <w:trPr>
          <w:trHeight w:val="307"/>
        </w:trPr>
        <w:tc>
          <w:tcPr>
            <w:tcW w:w="153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C69D0B8" w14:textId="77777777" w:rsidR="00BC00A0" w:rsidRPr="00BC00A0" w:rsidRDefault="00BC00A0">
            <w:pPr>
              <w:rPr>
                <w:rFonts w:ascii="Arial" w:hAnsi="Arial" w:cs="Arial"/>
                <w:color w:val="000000"/>
                <w:sz w:val="16"/>
                <w:szCs w:val="16"/>
              </w:rPr>
            </w:pPr>
            <w:r w:rsidRPr="00BC00A0">
              <w:rPr>
                <w:rFonts w:ascii="Arial" w:hAnsi="Arial" w:cs="Arial"/>
                <w:sz w:val="16"/>
                <w:szCs w:val="16"/>
              </w:rPr>
              <w:t>Inversión</w:t>
            </w:r>
          </w:p>
        </w:tc>
        <w:tc>
          <w:tcPr>
            <w:tcW w:w="104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792CA4" w14:textId="77777777" w:rsidR="00BC00A0" w:rsidRPr="00BC00A0" w:rsidRDefault="00BC00A0">
            <w:pPr>
              <w:jc w:val="right"/>
              <w:rPr>
                <w:rFonts w:ascii="Arial" w:hAnsi="Arial" w:cs="Arial"/>
                <w:b/>
                <w:bCs/>
                <w:color w:val="000000"/>
                <w:sz w:val="16"/>
                <w:szCs w:val="16"/>
              </w:rPr>
            </w:pPr>
            <w:r w:rsidRPr="00BC00A0">
              <w:rPr>
                <w:rFonts w:ascii="Arial" w:hAnsi="Arial" w:cs="Arial"/>
                <w:b/>
                <w:bCs/>
                <w:sz w:val="16"/>
                <w:szCs w:val="16"/>
              </w:rPr>
              <w:t>23.825.468</w:t>
            </w:r>
          </w:p>
        </w:tc>
        <w:tc>
          <w:tcPr>
            <w:tcW w:w="12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B2448D"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100%</w:t>
            </w:r>
          </w:p>
        </w:tc>
        <w:tc>
          <w:tcPr>
            <w:tcW w:w="1299"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FCBF2D" w14:textId="77777777" w:rsidR="00BC00A0" w:rsidRPr="00BC00A0" w:rsidRDefault="00BC00A0">
            <w:pPr>
              <w:jc w:val="right"/>
              <w:rPr>
                <w:rFonts w:ascii="Arial" w:hAnsi="Arial" w:cs="Arial"/>
                <w:b/>
                <w:bCs/>
                <w:color w:val="000000"/>
                <w:sz w:val="16"/>
                <w:szCs w:val="16"/>
              </w:rPr>
            </w:pPr>
            <w:r w:rsidRPr="00BC00A0">
              <w:rPr>
                <w:rFonts w:ascii="Arial" w:hAnsi="Arial" w:cs="Arial"/>
                <w:b/>
                <w:bCs/>
                <w:sz w:val="16"/>
                <w:szCs w:val="16"/>
              </w:rPr>
              <w:t>15.299.832</w:t>
            </w:r>
          </w:p>
        </w:tc>
        <w:tc>
          <w:tcPr>
            <w:tcW w:w="128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3EE59C" w14:textId="77777777" w:rsidR="00BC00A0" w:rsidRPr="00BC00A0" w:rsidRDefault="00BC00A0">
            <w:pPr>
              <w:jc w:val="right"/>
              <w:rPr>
                <w:rFonts w:ascii="Arial" w:hAnsi="Arial" w:cs="Arial"/>
                <w:b/>
                <w:bCs/>
                <w:color w:val="000000"/>
                <w:sz w:val="16"/>
                <w:szCs w:val="16"/>
              </w:rPr>
            </w:pPr>
            <w:r w:rsidRPr="00BC00A0">
              <w:rPr>
                <w:rFonts w:ascii="Arial" w:hAnsi="Arial" w:cs="Arial"/>
                <w:b/>
                <w:bCs/>
                <w:sz w:val="16"/>
                <w:szCs w:val="16"/>
              </w:rPr>
              <w:t>15.299.832</w:t>
            </w:r>
          </w:p>
        </w:tc>
        <w:tc>
          <w:tcPr>
            <w:tcW w:w="104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0FB575B" w14:textId="77777777" w:rsidR="00BC00A0" w:rsidRPr="00BC00A0" w:rsidRDefault="00BC00A0">
            <w:pPr>
              <w:jc w:val="right"/>
              <w:rPr>
                <w:rFonts w:ascii="Arial" w:hAnsi="Arial" w:cs="Arial"/>
                <w:b/>
                <w:bCs/>
                <w:color w:val="000000"/>
                <w:sz w:val="16"/>
                <w:szCs w:val="16"/>
              </w:rPr>
            </w:pPr>
            <w:r w:rsidRPr="00BC00A0">
              <w:rPr>
                <w:rFonts w:ascii="Arial" w:hAnsi="Arial" w:cs="Arial"/>
                <w:b/>
                <w:bCs/>
                <w:sz w:val="16"/>
                <w:szCs w:val="16"/>
              </w:rPr>
              <w:t>8.525.636</w:t>
            </w:r>
          </w:p>
        </w:tc>
        <w:tc>
          <w:tcPr>
            <w:tcW w:w="107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553150E" w14:textId="77777777" w:rsidR="00BC00A0" w:rsidRPr="00BC00A0" w:rsidRDefault="00BC00A0">
            <w:pPr>
              <w:jc w:val="center"/>
              <w:rPr>
                <w:rFonts w:ascii="Arial" w:hAnsi="Arial" w:cs="Arial"/>
                <w:b/>
                <w:bCs/>
                <w:color w:val="000000"/>
                <w:sz w:val="16"/>
                <w:szCs w:val="16"/>
              </w:rPr>
            </w:pPr>
            <w:r w:rsidRPr="00BC00A0">
              <w:rPr>
                <w:rFonts w:ascii="Arial" w:hAnsi="Arial" w:cs="Arial"/>
                <w:b/>
                <w:bCs/>
                <w:sz w:val="16"/>
                <w:szCs w:val="16"/>
              </w:rPr>
              <w:t>36%</w:t>
            </w:r>
          </w:p>
        </w:tc>
        <w:tc>
          <w:tcPr>
            <w:tcW w:w="16" w:type="dxa"/>
            <w:vAlign w:val="center"/>
            <w:hideMark/>
          </w:tcPr>
          <w:p w14:paraId="5F5B6924" w14:textId="77777777" w:rsidR="00BC00A0" w:rsidRPr="00BC00A0" w:rsidRDefault="00BC00A0">
            <w:pPr>
              <w:rPr>
                <w:rFonts w:ascii="Calibri" w:hAnsi="Calibri" w:cs="Times New Roman"/>
                <w:color w:val="000000"/>
                <w:sz w:val="19"/>
                <w:szCs w:val="19"/>
              </w:rPr>
            </w:pPr>
          </w:p>
        </w:tc>
      </w:tr>
    </w:tbl>
    <w:p w14:paraId="548BC78F" w14:textId="77777777" w:rsidR="00C02282" w:rsidRPr="00BC00A0" w:rsidRDefault="00C02282" w:rsidP="00C02282">
      <w:pPr>
        <w:spacing w:after="0" w:line="240" w:lineRule="auto"/>
        <w:jc w:val="center"/>
        <w:rPr>
          <w:rFonts w:ascii="Arial" w:eastAsia="Calibri" w:hAnsi="Arial" w:cs="Arial"/>
          <w:sz w:val="16"/>
          <w:szCs w:val="16"/>
        </w:rPr>
      </w:pPr>
      <w:r w:rsidRPr="00BC00A0">
        <w:rPr>
          <w:rFonts w:ascii="Arial" w:hAnsi="Arial" w:cs="Arial"/>
          <w:sz w:val="16"/>
          <w:szCs w:val="16"/>
          <w:lang w:eastAsia="es-ES"/>
        </w:rPr>
        <w:t>Millones de pesos</w:t>
      </w:r>
    </w:p>
    <w:p w14:paraId="1173A154" w14:textId="77777777" w:rsidR="00C02282" w:rsidRPr="00BC00A0" w:rsidRDefault="00C02282" w:rsidP="00C02282">
      <w:pPr>
        <w:jc w:val="center"/>
        <w:rPr>
          <w:rFonts w:ascii="Arial" w:hAnsi="Arial" w:cs="Arial"/>
          <w:bCs/>
          <w:lang w:val="es-MX" w:eastAsia="es-ES"/>
        </w:rPr>
      </w:pPr>
      <w:r w:rsidRPr="00BC00A0">
        <w:rPr>
          <w:rFonts w:ascii="Calibri" w:hAnsi="Calibri" w:cs="Calibri"/>
          <w:sz w:val="18"/>
          <w:szCs w:val="18"/>
        </w:rPr>
        <w:t>Fuente SIIF</w:t>
      </w:r>
    </w:p>
    <w:p w14:paraId="1C00C7F8" w14:textId="77777777" w:rsidR="00C02282" w:rsidRPr="00BC00A0" w:rsidRDefault="00C02282" w:rsidP="00C02282">
      <w:pPr>
        <w:pStyle w:val="Ttulo2"/>
        <w:rPr>
          <w:rFonts w:ascii="Arial" w:eastAsia="Calibri" w:hAnsi="Arial" w:cs="Arial"/>
          <w:color w:val="auto"/>
          <w:sz w:val="22"/>
          <w:szCs w:val="22"/>
        </w:rPr>
      </w:pPr>
      <w:bookmarkStart w:id="191" w:name="_Toc525652047"/>
      <w:r w:rsidRPr="00BC00A0">
        <w:rPr>
          <w:rFonts w:ascii="Arial" w:eastAsia="Calibri" w:hAnsi="Arial" w:cs="Arial"/>
          <w:color w:val="auto"/>
          <w:sz w:val="22"/>
          <w:szCs w:val="22"/>
        </w:rPr>
        <w:t>3.2 Ejecución Cuentas por Pagar</w:t>
      </w:r>
      <w:bookmarkEnd w:id="190"/>
      <w:r w:rsidRPr="00BC00A0">
        <w:rPr>
          <w:rFonts w:ascii="Arial" w:eastAsia="Calibri" w:hAnsi="Arial" w:cs="Arial"/>
          <w:color w:val="auto"/>
          <w:sz w:val="22"/>
          <w:szCs w:val="22"/>
        </w:rPr>
        <w:t xml:space="preserve"> ANH</w:t>
      </w:r>
      <w:bookmarkEnd w:id="191"/>
    </w:p>
    <w:p w14:paraId="36CD679D" w14:textId="77777777" w:rsidR="00BC00A0" w:rsidRPr="00BC00A0" w:rsidRDefault="00BC00A0" w:rsidP="00BC00A0">
      <w:pPr>
        <w:jc w:val="both"/>
        <w:rPr>
          <w:rFonts w:ascii="Arial" w:hAnsi="Arial" w:cs="Arial"/>
          <w:bCs/>
        </w:rPr>
      </w:pPr>
      <w:r w:rsidRPr="00BC00A0">
        <w:rPr>
          <w:rFonts w:ascii="Arial" w:hAnsi="Arial" w:cs="Arial"/>
          <w:bCs/>
        </w:rPr>
        <w:t xml:space="preserve">De las cuentas por pagar constituidas con corte 31 de diciembre de 2017, al mes de junio se presenta una ejecución del 99%. </w:t>
      </w:r>
    </w:p>
    <w:p w14:paraId="13E1A133" w14:textId="3F70D935" w:rsidR="00C02282" w:rsidRPr="00BC00A0" w:rsidRDefault="00C02282" w:rsidP="00C02282">
      <w:pPr>
        <w:pStyle w:val="Descripcin"/>
        <w:keepNext/>
        <w:jc w:val="center"/>
      </w:pPr>
      <w:bookmarkStart w:id="192" w:name="_Toc525652544"/>
      <w:r w:rsidRPr="00BC00A0">
        <w:lastRenderedPageBreak/>
        <w:t xml:space="preserve">Tabla </w:t>
      </w:r>
      <w:r w:rsidRPr="00BC00A0">
        <w:fldChar w:fldCharType="begin"/>
      </w:r>
      <w:r w:rsidRPr="00BC00A0">
        <w:instrText xml:space="preserve"> SEQ Tabla \* ARABIC </w:instrText>
      </w:r>
      <w:r w:rsidRPr="00BC00A0">
        <w:fldChar w:fldCharType="separate"/>
      </w:r>
      <w:r w:rsidR="008B4625">
        <w:rPr>
          <w:noProof/>
        </w:rPr>
        <w:t>99</w:t>
      </w:r>
      <w:r w:rsidRPr="00BC00A0">
        <w:fldChar w:fldCharType="end"/>
      </w:r>
      <w:r w:rsidR="00BE14D1">
        <w:t xml:space="preserve"> </w:t>
      </w:r>
      <w:r w:rsidRPr="00BC00A0">
        <w:t>Ejecución cuentas por pagar – a 3</w:t>
      </w:r>
      <w:r w:rsidR="00BC00A0" w:rsidRPr="00BC00A0">
        <w:t xml:space="preserve">0 de junio de </w:t>
      </w:r>
      <w:r w:rsidRPr="00BC00A0">
        <w:t xml:space="preserve"> 2018 ANH</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9"/>
        <w:gridCol w:w="1285"/>
        <w:gridCol w:w="1631"/>
        <w:gridCol w:w="1539"/>
        <w:gridCol w:w="1285"/>
        <w:gridCol w:w="1285"/>
      </w:tblGrid>
      <w:tr w:rsidR="00BE14D1" w14:paraId="01D21A96" w14:textId="77777777" w:rsidTr="00BE14D1">
        <w:trPr>
          <w:trHeight w:val="57"/>
          <w:tblHeader/>
        </w:trPr>
        <w:tc>
          <w:tcPr>
            <w:tcW w:w="1261"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F0361F5" w14:textId="77777777" w:rsidR="00BE14D1" w:rsidRDefault="00BE14D1">
            <w:pPr>
              <w:jc w:val="center"/>
              <w:rPr>
                <w:rFonts w:ascii="Arial" w:hAnsi="Arial" w:cs="Arial"/>
                <w:b/>
                <w:bCs/>
                <w:color w:val="000000"/>
                <w:sz w:val="16"/>
                <w:szCs w:val="16"/>
              </w:rPr>
            </w:pPr>
            <w:r>
              <w:rPr>
                <w:rFonts w:ascii="Arial" w:hAnsi="Arial" w:cs="Arial"/>
                <w:b/>
                <w:bCs/>
                <w:sz w:val="16"/>
                <w:szCs w:val="16"/>
              </w:rPr>
              <w:t>Concepto</w:t>
            </w:r>
          </w:p>
        </w:tc>
        <w:tc>
          <w:tcPr>
            <w:tcW w:w="6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FD1C6F2" w14:textId="77777777" w:rsidR="00BE14D1" w:rsidRDefault="00BE14D1">
            <w:pPr>
              <w:jc w:val="center"/>
              <w:rPr>
                <w:rFonts w:ascii="Arial" w:hAnsi="Arial" w:cs="Arial"/>
                <w:b/>
                <w:bCs/>
                <w:color w:val="000000"/>
                <w:sz w:val="16"/>
                <w:szCs w:val="16"/>
              </w:rPr>
            </w:pPr>
            <w:r>
              <w:rPr>
                <w:rFonts w:ascii="Arial" w:hAnsi="Arial" w:cs="Arial"/>
                <w:b/>
                <w:bCs/>
                <w:sz w:val="16"/>
                <w:szCs w:val="16"/>
              </w:rPr>
              <w:t xml:space="preserve">Cuentas por pagar </w:t>
            </w:r>
          </w:p>
        </w:tc>
        <w:tc>
          <w:tcPr>
            <w:tcW w:w="868"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DCA350A" w14:textId="77777777" w:rsidR="00BE14D1" w:rsidRDefault="00BE14D1">
            <w:pPr>
              <w:jc w:val="center"/>
              <w:rPr>
                <w:rFonts w:ascii="Arial" w:hAnsi="Arial" w:cs="Arial"/>
                <w:b/>
                <w:bCs/>
                <w:color w:val="000000"/>
                <w:sz w:val="16"/>
                <w:szCs w:val="16"/>
              </w:rPr>
            </w:pPr>
            <w:r>
              <w:rPr>
                <w:rFonts w:ascii="Arial" w:hAnsi="Arial" w:cs="Arial"/>
                <w:b/>
                <w:bCs/>
                <w:sz w:val="16"/>
                <w:szCs w:val="16"/>
              </w:rPr>
              <w:t>Porcentaje participación</w:t>
            </w:r>
          </w:p>
        </w:tc>
        <w:tc>
          <w:tcPr>
            <w:tcW w:w="819"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1619587" w14:textId="77777777" w:rsidR="00BE14D1" w:rsidRDefault="00BE14D1">
            <w:pPr>
              <w:jc w:val="center"/>
              <w:rPr>
                <w:rFonts w:ascii="Arial" w:hAnsi="Arial" w:cs="Arial"/>
                <w:b/>
                <w:bCs/>
                <w:color w:val="000000"/>
                <w:sz w:val="16"/>
                <w:szCs w:val="16"/>
              </w:rPr>
            </w:pPr>
            <w:r>
              <w:rPr>
                <w:rFonts w:ascii="Arial" w:hAnsi="Arial" w:cs="Arial"/>
                <w:b/>
                <w:bCs/>
                <w:sz w:val="16"/>
                <w:szCs w:val="16"/>
              </w:rPr>
              <w:t>Total, pagos acumulados</w:t>
            </w:r>
          </w:p>
        </w:tc>
        <w:tc>
          <w:tcPr>
            <w:tcW w:w="6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7B22E2A" w14:textId="77777777" w:rsidR="00BE14D1" w:rsidRDefault="00BE14D1">
            <w:pPr>
              <w:jc w:val="center"/>
              <w:rPr>
                <w:rFonts w:ascii="Arial" w:hAnsi="Arial" w:cs="Arial"/>
                <w:b/>
                <w:bCs/>
                <w:color w:val="000000"/>
                <w:sz w:val="16"/>
                <w:szCs w:val="16"/>
              </w:rPr>
            </w:pPr>
            <w:r>
              <w:rPr>
                <w:rFonts w:ascii="Arial" w:hAnsi="Arial" w:cs="Arial"/>
                <w:b/>
                <w:bCs/>
                <w:sz w:val="16"/>
                <w:szCs w:val="16"/>
              </w:rPr>
              <w:t>Cuentas por pagar ejecutar</w:t>
            </w:r>
          </w:p>
        </w:tc>
        <w:tc>
          <w:tcPr>
            <w:tcW w:w="6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9A1DE17" w14:textId="77777777" w:rsidR="00BE14D1" w:rsidRDefault="00BE14D1">
            <w:pPr>
              <w:jc w:val="center"/>
              <w:rPr>
                <w:rFonts w:ascii="Arial" w:hAnsi="Arial" w:cs="Arial"/>
                <w:b/>
                <w:bCs/>
                <w:color w:val="000000"/>
                <w:sz w:val="16"/>
                <w:szCs w:val="16"/>
              </w:rPr>
            </w:pPr>
            <w:r>
              <w:rPr>
                <w:rFonts w:ascii="Arial" w:hAnsi="Arial" w:cs="Arial"/>
                <w:b/>
                <w:bCs/>
                <w:sz w:val="16"/>
                <w:szCs w:val="16"/>
              </w:rPr>
              <w:t>% Por ejecutar</w:t>
            </w:r>
          </w:p>
        </w:tc>
      </w:tr>
      <w:tr w:rsidR="00BE14D1" w14:paraId="5B28FDF9" w14:textId="77777777" w:rsidTr="00BE14D1">
        <w:trPr>
          <w:trHeight w:val="57"/>
        </w:trPr>
        <w:tc>
          <w:tcPr>
            <w:tcW w:w="1261" w:type="pct"/>
            <w:tcBorders>
              <w:top w:val="single" w:sz="4" w:space="0" w:color="auto"/>
              <w:left w:val="single" w:sz="4" w:space="0" w:color="auto"/>
              <w:bottom w:val="single" w:sz="4" w:space="0" w:color="auto"/>
              <w:right w:val="single" w:sz="4" w:space="0" w:color="auto"/>
            </w:tcBorders>
            <w:vAlign w:val="center"/>
            <w:hideMark/>
          </w:tcPr>
          <w:p w14:paraId="74529420" w14:textId="77777777" w:rsidR="00BE14D1" w:rsidRDefault="00BE14D1">
            <w:pPr>
              <w:rPr>
                <w:rFonts w:ascii="Arial" w:hAnsi="Arial" w:cs="Arial"/>
                <w:color w:val="000000"/>
                <w:sz w:val="16"/>
                <w:szCs w:val="16"/>
              </w:rPr>
            </w:pPr>
            <w:r>
              <w:rPr>
                <w:rFonts w:ascii="Arial" w:hAnsi="Arial" w:cs="Arial"/>
                <w:sz w:val="16"/>
                <w:szCs w:val="16"/>
              </w:rPr>
              <w:t>Gastos de Personal</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1F099334" w14:textId="77777777" w:rsidR="00BE14D1" w:rsidRDefault="00BE14D1">
            <w:pPr>
              <w:jc w:val="right"/>
              <w:rPr>
                <w:rFonts w:ascii="Arial" w:hAnsi="Arial" w:cs="Arial"/>
                <w:color w:val="000000"/>
                <w:sz w:val="16"/>
                <w:szCs w:val="16"/>
              </w:rPr>
            </w:pPr>
            <w:r>
              <w:rPr>
                <w:rFonts w:ascii="Arial" w:hAnsi="Arial" w:cs="Arial"/>
                <w:sz w:val="16"/>
                <w:szCs w:val="16"/>
              </w:rPr>
              <w:t>700.136</w:t>
            </w:r>
          </w:p>
        </w:tc>
        <w:tc>
          <w:tcPr>
            <w:tcW w:w="868" w:type="pct"/>
            <w:tcBorders>
              <w:top w:val="single" w:sz="4" w:space="0" w:color="auto"/>
              <w:left w:val="single" w:sz="4" w:space="0" w:color="auto"/>
              <w:bottom w:val="single" w:sz="4" w:space="0" w:color="auto"/>
              <w:right w:val="single" w:sz="4" w:space="0" w:color="auto"/>
            </w:tcBorders>
            <w:noWrap/>
            <w:vAlign w:val="bottom"/>
            <w:hideMark/>
          </w:tcPr>
          <w:p w14:paraId="4D60FACC" w14:textId="77777777" w:rsidR="00BE14D1" w:rsidRDefault="00BE14D1">
            <w:pPr>
              <w:jc w:val="right"/>
              <w:rPr>
                <w:rFonts w:ascii="Arial" w:hAnsi="Arial" w:cs="Arial"/>
                <w:color w:val="000000"/>
                <w:sz w:val="16"/>
                <w:szCs w:val="16"/>
              </w:rPr>
            </w:pPr>
            <w:r>
              <w:rPr>
                <w:rFonts w:ascii="Arial" w:hAnsi="Arial" w:cs="Arial"/>
                <w:sz w:val="16"/>
                <w:szCs w:val="16"/>
              </w:rPr>
              <w:t>2%</w:t>
            </w:r>
          </w:p>
        </w:tc>
        <w:tc>
          <w:tcPr>
            <w:tcW w:w="819" w:type="pct"/>
            <w:tcBorders>
              <w:top w:val="single" w:sz="4" w:space="0" w:color="auto"/>
              <w:left w:val="single" w:sz="4" w:space="0" w:color="auto"/>
              <w:bottom w:val="single" w:sz="4" w:space="0" w:color="auto"/>
              <w:right w:val="single" w:sz="4" w:space="0" w:color="auto"/>
            </w:tcBorders>
            <w:noWrap/>
            <w:vAlign w:val="bottom"/>
            <w:hideMark/>
          </w:tcPr>
          <w:p w14:paraId="1C8233D6" w14:textId="77777777" w:rsidR="00BE14D1" w:rsidRDefault="00BE14D1">
            <w:pPr>
              <w:jc w:val="right"/>
              <w:rPr>
                <w:rFonts w:ascii="Arial" w:hAnsi="Arial" w:cs="Arial"/>
                <w:sz w:val="16"/>
                <w:szCs w:val="16"/>
              </w:rPr>
            </w:pPr>
            <w:r>
              <w:rPr>
                <w:rFonts w:ascii="Arial" w:hAnsi="Arial" w:cs="Arial"/>
                <w:sz w:val="16"/>
                <w:szCs w:val="16"/>
              </w:rPr>
              <w:t>700.136</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4A0B5668" w14:textId="77777777" w:rsidR="00BE14D1" w:rsidRDefault="00BE14D1">
            <w:pPr>
              <w:jc w:val="right"/>
              <w:rPr>
                <w:rFonts w:ascii="Arial" w:hAnsi="Arial" w:cs="Arial"/>
                <w:color w:val="000000"/>
                <w:sz w:val="16"/>
                <w:szCs w:val="16"/>
              </w:rPr>
            </w:pPr>
            <w:r>
              <w:rPr>
                <w:rFonts w:ascii="Arial" w:hAnsi="Arial" w:cs="Arial"/>
                <w:sz w:val="16"/>
                <w:szCs w:val="16"/>
              </w:rPr>
              <w:t>0</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2FFEC06E" w14:textId="77777777" w:rsidR="00BE14D1" w:rsidRDefault="00BE14D1">
            <w:pPr>
              <w:jc w:val="right"/>
              <w:rPr>
                <w:rFonts w:ascii="Arial" w:hAnsi="Arial" w:cs="Arial"/>
                <w:color w:val="000000"/>
                <w:sz w:val="16"/>
                <w:szCs w:val="16"/>
              </w:rPr>
            </w:pPr>
            <w:r>
              <w:rPr>
                <w:rFonts w:ascii="Arial" w:hAnsi="Arial" w:cs="Arial"/>
                <w:sz w:val="16"/>
                <w:szCs w:val="16"/>
              </w:rPr>
              <w:t>0%</w:t>
            </w:r>
          </w:p>
        </w:tc>
      </w:tr>
      <w:tr w:rsidR="00BE14D1" w14:paraId="00106CAE" w14:textId="77777777" w:rsidTr="00BE14D1">
        <w:trPr>
          <w:trHeight w:val="57"/>
        </w:trPr>
        <w:tc>
          <w:tcPr>
            <w:tcW w:w="1261" w:type="pct"/>
            <w:tcBorders>
              <w:top w:val="single" w:sz="4" w:space="0" w:color="auto"/>
              <w:left w:val="single" w:sz="4" w:space="0" w:color="auto"/>
              <w:bottom w:val="single" w:sz="4" w:space="0" w:color="auto"/>
              <w:right w:val="single" w:sz="4" w:space="0" w:color="auto"/>
            </w:tcBorders>
            <w:vAlign w:val="center"/>
            <w:hideMark/>
          </w:tcPr>
          <w:p w14:paraId="4EA41445" w14:textId="77777777" w:rsidR="00BE14D1" w:rsidRDefault="00BE14D1">
            <w:pPr>
              <w:rPr>
                <w:rFonts w:ascii="Arial" w:hAnsi="Arial" w:cs="Arial"/>
                <w:color w:val="000000"/>
                <w:sz w:val="16"/>
                <w:szCs w:val="16"/>
              </w:rPr>
            </w:pPr>
            <w:r>
              <w:rPr>
                <w:rFonts w:ascii="Arial" w:hAnsi="Arial" w:cs="Arial"/>
                <w:sz w:val="16"/>
                <w:szCs w:val="16"/>
              </w:rPr>
              <w:t>Gastos Generales</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07AA7A9B" w14:textId="77777777" w:rsidR="00BE14D1" w:rsidRDefault="00BE14D1">
            <w:pPr>
              <w:jc w:val="right"/>
              <w:rPr>
                <w:rFonts w:ascii="Arial" w:hAnsi="Arial" w:cs="Arial"/>
                <w:color w:val="000000"/>
                <w:sz w:val="16"/>
                <w:szCs w:val="16"/>
              </w:rPr>
            </w:pPr>
            <w:r>
              <w:rPr>
                <w:rFonts w:ascii="Arial" w:hAnsi="Arial" w:cs="Arial"/>
                <w:sz w:val="16"/>
                <w:szCs w:val="16"/>
              </w:rPr>
              <w:t>292.918</w:t>
            </w:r>
          </w:p>
        </w:tc>
        <w:tc>
          <w:tcPr>
            <w:tcW w:w="868" w:type="pct"/>
            <w:tcBorders>
              <w:top w:val="single" w:sz="4" w:space="0" w:color="auto"/>
              <w:left w:val="single" w:sz="4" w:space="0" w:color="auto"/>
              <w:bottom w:val="single" w:sz="4" w:space="0" w:color="auto"/>
              <w:right w:val="single" w:sz="4" w:space="0" w:color="auto"/>
            </w:tcBorders>
            <w:noWrap/>
            <w:vAlign w:val="bottom"/>
            <w:hideMark/>
          </w:tcPr>
          <w:p w14:paraId="322E3020" w14:textId="77777777" w:rsidR="00BE14D1" w:rsidRDefault="00BE14D1">
            <w:pPr>
              <w:jc w:val="right"/>
              <w:rPr>
                <w:rFonts w:ascii="Arial" w:hAnsi="Arial" w:cs="Arial"/>
                <w:color w:val="000000"/>
                <w:sz w:val="16"/>
                <w:szCs w:val="16"/>
              </w:rPr>
            </w:pPr>
            <w:r>
              <w:rPr>
                <w:rFonts w:ascii="Arial" w:hAnsi="Arial" w:cs="Arial"/>
                <w:sz w:val="16"/>
                <w:szCs w:val="16"/>
              </w:rPr>
              <w:t>1%</w:t>
            </w:r>
          </w:p>
        </w:tc>
        <w:tc>
          <w:tcPr>
            <w:tcW w:w="819" w:type="pct"/>
            <w:tcBorders>
              <w:top w:val="single" w:sz="4" w:space="0" w:color="auto"/>
              <w:left w:val="single" w:sz="4" w:space="0" w:color="auto"/>
              <w:bottom w:val="single" w:sz="4" w:space="0" w:color="auto"/>
              <w:right w:val="single" w:sz="4" w:space="0" w:color="auto"/>
            </w:tcBorders>
            <w:noWrap/>
            <w:vAlign w:val="bottom"/>
            <w:hideMark/>
          </w:tcPr>
          <w:p w14:paraId="30F90EB9" w14:textId="77777777" w:rsidR="00BE14D1" w:rsidRDefault="00BE14D1">
            <w:pPr>
              <w:jc w:val="right"/>
              <w:rPr>
                <w:rFonts w:ascii="Arial" w:hAnsi="Arial" w:cs="Arial"/>
                <w:sz w:val="16"/>
                <w:szCs w:val="16"/>
              </w:rPr>
            </w:pPr>
            <w:r>
              <w:rPr>
                <w:rFonts w:ascii="Arial" w:hAnsi="Arial" w:cs="Arial"/>
                <w:sz w:val="16"/>
                <w:szCs w:val="16"/>
              </w:rPr>
              <w:t>292.918</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5DB6938A" w14:textId="77777777" w:rsidR="00BE14D1" w:rsidRDefault="00BE14D1">
            <w:pPr>
              <w:jc w:val="right"/>
              <w:rPr>
                <w:rFonts w:ascii="Arial" w:hAnsi="Arial" w:cs="Arial"/>
                <w:color w:val="000000"/>
                <w:sz w:val="16"/>
                <w:szCs w:val="16"/>
              </w:rPr>
            </w:pPr>
            <w:r>
              <w:rPr>
                <w:rFonts w:ascii="Arial" w:hAnsi="Arial" w:cs="Arial"/>
                <w:sz w:val="16"/>
                <w:szCs w:val="16"/>
              </w:rPr>
              <w:t>0</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40470826" w14:textId="77777777" w:rsidR="00BE14D1" w:rsidRDefault="00BE14D1">
            <w:pPr>
              <w:jc w:val="right"/>
              <w:rPr>
                <w:rFonts w:ascii="Arial" w:hAnsi="Arial" w:cs="Arial"/>
                <w:color w:val="000000"/>
                <w:sz w:val="16"/>
                <w:szCs w:val="16"/>
              </w:rPr>
            </w:pPr>
            <w:r>
              <w:rPr>
                <w:rFonts w:ascii="Arial" w:hAnsi="Arial" w:cs="Arial"/>
                <w:sz w:val="16"/>
                <w:szCs w:val="16"/>
              </w:rPr>
              <w:t>0%</w:t>
            </w:r>
          </w:p>
        </w:tc>
      </w:tr>
      <w:tr w:rsidR="00BE14D1" w14:paraId="40F6020B" w14:textId="77777777" w:rsidTr="00BE14D1">
        <w:trPr>
          <w:trHeight w:val="57"/>
        </w:trPr>
        <w:tc>
          <w:tcPr>
            <w:tcW w:w="1261" w:type="pct"/>
            <w:tcBorders>
              <w:top w:val="single" w:sz="4" w:space="0" w:color="auto"/>
              <w:left w:val="single" w:sz="4" w:space="0" w:color="auto"/>
              <w:bottom w:val="single" w:sz="4" w:space="0" w:color="auto"/>
              <w:right w:val="single" w:sz="4" w:space="0" w:color="auto"/>
            </w:tcBorders>
            <w:vAlign w:val="center"/>
            <w:hideMark/>
          </w:tcPr>
          <w:p w14:paraId="1125FEA5" w14:textId="77777777" w:rsidR="00BE14D1" w:rsidRDefault="00BE14D1">
            <w:pPr>
              <w:rPr>
                <w:rFonts w:ascii="Arial" w:hAnsi="Arial" w:cs="Arial"/>
                <w:color w:val="000000"/>
                <w:sz w:val="16"/>
                <w:szCs w:val="16"/>
              </w:rPr>
            </w:pPr>
            <w:r>
              <w:rPr>
                <w:rFonts w:ascii="Arial" w:hAnsi="Arial" w:cs="Arial"/>
                <w:sz w:val="16"/>
                <w:szCs w:val="16"/>
              </w:rPr>
              <w:t>Gastos De Comercialización Y Producción</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79A6B297" w14:textId="77777777" w:rsidR="00BE14D1" w:rsidRDefault="00BE14D1">
            <w:pPr>
              <w:jc w:val="right"/>
              <w:rPr>
                <w:rFonts w:ascii="Arial" w:hAnsi="Arial" w:cs="Arial"/>
                <w:color w:val="000000"/>
                <w:sz w:val="16"/>
                <w:szCs w:val="16"/>
              </w:rPr>
            </w:pPr>
            <w:r>
              <w:rPr>
                <w:rFonts w:ascii="Arial" w:hAnsi="Arial" w:cs="Arial"/>
                <w:sz w:val="16"/>
                <w:szCs w:val="16"/>
              </w:rPr>
              <w:t>9.282.572</w:t>
            </w:r>
          </w:p>
        </w:tc>
        <w:tc>
          <w:tcPr>
            <w:tcW w:w="868" w:type="pct"/>
            <w:tcBorders>
              <w:top w:val="single" w:sz="4" w:space="0" w:color="auto"/>
              <w:left w:val="single" w:sz="4" w:space="0" w:color="auto"/>
              <w:bottom w:val="single" w:sz="4" w:space="0" w:color="auto"/>
              <w:right w:val="single" w:sz="4" w:space="0" w:color="auto"/>
            </w:tcBorders>
            <w:noWrap/>
            <w:vAlign w:val="bottom"/>
            <w:hideMark/>
          </w:tcPr>
          <w:p w14:paraId="0B1E50A0" w14:textId="77777777" w:rsidR="00BE14D1" w:rsidRDefault="00BE14D1">
            <w:pPr>
              <w:jc w:val="right"/>
              <w:rPr>
                <w:rFonts w:ascii="Arial" w:hAnsi="Arial" w:cs="Arial"/>
                <w:color w:val="000000"/>
                <w:sz w:val="16"/>
                <w:szCs w:val="16"/>
              </w:rPr>
            </w:pPr>
            <w:r>
              <w:rPr>
                <w:rFonts w:ascii="Arial" w:hAnsi="Arial" w:cs="Arial"/>
                <w:sz w:val="16"/>
                <w:szCs w:val="16"/>
              </w:rPr>
              <w:t>21%</w:t>
            </w:r>
          </w:p>
        </w:tc>
        <w:tc>
          <w:tcPr>
            <w:tcW w:w="819" w:type="pct"/>
            <w:tcBorders>
              <w:top w:val="single" w:sz="4" w:space="0" w:color="auto"/>
              <w:left w:val="single" w:sz="4" w:space="0" w:color="auto"/>
              <w:bottom w:val="single" w:sz="4" w:space="0" w:color="auto"/>
              <w:right w:val="single" w:sz="4" w:space="0" w:color="auto"/>
            </w:tcBorders>
            <w:noWrap/>
            <w:vAlign w:val="bottom"/>
            <w:hideMark/>
          </w:tcPr>
          <w:p w14:paraId="2507BE80" w14:textId="77777777" w:rsidR="00BE14D1" w:rsidRDefault="00BE14D1">
            <w:pPr>
              <w:jc w:val="right"/>
              <w:rPr>
                <w:rFonts w:ascii="Arial" w:hAnsi="Arial" w:cs="Arial"/>
                <w:sz w:val="16"/>
                <w:szCs w:val="16"/>
              </w:rPr>
            </w:pPr>
            <w:r>
              <w:rPr>
                <w:rFonts w:ascii="Arial" w:hAnsi="Arial" w:cs="Arial"/>
                <w:sz w:val="16"/>
                <w:szCs w:val="16"/>
              </w:rPr>
              <w:t>9.282.572</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35240D11" w14:textId="77777777" w:rsidR="00BE14D1" w:rsidRDefault="00BE14D1">
            <w:pPr>
              <w:jc w:val="right"/>
              <w:rPr>
                <w:rFonts w:ascii="Arial" w:hAnsi="Arial" w:cs="Arial"/>
                <w:color w:val="000000"/>
                <w:sz w:val="16"/>
                <w:szCs w:val="16"/>
              </w:rPr>
            </w:pPr>
            <w:r>
              <w:rPr>
                <w:rFonts w:ascii="Arial" w:hAnsi="Arial" w:cs="Arial"/>
                <w:sz w:val="16"/>
                <w:szCs w:val="16"/>
              </w:rPr>
              <w:t>0</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4316137A" w14:textId="77777777" w:rsidR="00BE14D1" w:rsidRDefault="00BE14D1">
            <w:pPr>
              <w:jc w:val="right"/>
              <w:rPr>
                <w:rFonts w:ascii="Arial" w:hAnsi="Arial" w:cs="Arial"/>
                <w:color w:val="000000"/>
                <w:sz w:val="16"/>
                <w:szCs w:val="16"/>
              </w:rPr>
            </w:pPr>
            <w:r>
              <w:rPr>
                <w:rFonts w:ascii="Arial" w:hAnsi="Arial" w:cs="Arial"/>
                <w:sz w:val="16"/>
                <w:szCs w:val="16"/>
              </w:rPr>
              <w:t>0%</w:t>
            </w:r>
          </w:p>
        </w:tc>
      </w:tr>
      <w:tr w:rsidR="00BE14D1" w14:paraId="65A16913" w14:textId="77777777" w:rsidTr="00BE14D1">
        <w:trPr>
          <w:trHeight w:val="57"/>
        </w:trPr>
        <w:tc>
          <w:tcPr>
            <w:tcW w:w="1261" w:type="pct"/>
            <w:tcBorders>
              <w:top w:val="single" w:sz="4" w:space="0" w:color="auto"/>
              <w:left w:val="single" w:sz="4" w:space="0" w:color="auto"/>
              <w:bottom w:val="single" w:sz="4" w:space="0" w:color="auto"/>
              <w:right w:val="single" w:sz="4" w:space="0" w:color="auto"/>
            </w:tcBorders>
            <w:vAlign w:val="center"/>
            <w:hideMark/>
          </w:tcPr>
          <w:p w14:paraId="38B927DA" w14:textId="77777777" w:rsidR="00BE14D1" w:rsidRDefault="00BE14D1">
            <w:pPr>
              <w:rPr>
                <w:rFonts w:ascii="Arial" w:hAnsi="Arial" w:cs="Arial"/>
                <w:color w:val="000000"/>
                <w:sz w:val="16"/>
                <w:szCs w:val="16"/>
              </w:rPr>
            </w:pPr>
            <w:r>
              <w:rPr>
                <w:rFonts w:ascii="Arial" w:hAnsi="Arial" w:cs="Arial"/>
                <w:sz w:val="16"/>
                <w:szCs w:val="16"/>
              </w:rPr>
              <w:t>Inversión</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323AB774" w14:textId="77777777" w:rsidR="00BE14D1" w:rsidRDefault="00BE14D1">
            <w:pPr>
              <w:jc w:val="right"/>
              <w:rPr>
                <w:rFonts w:ascii="Arial" w:hAnsi="Arial" w:cs="Arial"/>
                <w:color w:val="000000"/>
                <w:sz w:val="16"/>
                <w:szCs w:val="16"/>
              </w:rPr>
            </w:pPr>
            <w:r>
              <w:rPr>
                <w:rFonts w:ascii="Arial" w:hAnsi="Arial" w:cs="Arial"/>
                <w:sz w:val="16"/>
                <w:szCs w:val="16"/>
              </w:rPr>
              <w:t>35.002.964</w:t>
            </w:r>
          </w:p>
        </w:tc>
        <w:tc>
          <w:tcPr>
            <w:tcW w:w="868" w:type="pct"/>
            <w:tcBorders>
              <w:top w:val="single" w:sz="4" w:space="0" w:color="auto"/>
              <w:left w:val="single" w:sz="4" w:space="0" w:color="auto"/>
              <w:bottom w:val="single" w:sz="4" w:space="0" w:color="auto"/>
              <w:right w:val="single" w:sz="4" w:space="0" w:color="auto"/>
            </w:tcBorders>
            <w:noWrap/>
            <w:vAlign w:val="bottom"/>
            <w:hideMark/>
          </w:tcPr>
          <w:p w14:paraId="119CAE24" w14:textId="77777777" w:rsidR="00BE14D1" w:rsidRDefault="00BE14D1">
            <w:pPr>
              <w:jc w:val="right"/>
              <w:rPr>
                <w:rFonts w:ascii="Arial" w:hAnsi="Arial" w:cs="Arial"/>
                <w:color w:val="000000"/>
                <w:sz w:val="16"/>
                <w:szCs w:val="16"/>
              </w:rPr>
            </w:pPr>
            <w:r>
              <w:rPr>
                <w:rFonts w:ascii="Arial" w:hAnsi="Arial" w:cs="Arial"/>
                <w:sz w:val="16"/>
                <w:szCs w:val="16"/>
              </w:rPr>
              <w:t>77%</w:t>
            </w:r>
          </w:p>
        </w:tc>
        <w:tc>
          <w:tcPr>
            <w:tcW w:w="819" w:type="pct"/>
            <w:tcBorders>
              <w:top w:val="single" w:sz="4" w:space="0" w:color="auto"/>
              <w:left w:val="single" w:sz="4" w:space="0" w:color="auto"/>
              <w:bottom w:val="single" w:sz="4" w:space="0" w:color="auto"/>
              <w:right w:val="single" w:sz="4" w:space="0" w:color="auto"/>
            </w:tcBorders>
            <w:noWrap/>
            <w:vAlign w:val="bottom"/>
            <w:hideMark/>
          </w:tcPr>
          <w:p w14:paraId="42D15C1E" w14:textId="77777777" w:rsidR="00BE14D1" w:rsidRDefault="00BE14D1">
            <w:pPr>
              <w:jc w:val="right"/>
              <w:rPr>
                <w:rFonts w:ascii="Arial" w:hAnsi="Arial" w:cs="Arial"/>
                <w:sz w:val="16"/>
                <w:szCs w:val="16"/>
              </w:rPr>
            </w:pPr>
            <w:r>
              <w:rPr>
                <w:rFonts w:ascii="Arial" w:hAnsi="Arial" w:cs="Arial"/>
                <w:sz w:val="16"/>
                <w:szCs w:val="16"/>
              </w:rPr>
              <w:t>34.749.653</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74C7B7D9" w14:textId="77777777" w:rsidR="00BE14D1" w:rsidRDefault="00BE14D1">
            <w:pPr>
              <w:jc w:val="right"/>
              <w:rPr>
                <w:rFonts w:ascii="Arial" w:hAnsi="Arial" w:cs="Arial"/>
                <w:color w:val="000000"/>
                <w:sz w:val="16"/>
                <w:szCs w:val="16"/>
              </w:rPr>
            </w:pPr>
            <w:r>
              <w:rPr>
                <w:rFonts w:ascii="Arial" w:hAnsi="Arial" w:cs="Arial"/>
                <w:sz w:val="16"/>
                <w:szCs w:val="16"/>
              </w:rPr>
              <w:t>253.311</w:t>
            </w:r>
          </w:p>
        </w:tc>
        <w:tc>
          <w:tcPr>
            <w:tcW w:w="684" w:type="pct"/>
            <w:tcBorders>
              <w:top w:val="single" w:sz="4" w:space="0" w:color="auto"/>
              <w:left w:val="single" w:sz="4" w:space="0" w:color="auto"/>
              <w:bottom w:val="single" w:sz="4" w:space="0" w:color="auto"/>
              <w:right w:val="single" w:sz="4" w:space="0" w:color="auto"/>
            </w:tcBorders>
            <w:noWrap/>
            <w:vAlign w:val="bottom"/>
            <w:hideMark/>
          </w:tcPr>
          <w:p w14:paraId="2CE4EE94" w14:textId="77777777" w:rsidR="00BE14D1" w:rsidRDefault="00BE14D1">
            <w:pPr>
              <w:jc w:val="right"/>
              <w:rPr>
                <w:rFonts w:ascii="Arial" w:hAnsi="Arial" w:cs="Arial"/>
                <w:color w:val="000000"/>
                <w:sz w:val="16"/>
                <w:szCs w:val="16"/>
              </w:rPr>
            </w:pPr>
            <w:r>
              <w:rPr>
                <w:rFonts w:ascii="Arial" w:hAnsi="Arial" w:cs="Arial"/>
                <w:sz w:val="16"/>
                <w:szCs w:val="16"/>
              </w:rPr>
              <w:t>1%</w:t>
            </w:r>
          </w:p>
        </w:tc>
      </w:tr>
      <w:tr w:rsidR="00BE14D1" w14:paraId="564C128F" w14:textId="77777777" w:rsidTr="00BE14D1">
        <w:trPr>
          <w:trHeight w:val="57"/>
        </w:trPr>
        <w:tc>
          <w:tcPr>
            <w:tcW w:w="1261"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C48D86A" w14:textId="77777777" w:rsidR="00BE14D1" w:rsidRDefault="00BE14D1">
            <w:pPr>
              <w:rPr>
                <w:rFonts w:ascii="Arial" w:hAnsi="Arial" w:cs="Arial"/>
                <w:color w:val="000000"/>
                <w:sz w:val="16"/>
                <w:szCs w:val="16"/>
              </w:rPr>
            </w:pPr>
            <w:r>
              <w:rPr>
                <w:rFonts w:ascii="Arial" w:hAnsi="Arial" w:cs="Arial"/>
                <w:sz w:val="16"/>
                <w:szCs w:val="16"/>
              </w:rPr>
              <w:t>TOTAL</w:t>
            </w:r>
          </w:p>
        </w:tc>
        <w:tc>
          <w:tcPr>
            <w:tcW w:w="684"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11A34489" w14:textId="77777777" w:rsidR="00BE14D1" w:rsidRDefault="00BE14D1">
            <w:pPr>
              <w:jc w:val="right"/>
              <w:rPr>
                <w:rFonts w:ascii="Arial" w:hAnsi="Arial" w:cs="Arial"/>
                <w:b/>
                <w:bCs/>
                <w:color w:val="000000"/>
                <w:sz w:val="16"/>
                <w:szCs w:val="16"/>
              </w:rPr>
            </w:pPr>
            <w:r>
              <w:rPr>
                <w:rFonts w:ascii="Arial" w:hAnsi="Arial" w:cs="Arial"/>
                <w:b/>
                <w:bCs/>
                <w:sz w:val="16"/>
                <w:szCs w:val="16"/>
              </w:rPr>
              <w:t>45.278.589</w:t>
            </w:r>
          </w:p>
        </w:tc>
        <w:tc>
          <w:tcPr>
            <w:tcW w:w="868"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3F88F025" w14:textId="77777777" w:rsidR="00BE14D1" w:rsidRDefault="00BE14D1">
            <w:pPr>
              <w:jc w:val="right"/>
              <w:rPr>
                <w:rFonts w:ascii="Arial" w:hAnsi="Arial" w:cs="Arial"/>
                <w:b/>
                <w:bCs/>
                <w:color w:val="000000"/>
                <w:sz w:val="16"/>
                <w:szCs w:val="16"/>
              </w:rPr>
            </w:pPr>
            <w:r>
              <w:rPr>
                <w:rFonts w:ascii="Arial" w:hAnsi="Arial" w:cs="Arial"/>
                <w:b/>
                <w:bCs/>
                <w:sz w:val="16"/>
                <w:szCs w:val="16"/>
              </w:rPr>
              <w:t>100%</w:t>
            </w:r>
          </w:p>
        </w:tc>
        <w:tc>
          <w:tcPr>
            <w:tcW w:w="819"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03719403" w14:textId="77777777" w:rsidR="00BE14D1" w:rsidRDefault="00BE14D1">
            <w:pPr>
              <w:jc w:val="right"/>
              <w:rPr>
                <w:rFonts w:ascii="Arial" w:hAnsi="Arial" w:cs="Arial"/>
                <w:b/>
                <w:bCs/>
                <w:sz w:val="16"/>
                <w:szCs w:val="16"/>
              </w:rPr>
            </w:pPr>
            <w:r>
              <w:rPr>
                <w:rFonts w:ascii="Arial" w:hAnsi="Arial" w:cs="Arial"/>
                <w:b/>
                <w:bCs/>
                <w:sz w:val="16"/>
                <w:szCs w:val="16"/>
              </w:rPr>
              <w:t>45.025.278</w:t>
            </w:r>
          </w:p>
        </w:tc>
        <w:tc>
          <w:tcPr>
            <w:tcW w:w="684"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3747DF07" w14:textId="77777777" w:rsidR="00BE14D1" w:rsidRDefault="00BE14D1">
            <w:pPr>
              <w:jc w:val="right"/>
              <w:rPr>
                <w:rFonts w:ascii="Arial" w:hAnsi="Arial" w:cs="Arial"/>
                <w:b/>
                <w:bCs/>
                <w:color w:val="000000"/>
                <w:sz w:val="16"/>
                <w:szCs w:val="16"/>
              </w:rPr>
            </w:pPr>
            <w:r>
              <w:rPr>
                <w:rFonts w:ascii="Arial" w:hAnsi="Arial" w:cs="Arial"/>
                <w:b/>
                <w:bCs/>
                <w:sz w:val="16"/>
                <w:szCs w:val="16"/>
              </w:rPr>
              <w:t>253.311</w:t>
            </w:r>
          </w:p>
        </w:tc>
        <w:tc>
          <w:tcPr>
            <w:tcW w:w="684" w:type="pct"/>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B43E243" w14:textId="77777777" w:rsidR="00BE14D1" w:rsidRDefault="00BE14D1">
            <w:pPr>
              <w:jc w:val="right"/>
              <w:rPr>
                <w:rFonts w:ascii="Arial" w:hAnsi="Arial" w:cs="Arial"/>
                <w:b/>
                <w:bCs/>
                <w:color w:val="000000"/>
                <w:sz w:val="16"/>
                <w:szCs w:val="16"/>
              </w:rPr>
            </w:pPr>
            <w:r>
              <w:rPr>
                <w:rFonts w:ascii="Arial" w:hAnsi="Arial" w:cs="Arial"/>
                <w:b/>
                <w:bCs/>
                <w:sz w:val="16"/>
                <w:szCs w:val="16"/>
              </w:rPr>
              <w:t>1%</w:t>
            </w:r>
          </w:p>
        </w:tc>
      </w:tr>
    </w:tbl>
    <w:p w14:paraId="47A43149" w14:textId="77777777" w:rsidR="00C02282" w:rsidRPr="00BE14D1" w:rsidRDefault="00C02282" w:rsidP="00C02282">
      <w:pPr>
        <w:spacing w:after="0" w:line="240" w:lineRule="auto"/>
        <w:jc w:val="center"/>
        <w:rPr>
          <w:rFonts w:ascii="Arial" w:eastAsia="Calibri" w:hAnsi="Arial" w:cs="Arial"/>
          <w:sz w:val="16"/>
          <w:szCs w:val="16"/>
        </w:rPr>
      </w:pPr>
      <w:r w:rsidRPr="00BE14D1">
        <w:rPr>
          <w:rFonts w:ascii="Arial" w:hAnsi="Arial" w:cs="Arial"/>
          <w:sz w:val="16"/>
          <w:szCs w:val="16"/>
          <w:lang w:eastAsia="es-ES"/>
        </w:rPr>
        <w:t>Millones de pesos</w:t>
      </w:r>
    </w:p>
    <w:p w14:paraId="01039F15" w14:textId="77777777" w:rsidR="00C02282" w:rsidRPr="00BE14D1" w:rsidRDefault="00C02282" w:rsidP="00C02282">
      <w:pPr>
        <w:jc w:val="center"/>
        <w:rPr>
          <w:rFonts w:ascii="Arial" w:hAnsi="Arial" w:cs="Arial"/>
          <w:bCs/>
          <w:lang w:val="es-MX" w:eastAsia="es-ES"/>
        </w:rPr>
      </w:pPr>
      <w:r w:rsidRPr="00BE14D1">
        <w:rPr>
          <w:rFonts w:ascii="Calibri" w:hAnsi="Calibri" w:cs="Calibri"/>
          <w:sz w:val="18"/>
          <w:szCs w:val="18"/>
        </w:rPr>
        <w:t>Fuente SIIF</w:t>
      </w:r>
    </w:p>
    <w:p w14:paraId="605DEAD9" w14:textId="77777777" w:rsidR="00C02282" w:rsidRPr="00CD5AA1" w:rsidRDefault="00C02282" w:rsidP="00C02282">
      <w:pPr>
        <w:pStyle w:val="Ttulo1"/>
        <w:ind w:left="426"/>
        <w:rPr>
          <w:rFonts w:ascii="Arial" w:eastAsia="Arial" w:hAnsi="Arial" w:cs="Arial"/>
          <w:b/>
          <w:color w:val="auto"/>
          <w:sz w:val="22"/>
          <w:szCs w:val="22"/>
          <w:lang w:eastAsia="es-CO"/>
        </w:rPr>
      </w:pPr>
      <w:bookmarkStart w:id="193" w:name="_Toc525652048"/>
      <w:r w:rsidRPr="00CD5AA1">
        <w:rPr>
          <w:rFonts w:ascii="Arial" w:eastAsia="Arial" w:hAnsi="Arial" w:cs="Arial"/>
          <w:b/>
          <w:color w:val="auto"/>
          <w:sz w:val="22"/>
          <w:szCs w:val="22"/>
          <w:lang w:eastAsia="es-CO"/>
        </w:rPr>
        <w:t>D. SERVICIO GEOLÓGICO COLOMBIANO - SGC</w:t>
      </w:r>
      <w:bookmarkEnd w:id="193"/>
    </w:p>
    <w:p w14:paraId="0E0760C9" w14:textId="77777777" w:rsidR="00C02282" w:rsidRPr="00CD5AA1" w:rsidRDefault="00C02282" w:rsidP="00C02282">
      <w:pPr>
        <w:jc w:val="both"/>
        <w:rPr>
          <w:rFonts w:ascii="Arial" w:eastAsia="Calibri" w:hAnsi="Arial" w:cs="Arial"/>
        </w:rPr>
      </w:pPr>
    </w:p>
    <w:p w14:paraId="4C18B0FF" w14:textId="77777777" w:rsidR="00C02282" w:rsidRPr="00CD5AA1" w:rsidRDefault="00C02282" w:rsidP="00055F7C">
      <w:pPr>
        <w:pStyle w:val="Ttulo1"/>
        <w:numPr>
          <w:ilvl w:val="0"/>
          <w:numId w:val="12"/>
        </w:numPr>
        <w:rPr>
          <w:rFonts w:ascii="Arial" w:eastAsia="Calibri" w:hAnsi="Arial" w:cs="Arial"/>
          <w:color w:val="auto"/>
          <w:sz w:val="22"/>
          <w:szCs w:val="22"/>
        </w:rPr>
      </w:pPr>
      <w:bookmarkStart w:id="194" w:name="_Toc525652049"/>
      <w:bookmarkStart w:id="195" w:name="_Toc514693347"/>
      <w:r w:rsidRPr="00CD5AA1">
        <w:rPr>
          <w:rFonts w:ascii="Arial" w:eastAsia="Arial" w:hAnsi="Arial" w:cs="Arial"/>
          <w:b/>
          <w:color w:val="auto"/>
          <w:sz w:val="22"/>
          <w:szCs w:val="22"/>
          <w:lang w:eastAsia="es-CO"/>
        </w:rPr>
        <w:t>COMPOSICIÓN DEL PRESUPUESTO DE</w:t>
      </w:r>
      <w:r w:rsidRPr="00CD5AA1">
        <w:rPr>
          <w:rFonts w:ascii="Arial" w:hAnsi="Arial" w:cs="Arial"/>
          <w:b/>
          <w:color w:val="auto"/>
          <w:sz w:val="22"/>
          <w:szCs w:val="22"/>
          <w:lang w:eastAsia="es-CO"/>
        </w:rPr>
        <w:t>L SGC</w:t>
      </w:r>
      <w:bookmarkEnd w:id="194"/>
      <w:r w:rsidRPr="00CD5AA1">
        <w:rPr>
          <w:rFonts w:ascii="Arial" w:hAnsi="Arial" w:cs="Arial"/>
          <w:b/>
          <w:color w:val="auto"/>
          <w:sz w:val="22"/>
          <w:szCs w:val="22"/>
          <w:lang w:eastAsia="es-CO"/>
        </w:rPr>
        <w:t xml:space="preserve"> </w:t>
      </w:r>
      <w:bookmarkEnd w:id="195"/>
    </w:p>
    <w:p w14:paraId="6A4B0665" w14:textId="77777777" w:rsidR="00C02282" w:rsidRPr="00CD5AA1" w:rsidRDefault="00C02282" w:rsidP="00C02282">
      <w:pPr>
        <w:spacing w:after="0" w:line="240" w:lineRule="auto"/>
        <w:jc w:val="both"/>
        <w:rPr>
          <w:rFonts w:ascii="Arial" w:hAnsi="Arial" w:cs="Arial"/>
          <w:lang w:eastAsia="es-ES"/>
        </w:rPr>
      </w:pPr>
    </w:p>
    <w:p w14:paraId="6ED2AC06" w14:textId="77777777" w:rsidR="00C02282" w:rsidRPr="00CD5AA1" w:rsidRDefault="00C02282" w:rsidP="00C02282">
      <w:pPr>
        <w:spacing w:after="0" w:line="240" w:lineRule="auto"/>
        <w:rPr>
          <w:rFonts w:ascii="Arial" w:eastAsia="Calibri" w:hAnsi="Arial" w:cs="Arial"/>
          <w:sz w:val="16"/>
          <w:szCs w:val="16"/>
        </w:rPr>
      </w:pPr>
    </w:p>
    <w:p w14:paraId="231E4E01" w14:textId="740E2079" w:rsidR="00C02282" w:rsidRPr="00CD5AA1" w:rsidRDefault="00C02282" w:rsidP="00C02282">
      <w:pPr>
        <w:pStyle w:val="Descripcin"/>
        <w:keepNext/>
        <w:jc w:val="center"/>
      </w:pPr>
      <w:bookmarkStart w:id="196" w:name="_Toc525652431"/>
      <w:r w:rsidRPr="00CD5AA1">
        <w:t xml:space="preserve">Gráfica </w:t>
      </w:r>
      <w:r w:rsidR="00B6251B">
        <w:fldChar w:fldCharType="begin"/>
      </w:r>
      <w:r w:rsidR="00B6251B">
        <w:instrText xml:space="preserve"> SEQ Gráfica \* ARABIC </w:instrText>
      </w:r>
      <w:r w:rsidR="00B6251B">
        <w:fldChar w:fldCharType="separate"/>
      </w:r>
      <w:r w:rsidR="00B6251B">
        <w:rPr>
          <w:noProof/>
        </w:rPr>
        <w:t>18</w:t>
      </w:r>
      <w:r w:rsidR="00B6251B">
        <w:fldChar w:fldCharType="end"/>
      </w:r>
      <w:r w:rsidR="00675778" w:rsidRPr="00CD5AA1">
        <w:t xml:space="preserve"> </w:t>
      </w:r>
      <w:r w:rsidRPr="00CD5AA1">
        <w:t>Distribución Presupuesto de la entidad - vigencia 2018 SGC</w:t>
      </w:r>
      <w:bookmarkEnd w:id="196"/>
    </w:p>
    <w:p w14:paraId="5CA33E86" w14:textId="02F27108" w:rsidR="00C02282" w:rsidRPr="00CD5AA1" w:rsidRDefault="00CD5AA1" w:rsidP="00C02282">
      <w:pPr>
        <w:spacing w:after="0" w:line="240" w:lineRule="auto"/>
        <w:jc w:val="center"/>
        <w:rPr>
          <w:rFonts w:ascii="Arial" w:eastAsia="Calibri" w:hAnsi="Arial" w:cs="Arial"/>
          <w:sz w:val="16"/>
          <w:szCs w:val="16"/>
        </w:rPr>
      </w:pPr>
      <w:r w:rsidRPr="00CD5AA1">
        <w:rPr>
          <w:rFonts w:ascii="Arial" w:eastAsia="Calibri" w:hAnsi="Arial" w:cs="Arial"/>
          <w:noProof/>
          <w:lang w:eastAsia="es-CO"/>
        </w:rPr>
        <w:drawing>
          <wp:inline distT="0" distB="0" distL="0" distR="0" wp14:anchorId="29E6EB84" wp14:editId="2E754DDB">
            <wp:extent cx="3135887" cy="1885007"/>
            <wp:effectExtent l="0" t="0" r="7620" b="1270"/>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59752" cy="1899352"/>
                    </a:xfrm>
                    <a:prstGeom prst="rect">
                      <a:avLst/>
                    </a:prstGeom>
                    <a:noFill/>
                  </pic:spPr>
                </pic:pic>
              </a:graphicData>
            </a:graphic>
          </wp:inline>
        </w:drawing>
      </w:r>
    </w:p>
    <w:p w14:paraId="7DA2836D" w14:textId="77777777" w:rsidR="00C02282" w:rsidRPr="00CD5AA1" w:rsidRDefault="00C02282" w:rsidP="00C02282">
      <w:pPr>
        <w:spacing w:after="0" w:line="240" w:lineRule="auto"/>
        <w:jc w:val="center"/>
        <w:rPr>
          <w:rFonts w:ascii="Arial" w:eastAsia="Calibri" w:hAnsi="Arial" w:cs="Arial"/>
          <w:sz w:val="16"/>
          <w:szCs w:val="16"/>
        </w:rPr>
      </w:pPr>
      <w:r w:rsidRPr="00CD5AA1">
        <w:rPr>
          <w:rFonts w:ascii="Arial" w:hAnsi="Arial" w:cs="Arial"/>
          <w:sz w:val="16"/>
          <w:szCs w:val="16"/>
          <w:lang w:eastAsia="es-ES"/>
        </w:rPr>
        <w:t>Millones de pesos</w:t>
      </w:r>
    </w:p>
    <w:p w14:paraId="5E98EA40" w14:textId="77777777" w:rsidR="00C02282" w:rsidRPr="00CD5AA1" w:rsidRDefault="00C02282" w:rsidP="00C02282">
      <w:pPr>
        <w:jc w:val="center"/>
        <w:rPr>
          <w:rFonts w:ascii="Arial" w:eastAsia="Calibri" w:hAnsi="Arial" w:cs="Arial"/>
          <w:sz w:val="16"/>
          <w:szCs w:val="16"/>
        </w:rPr>
      </w:pPr>
      <w:r w:rsidRPr="00CD5AA1">
        <w:rPr>
          <w:rFonts w:ascii="Calibri" w:hAnsi="Calibri" w:cs="Calibri"/>
          <w:sz w:val="18"/>
          <w:szCs w:val="18"/>
        </w:rPr>
        <w:t xml:space="preserve">Fuente </w:t>
      </w:r>
      <w:r w:rsidRPr="00CD5AA1">
        <w:rPr>
          <w:rFonts w:ascii="Arial" w:eastAsia="Calibri" w:hAnsi="Arial" w:cs="Arial"/>
          <w:sz w:val="16"/>
          <w:szCs w:val="16"/>
        </w:rPr>
        <w:t>SGC</w:t>
      </w:r>
    </w:p>
    <w:p w14:paraId="0B55A26C" w14:textId="77777777" w:rsidR="00C02282" w:rsidRPr="00CD5AA1" w:rsidRDefault="00C02282" w:rsidP="00055F7C">
      <w:pPr>
        <w:pStyle w:val="Ttulo2"/>
        <w:numPr>
          <w:ilvl w:val="1"/>
          <w:numId w:val="12"/>
        </w:numPr>
        <w:rPr>
          <w:rFonts w:ascii="Arial" w:eastAsia="Calibri" w:hAnsi="Arial" w:cs="Arial"/>
          <w:color w:val="auto"/>
          <w:sz w:val="22"/>
          <w:szCs w:val="22"/>
        </w:rPr>
      </w:pPr>
      <w:bookmarkStart w:id="197" w:name="_Toc525652050"/>
      <w:bookmarkStart w:id="198" w:name="_Toc514693348"/>
      <w:r w:rsidRPr="00CD5AA1">
        <w:rPr>
          <w:rFonts w:ascii="Arial" w:eastAsia="Calibri" w:hAnsi="Arial" w:cs="Arial"/>
          <w:color w:val="auto"/>
          <w:sz w:val="22"/>
          <w:szCs w:val="22"/>
        </w:rPr>
        <w:t>Composición del Presupuesto de Funcionamiento del SGC</w:t>
      </w:r>
      <w:bookmarkEnd w:id="197"/>
      <w:r w:rsidRPr="00CD5AA1">
        <w:rPr>
          <w:rFonts w:ascii="Arial" w:eastAsia="Calibri" w:hAnsi="Arial" w:cs="Arial"/>
          <w:color w:val="auto"/>
          <w:sz w:val="22"/>
          <w:szCs w:val="22"/>
        </w:rPr>
        <w:t xml:space="preserve"> </w:t>
      </w:r>
      <w:bookmarkEnd w:id="198"/>
    </w:p>
    <w:p w14:paraId="6F44C699" w14:textId="77777777" w:rsidR="00C02282" w:rsidRPr="006A67B4" w:rsidRDefault="00C02282" w:rsidP="00C02282">
      <w:pPr>
        <w:spacing w:after="0" w:line="240" w:lineRule="auto"/>
        <w:jc w:val="both"/>
        <w:rPr>
          <w:rFonts w:ascii="Arial" w:eastAsia="Calibri" w:hAnsi="Arial" w:cs="Arial"/>
          <w:highlight w:val="yellow"/>
        </w:rPr>
      </w:pPr>
    </w:p>
    <w:p w14:paraId="6DDC5B2D" w14:textId="77777777" w:rsidR="00CD5AA1" w:rsidRPr="00FA1202" w:rsidRDefault="00CD5AA1" w:rsidP="00CD5AA1">
      <w:pPr>
        <w:spacing w:after="0" w:line="240" w:lineRule="auto"/>
        <w:jc w:val="both"/>
        <w:rPr>
          <w:rFonts w:ascii="Arial" w:hAnsi="Arial" w:cs="Arial"/>
        </w:rPr>
      </w:pPr>
      <w:r w:rsidRPr="00FA1202">
        <w:rPr>
          <w:rFonts w:ascii="Arial" w:eastAsia="Calibri" w:hAnsi="Arial" w:cs="Arial"/>
        </w:rPr>
        <w:t xml:space="preserve">El presupuesto total para funcionamiento fue aprobado en </w:t>
      </w:r>
      <w:r w:rsidRPr="00FA1202">
        <w:rPr>
          <w:rFonts w:ascii="Arial" w:hAnsi="Arial" w:cs="Arial"/>
        </w:rPr>
        <w:t>$51.786 millones.</w:t>
      </w:r>
    </w:p>
    <w:p w14:paraId="39A2AE3B" w14:textId="77777777" w:rsidR="00CD5AA1" w:rsidRPr="00FA1202" w:rsidRDefault="00CD5AA1" w:rsidP="00CD5AA1">
      <w:pPr>
        <w:spacing w:after="0" w:line="240" w:lineRule="auto"/>
        <w:jc w:val="both"/>
        <w:rPr>
          <w:rFonts w:ascii="Arial" w:hAnsi="Arial" w:cs="Arial"/>
        </w:rPr>
      </w:pPr>
    </w:p>
    <w:p w14:paraId="3102E207" w14:textId="77777777" w:rsidR="00CD5AA1" w:rsidRPr="00FA1202" w:rsidRDefault="00CD5AA1" w:rsidP="00CD5AA1">
      <w:pPr>
        <w:spacing w:after="0" w:line="240" w:lineRule="auto"/>
        <w:jc w:val="both"/>
        <w:rPr>
          <w:rFonts w:ascii="Arial" w:hAnsi="Arial" w:cs="Arial"/>
        </w:rPr>
      </w:pPr>
      <w:r w:rsidRPr="00FA1202">
        <w:rPr>
          <w:rFonts w:ascii="Arial" w:hAnsi="Arial" w:cs="Arial"/>
        </w:rPr>
        <w:t>Que la siguiente es apropiación a junio de 2018:</w:t>
      </w:r>
    </w:p>
    <w:p w14:paraId="2837AF57" w14:textId="77777777" w:rsidR="00C02282" w:rsidRPr="00CD5AA1" w:rsidRDefault="00C02282" w:rsidP="00C02282">
      <w:pPr>
        <w:spacing w:after="0" w:line="240" w:lineRule="auto"/>
        <w:jc w:val="both"/>
        <w:rPr>
          <w:rFonts w:ascii="Arial" w:hAnsi="Arial" w:cs="Arial"/>
          <w:lang w:eastAsia="es-ES"/>
        </w:rPr>
      </w:pPr>
    </w:p>
    <w:p w14:paraId="7B4E75EB" w14:textId="56A60327" w:rsidR="00C02282" w:rsidRPr="00CD5AA1" w:rsidRDefault="00C02282" w:rsidP="00C02282">
      <w:pPr>
        <w:pStyle w:val="Descripcin"/>
        <w:keepNext/>
        <w:jc w:val="center"/>
      </w:pPr>
      <w:bookmarkStart w:id="199" w:name="_Toc525652545"/>
      <w:r w:rsidRPr="00CD5AA1">
        <w:lastRenderedPageBreak/>
        <w:t xml:space="preserve">Tabla </w:t>
      </w:r>
      <w:r w:rsidRPr="00CD5AA1">
        <w:fldChar w:fldCharType="begin"/>
      </w:r>
      <w:r w:rsidRPr="00CD5AA1">
        <w:instrText xml:space="preserve"> SEQ Tabla \* ARABIC </w:instrText>
      </w:r>
      <w:r w:rsidRPr="00CD5AA1">
        <w:fldChar w:fldCharType="separate"/>
      </w:r>
      <w:r w:rsidR="008B4625">
        <w:rPr>
          <w:noProof/>
        </w:rPr>
        <w:t>100</w:t>
      </w:r>
      <w:r w:rsidRPr="00CD5AA1">
        <w:fldChar w:fldCharType="end"/>
      </w:r>
      <w:r w:rsidR="00CD5AA1" w:rsidRPr="00CD5AA1">
        <w:t xml:space="preserve"> </w:t>
      </w:r>
      <w:r w:rsidRPr="00CD5AA1">
        <w:t>Distribución Presupuesto Funcionamiento - vigencia 2018 SCG</w:t>
      </w:r>
      <w:bookmarkEnd w:id="199"/>
    </w:p>
    <w:tbl>
      <w:tblPr>
        <w:tblW w:w="9434" w:type="dxa"/>
        <w:tblCellMar>
          <w:left w:w="70" w:type="dxa"/>
          <w:right w:w="70" w:type="dxa"/>
        </w:tblCellMar>
        <w:tblLook w:val="04A0" w:firstRow="1" w:lastRow="0" w:firstColumn="1" w:lastColumn="0" w:noHBand="0" w:noVBand="1"/>
      </w:tblPr>
      <w:tblGrid>
        <w:gridCol w:w="4750"/>
        <w:gridCol w:w="2309"/>
        <w:gridCol w:w="2375"/>
      </w:tblGrid>
      <w:tr w:rsidR="00C02282" w:rsidRPr="00CD5AA1" w14:paraId="542B6613" w14:textId="77777777" w:rsidTr="006A67B4">
        <w:trPr>
          <w:trHeight w:val="938"/>
        </w:trPr>
        <w:tc>
          <w:tcPr>
            <w:tcW w:w="4750"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0C0EA5FF" w14:textId="77777777" w:rsidR="00C02282" w:rsidRPr="00CD5AA1" w:rsidRDefault="00C02282" w:rsidP="006A67B4">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Concepto</w:t>
            </w:r>
          </w:p>
        </w:tc>
        <w:tc>
          <w:tcPr>
            <w:tcW w:w="2309" w:type="dxa"/>
            <w:tcBorders>
              <w:top w:val="single" w:sz="8" w:space="0" w:color="auto"/>
              <w:left w:val="nil"/>
              <w:bottom w:val="single" w:sz="8" w:space="0" w:color="auto"/>
              <w:right w:val="single" w:sz="4" w:space="0" w:color="auto"/>
            </w:tcBorders>
            <w:shd w:val="clear" w:color="000000" w:fill="1F4E78"/>
            <w:vAlign w:val="center"/>
            <w:hideMark/>
          </w:tcPr>
          <w:p w14:paraId="2902D139" w14:textId="77777777" w:rsidR="00C02282" w:rsidRPr="00CD5AA1" w:rsidRDefault="00C02282" w:rsidP="006A67B4">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Apropiación Inicial 2018</w:t>
            </w:r>
          </w:p>
        </w:tc>
        <w:tc>
          <w:tcPr>
            <w:tcW w:w="2375" w:type="dxa"/>
            <w:tcBorders>
              <w:top w:val="single" w:sz="8" w:space="0" w:color="auto"/>
              <w:left w:val="nil"/>
              <w:bottom w:val="single" w:sz="8" w:space="0" w:color="auto"/>
              <w:right w:val="single" w:sz="8" w:space="0" w:color="auto"/>
            </w:tcBorders>
            <w:shd w:val="clear" w:color="000000" w:fill="1F4E78"/>
            <w:vAlign w:val="center"/>
            <w:hideMark/>
          </w:tcPr>
          <w:p w14:paraId="6C214A47" w14:textId="77777777" w:rsidR="00C02282" w:rsidRPr="00CD5AA1" w:rsidRDefault="00C02282" w:rsidP="006A67B4">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Apropiación</w:t>
            </w:r>
            <w:r w:rsidRPr="00CD5AA1">
              <w:rPr>
                <w:rFonts w:ascii="Arial" w:eastAsia="Times New Roman" w:hAnsi="Arial" w:cs="Arial"/>
                <w:b/>
                <w:bCs/>
                <w:color w:val="FFFFFF"/>
                <w:lang w:eastAsia="es-CO"/>
              </w:rPr>
              <w:br/>
              <w:t>Vigente 2018</w:t>
            </w:r>
          </w:p>
        </w:tc>
      </w:tr>
      <w:tr w:rsidR="00C02282" w:rsidRPr="00CD5AA1" w14:paraId="7DCC39E4" w14:textId="77777777" w:rsidTr="006A67B4">
        <w:trPr>
          <w:trHeight w:val="307"/>
        </w:trPr>
        <w:tc>
          <w:tcPr>
            <w:tcW w:w="4750" w:type="dxa"/>
            <w:tcBorders>
              <w:top w:val="nil"/>
              <w:left w:val="single" w:sz="8" w:space="0" w:color="auto"/>
              <w:bottom w:val="single" w:sz="4" w:space="0" w:color="auto"/>
              <w:right w:val="single" w:sz="4" w:space="0" w:color="auto"/>
            </w:tcBorders>
            <w:shd w:val="clear" w:color="auto" w:fill="auto"/>
            <w:noWrap/>
            <w:vAlign w:val="center"/>
            <w:hideMark/>
          </w:tcPr>
          <w:p w14:paraId="1FF7D07B" w14:textId="77777777" w:rsidR="00C02282" w:rsidRPr="00CD5AA1" w:rsidRDefault="00C02282" w:rsidP="006A67B4">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Gastos de Personal </w:t>
            </w:r>
          </w:p>
        </w:tc>
        <w:tc>
          <w:tcPr>
            <w:tcW w:w="2309" w:type="dxa"/>
            <w:tcBorders>
              <w:top w:val="nil"/>
              <w:left w:val="nil"/>
              <w:bottom w:val="nil"/>
              <w:right w:val="single" w:sz="4" w:space="0" w:color="auto"/>
            </w:tcBorders>
            <w:shd w:val="clear" w:color="000000" w:fill="FFFFFF"/>
            <w:noWrap/>
            <w:vAlign w:val="center"/>
            <w:hideMark/>
          </w:tcPr>
          <w:p w14:paraId="0105AF8A"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27.013</w:t>
            </w:r>
            <w:r w:rsidRPr="00CD5AA1">
              <w:rPr>
                <w:rFonts w:ascii="Arial" w:eastAsia="Times New Roman" w:hAnsi="Arial" w:cs="Arial"/>
                <w:lang w:eastAsia="es-CO"/>
              </w:rPr>
              <w:t xml:space="preserve">           </w:t>
            </w:r>
          </w:p>
        </w:tc>
        <w:tc>
          <w:tcPr>
            <w:tcW w:w="2375" w:type="dxa"/>
            <w:tcBorders>
              <w:top w:val="nil"/>
              <w:left w:val="nil"/>
              <w:bottom w:val="single" w:sz="4" w:space="0" w:color="auto"/>
              <w:right w:val="single" w:sz="8" w:space="0" w:color="auto"/>
            </w:tcBorders>
            <w:shd w:val="clear" w:color="auto" w:fill="auto"/>
            <w:noWrap/>
            <w:vAlign w:val="center"/>
            <w:hideMark/>
          </w:tcPr>
          <w:p w14:paraId="522C0518"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27.013</w:t>
            </w:r>
            <w:r w:rsidRPr="00CD5AA1">
              <w:rPr>
                <w:rFonts w:ascii="Arial" w:eastAsia="Times New Roman" w:hAnsi="Arial" w:cs="Arial"/>
                <w:lang w:eastAsia="es-CO"/>
              </w:rPr>
              <w:t xml:space="preserve">          </w:t>
            </w:r>
          </w:p>
        </w:tc>
      </w:tr>
      <w:tr w:rsidR="00C02282" w:rsidRPr="00CD5AA1" w14:paraId="463567DE" w14:textId="77777777" w:rsidTr="006A67B4">
        <w:trPr>
          <w:trHeight w:val="307"/>
        </w:trPr>
        <w:tc>
          <w:tcPr>
            <w:tcW w:w="4750" w:type="dxa"/>
            <w:tcBorders>
              <w:top w:val="nil"/>
              <w:left w:val="single" w:sz="8" w:space="0" w:color="auto"/>
              <w:bottom w:val="single" w:sz="4" w:space="0" w:color="auto"/>
              <w:right w:val="single" w:sz="4" w:space="0" w:color="auto"/>
            </w:tcBorders>
            <w:shd w:val="clear" w:color="auto" w:fill="auto"/>
            <w:noWrap/>
            <w:vAlign w:val="center"/>
            <w:hideMark/>
          </w:tcPr>
          <w:p w14:paraId="1ED5D2C5" w14:textId="77777777" w:rsidR="00C02282" w:rsidRPr="00CD5AA1" w:rsidRDefault="00C02282" w:rsidP="006A67B4">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Gastos Generales </w:t>
            </w:r>
          </w:p>
        </w:tc>
        <w:tc>
          <w:tcPr>
            <w:tcW w:w="2309" w:type="dxa"/>
            <w:tcBorders>
              <w:top w:val="single" w:sz="4" w:space="0" w:color="auto"/>
              <w:left w:val="nil"/>
              <w:bottom w:val="nil"/>
              <w:right w:val="single" w:sz="4" w:space="0" w:color="auto"/>
            </w:tcBorders>
            <w:shd w:val="clear" w:color="000000" w:fill="FFFFFF"/>
            <w:noWrap/>
            <w:vAlign w:val="center"/>
            <w:hideMark/>
          </w:tcPr>
          <w:p w14:paraId="0C039B79"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11.522</w:t>
            </w:r>
            <w:r w:rsidRPr="00CD5AA1">
              <w:rPr>
                <w:rFonts w:ascii="Arial" w:eastAsia="Times New Roman" w:hAnsi="Arial" w:cs="Arial"/>
                <w:lang w:eastAsia="es-CO"/>
              </w:rPr>
              <w:t xml:space="preserve">                         </w:t>
            </w:r>
          </w:p>
        </w:tc>
        <w:tc>
          <w:tcPr>
            <w:tcW w:w="2375" w:type="dxa"/>
            <w:tcBorders>
              <w:top w:val="nil"/>
              <w:left w:val="nil"/>
              <w:bottom w:val="single" w:sz="4" w:space="0" w:color="auto"/>
              <w:right w:val="single" w:sz="8" w:space="0" w:color="auto"/>
            </w:tcBorders>
            <w:shd w:val="clear" w:color="auto" w:fill="auto"/>
            <w:noWrap/>
            <w:vAlign w:val="center"/>
            <w:hideMark/>
          </w:tcPr>
          <w:p w14:paraId="01702483"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11.522</w:t>
            </w:r>
            <w:r w:rsidRPr="00CD5AA1">
              <w:rPr>
                <w:rFonts w:ascii="Arial" w:eastAsia="Times New Roman" w:hAnsi="Arial" w:cs="Arial"/>
                <w:lang w:eastAsia="es-CO"/>
              </w:rPr>
              <w:t xml:space="preserve">                       </w:t>
            </w:r>
          </w:p>
        </w:tc>
      </w:tr>
      <w:tr w:rsidR="00C02282" w:rsidRPr="00CD5AA1" w14:paraId="2FDCBFF2" w14:textId="77777777" w:rsidTr="006A67B4">
        <w:trPr>
          <w:trHeight w:val="307"/>
        </w:trPr>
        <w:tc>
          <w:tcPr>
            <w:tcW w:w="4750" w:type="dxa"/>
            <w:tcBorders>
              <w:top w:val="nil"/>
              <w:left w:val="single" w:sz="8" w:space="0" w:color="auto"/>
              <w:bottom w:val="single" w:sz="4" w:space="0" w:color="auto"/>
              <w:right w:val="single" w:sz="4" w:space="0" w:color="auto"/>
            </w:tcBorders>
            <w:shd w:val="clear" w:color="auto" w:fill="auto"/>
            <w:noWrap/>
            <w:vAlign w:val="center"/>
            <w:hideMark/>
          </w:tcPr>
          <w:p w14:paraId="09DE84EC" w14:textId="77777777" w:rsidR="00C02282" w:rsidRPr="00CD5AA1" w:rsidRDefault="00C02282" w:rsidP="006A67B4">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Transferencias </w:t>
            </w:r>
          </w:p>
        </w:tc>
        <w:tc>
          <w:tcPr>
            <w:tcW w:w="2309" w:type="dxa"/>
            <w:tcBorders>
              <w:top w:val="single" w:sz="4" w:space="0" w:color="auto"/>
              <w:left w:val="nil"/>
              <w:bottom w:val="nil"/>
              <w:right w:val="single" w:sz="4" w:space="0" w:color="auto"/>
            </w:tcBorders>
            <w:shd w:val="clear" w:color="000000" w:fill="FFFFFF"/>
            <w:noWrap/>
            <w:vAlign w:val="center"/>
            <w:hideMark/>
          </w:tcPr>
          <w:p w14:paraId="389E0570"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105</w:t>
            </w:r>
            <w:r w:rsidRPr="00CD5AA1">
              <w:rPr>
                <w:rFonts w:ascii="Arial" w:eastAsia="Times New Roman" w:hAnsi="Arial" w:cs="Arial"/>
                <w:lang w:eastAsia="es-CO"/>
              </w:rPr>
              <w:t xml:space="preserve">                         </w:t>
            </w:r>
          </w:p>
        </w:tc>
        <w:tc>
          <w:tcPr>
            <w:tcW w:w="2375" w:type="dxa"/>
            <w:tcBorders>
              <w:top w:val="nil"/>
              <w:left w:val="nil"/>
              <w:bottom w:val="single" w:sz="4" w:space="0" w:color="auto"/>
              <w:right w:val="single" w:sz="8" w:space="0" w:color="auto"/>
            </w:tcBorders>
            <w:shd w:val="clear" w:color="auto" w:fill="auto"/>
            <w:noWrap/>
            <w:vAlign w:val="center"/>
            <w:hideMark/>
          </w:tcPr>
          <w:p w14:paraId="214359E7"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105</w:t>
            </w:r>
            <w:r w:rsidRPr="00CD5AA1">
              <w:rPr>
                <w:rFonts w:ascii="Arial" w:eastAsia="Times New Roman" w:hAnsi="Arial" w:cs="Arial"/>
                <w:lang w:eastAsia="es-CO"/>
              </w:rPr>
              <w:t xml:space="preserve">                        </w:t>
            </w:r>
          </w:p>
        </w:tc>
      </w:tr>
      <w:tr w:rsidR="00C02282" w:rsidRPr="00CD5AA1" w14:paraId="45C9AAFB" w14:textId="77777777" w:rsidTr="006A67B4">
        <w:trPr>
          <w:trHeight w:val="323"/>
        </w:trPr>
        <w:tc>
          <w:tcPr>
            <w:tcW w:w="4750" w:type="dxa"/>
            <w:tcBorders>
              <w:top w:val="nil"/>
              <w:left w:val="single" w:sz="8" w:space="0" w:color="auto"/>
              <w:bottom w:val="single" w:sz="8" w:space="0" w:color="auto"/>
              <w:right w:val="single" w:sz="4" w:space="0" w:color="auto"/>
            </w:tcBorders>
            <w:shd w:val="clear" w:color="auto" w:fill="auto"/>
            <w:noWrap/>
            <w:vAlign w:val="center"/>
            <w:hideMark/>
          </w:tcPr>
          <w:p w14:paraId="42BC7643" w14:textId="77777777" w:rsidR="00C02282" w:rsidRPr="00CD5AA1" w:rsidRDefault="00C02282" w:rsidP="006A67B4">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Gastos de Comercialización y Operación</w:t>
            </w:r>
          </w:p>
        </w:tc>
        <w:tc>
          <w:tcPr>
            <w:tcW w:w="2309" w:type="dxa"/>
            <w:tcBorders>
              <w:top w:val="single" w:sz="4" w:space="0" w:color="auto"/>
              <w:left w:val="nil"/>
              <w:bottom w:val="single" w:sz="8" w:space="0" w:color="auto"/>
              <w:right w:val="single" w:sz="4" w:space="0" w:color="auto"/>
            </w:tcBorders>
            <w:shd w:val="clear" w:color="000000" w:fill="FFFFFF"/>
            <w:noWrap/>
            <w:vAlign w:val="center"/>
            <w:hideMark/>
          </w:tcPr>
          <w:p w14:paraId="5311CFE4"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13.144</w:t>
            </w:r>
            <w:r w:rsidRPr="00CD5AA1">
              <w:rPr>
                <w:rFonts w:ascii="Arial" w:eastAsia="Times New Roman" w:hAnsi="Arial" w:cs="Arial"/>
                <w:lang w:eastAsia="es-CO"/>
              </w:rPr>
              <w:t xml:space="preserve">                     </w:t>
            </w:r>
          </w:p>
        </w:tc>
        <w:tc>
          <w:tcPr>
            <w:tcW w:w="2375" w:type="dxa"/>
            <w:tcBorders>
              <w:top w:val="nil"/>
              <w:left w:val="nil"/>
              <w:bottom w:val="single" w:sz="8" w:space="0" w:color="auto"/>
              <w:right w:val="single" w:sz="8" w:space="0" w:color="auto"/>
            </w:tcBorders>
            <w:shd w:val="clear" w:color="auto" w:fill="auto"/>
            <w:noWrap/>
            <w:vAlign w:val="center"/>
            <w:hideMark/>
          </w:tcPr>
          <w:p w14:paraId="6D6138B7" w14:textId="77777777" w:rsidR="00C02282" w:rsidRPr="00CD5AA1" w:rsidRDefault="00C02282" w:rsidP="006A67B4">
            <w:pPr>
              <w:spacing w:after="0" w:line="240" w:lineRule="auto"/>
              <w:jc w:val="right"/>
              <w:rPr>
                <w:rFonts w:ascii="Arial" w:eastAsia="Times New Roman" w:hAnsi="Arial" w:cs="Arial"/>
                <w:lang w:eastAsia="es-CO"/>
              </w:rPr>
            </w:pPr>
            <w:r w:rsidRPr="00CD5AA1">
              <w:rPr>
                <w:rFonts w:ascii="Arial" w:eastAsia="Times New Roman" w:hAnsi="Arial" w:cs="Arial"/>
                <w:lang w:eastAsia="es-CO"/>
              </w:rPr>
              <w:t xml:space="preserve"> $</w:t>
            </w:r>
            <w:r w:rsidRPr="00CD5AA1">
              <w:rPr>
                <w:rFonts w:ascii="Arial" w:hAnsi="Arial" w:cs="Arial"/>
              </w:rPr>
              <w:t>13.144</w:t>
            </w:r>
            <w:r w:rsidRPr="00CD5AA1">
              <w:rPr>
                <w:rFonts w:ascii="Arial" w:eastAsia="Times New Roman" w:hAnsi="Arial" w:cs="Arial"/>
                <w:lang w:eastAsia="es-CO"/>
              </w:rPr>
              <w:t xml:space="preserve">                    </w:t>
            </w:r>
          </w:p>
        </w:tc>
      </w:tr>
      <w:tr w:rsidR="00C02282" w:rsidRPr="00CD5AA1" w14:paraId="3C0FBB01" w14:textId="77777777" w:rsidTr="006A67B4">
        <w:trPr>
          <w:trHeight w:val="338"/>
        </w:trPr>
        <w:tc>
          <w:tcPr>
            <w:tcW w:w="4750" w:type="dxa"/>
            <w:tcBorders>
              <w:top w:val="nil"/>
              <w:left w:val="single" w:sz="8" w:space="0" w:color="auto"/>
              <w:bottom w:val="single" w:sz="8" w:space="0" w:color="auto"/>
              <w:right w:val="single" w:sz="4" w:space="0" w:color="auto"/>
            </w:tcBorders>
            <w:shd w:val="clear" w:color="000000" w:fill="1F4E78"/>
            <w:vAlign w:val="center"/>
            <w:hideMark/>
          </w:tcPr>
          <w:p w14:paraId="64B14B9A" w14:textId="77777777" w:rsidR="00C02282" w:rsidRPr="00CD5AA1" w:rsidRDefault="00C02282" w:rsidP="006A67B4">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Total Funcionamiento</w:t>
            </w:r>
          </w:p>
        </w:tc>
        <w:tc>
          <w:tcPr>
            <w:tcW w:w="2309" w:type="dxa"/>
            <w:tcBorders>
              <w:top w:val="nil"/>
              <w:left w:val="nil"/>
              <w:bottom w:val="single" w:sz="8" w:space="0" w:color="auto"/>
              <w:right w:val="single" w:sz="4" w:space="0" w:color="auto"/>
            </w:tcBorders>
            <w:shd w:val="clear" w:color="000000" w:fill="1F4E78"/>
            <w:noWrap/>
            <w:vAlign w:val="center"/>
            <w:hideMark/>
          </w:tcPr>
          <w:p w14:paraId="00AE4CC8" w14:textId="77777777" w:rsidR="00C02282" w:rsidRPr="00CD5AA1" w:rsidRDefault="00C02282" w:rsidP="006A67B4">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 xml:space="preserve"> $51.786                          </w:t>
            </w:r>
          </w:p>
        </w:tc>
        <w:tc>
          <w:tcPr>
            <w:tcW w:w="2375" w:type="dxa"/>
            <w:tcBorders>
              <w:top w:val="nil"/>
              <w:left w:val="nil"/>
              <w:bottom w:val="single" w:sz="8" w:space="0" w:color="auto"/>
              <w:right w:val="single" w:sz="4" w:space="0" w:color="auto"/>
            </w:tcBorders>
            <w:shd w:val="clear" w:color="000000" w:fill="1F4E78"/>
            <w:noWrap/>
            <w:vAlign w:val="center"/>
            <w:hideMark/>
          </w:tcPr>
          <w:p w14:paraId="39C45578" w14:textId="77777777" w:rsidR="00C02282" w:rsidRPr="00CD5AA1" w:rsidRDefault="00C02282" w:rsidP="006A67B4">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 xml:space="preserve"> $51.786                          </w:t>
            </w:r>
          </w:p>
        </w:tc>
      </w:tr>
    </w:tbl>
    <w:p w14:paraId="4285F592" w14:textId="77777777" w:rsidR="00C02282" w:rsidRPr="00CD5AA1" w:rsidRDefault="00C02282" w:rsidP="00C02282">
      <w:pPr>
        <w:spacing w:after="0" w:line="240" w:lineRule="auto"/>
        <w:jc w:val="center"/>
        <w:rPr>
          <w:rFonts w:ascii="Arial" w:eastAsia="Calibri" w:hAnsi="Arial" w:cs="Arial"/>
          <w:sz w:val="16"/>
          <w:szCs w:val="16"/>
        </w:rPr>
      </w:pPr>
      <w:r w:rsidRPr="00CD5AA1">
        <w:rPr>
          <w:rFonts w:ascii="Arial" w:hAnsi="Arial" w:cs="Arial"/>
          <w:sz w:val="16"/>
          <w:szCs w:val="16"/>
          <w:lang w:eastAsia="es-ES"/>
        </w:rPr>
        <w:t>Millones de pesos</w:t>
      </w:r>
    </w:p>
    <w:p w14:paraId="282AC492" w14:textId="3ADA5562" w:rsidR="00C02282" w:rsidRDefault="00C02282" w:rsidP="00C02282">
      <w:pPr>
        <w:jc w:val="center"/>
        <w:rPr>
          <w:rFonts w:ascii="Arial" w:eastAsia="Calibri" w:hAnsi="Arial" w:cs="Arial"/>
          <w:sz w:val="16"/>
          <w:szCs w:val="16"/>
        </w:rPr>
      </w:pPr>
      <w:r w:rsidRPr="00CD5AA1">
        <w:rPr>
          <w:rFonts w:ascii="Calibri" w:hAnsi="Calibri" w:cs="Calibri"/>
          <w:sz w:val="18"/>
          <w:szCs w:val="18"/>
        </w:rPr>
        <w:t xml:space="preserve">Fuente: </w:t>
      </w:r>
      <w:r w:rsidRPr="00CD5AA1">
        <w:rPr>
          <w:rFonts w:ascii="Arial" w:eastAsia="Calibri" w:hAnsi="Arial" w:cs="Arial"/>
          <w:sz w:val="16"/>
          <w:szCs w:val="16"/>
        </w:rPr>
        <w:t>S</w:t>
      </w:r>
      <w:r w:rsidRPr="00CD5AA1">
        <w:rPr>
          <w:rFonts w:ascii="Arial" w:eastAsia="Calibri" w:hAnsi="Arial" w:cs="Arial"/>
          <w:sz w:val="16"/>
          <w:szCs w:val="16"/>
        </w:rPr>
        <w:tab/>
        <w:t>IIF Nación</w:t>
      </w:r>
      <w:r w:rsidRPr="00CD5AA1">
        <w:rPr>
          <w:rFonts w:ascii="Calibri" w:hAnsi="Calibri" w:cs="Calibri"/>
          <w:sz w:val="18"/>
          <w:szCs w:val="18"/>
        </w:rPr>
        <w:t xml:space="preserve"> </w:t>
      </w:r>
      <w:r w:rsidRPr="00CD5AA1">
        <w:rPr>
          <w:rFonts w:ascii="Arial" w:eastAsia="Calibri" w:hAnsi="Arial" w:cs="Arial"/>
          <w:sz w:val="16"/>
          <w:szCs w:val="16"/>
        </w:rPr>
        <w:t>SGC</w:t>
      </w:r>
    </w:p>
    <w:p w14:paraId="650A6232" w14:textId="77777777" w:rsidR="009E5C47" w:rsidRPr="00CD5AA1" w:rsidRDefault="009E5C47" w:rsidP="00C02282">
      <w:pPr>
        <w:jc w:val="center"/>
        <w:rPr>
          <w:rFonts w:ascii="Arial" w:eastAsia="Calibri" w:hAnsi="Arial" w:cs="Arial"/>
          <w:sz w:val="16"/>
          <w:szCs w:val="16"/>
        </w:rPr>
      </w:pPr>
    </w:p>
    <w:p w14:paraId="0BC3E969" w14:textId="77777777" w:rsidR="00C02282" w:rsidRPr="00CD5AA1" w:rsidRDefault="00C02282" w:rsidP="00055F7C">
      <w:pPr>
        <w:pStyle w:val="Ttulo2"/>
        <w:numPr>
          <w:ilvl w:val="1"/>
          <w:numId w:val="12"/>
        </w:numPr>
        <w:rPr>
          <w:rFonts w:eastAsia="Calibri"/>
        </w:rPr>
      </w:pPr>
      <w:bookmarkStart w:id="200" w:name="_Toc514693349"/>
      <w:bookmarkStart w:id="201" w:name="_Toc525652051"/>
      <w:r w:rsidRPr="00CD5AA1">
        <w:rPr>
          <w:rFonts w:ascii="Arial" w:eastAsia="Calibri" w:hAnsi="Arial" w:cs="Arial"/>
          <w:color w:val="auto"/>
          <w:sz w:val="22"/>
          <w:szCs w:val="22"/>
        </w:rPr>
        <w:t xml:space="preserve">Composición del Presupuesto de Inversión </w:t>
      </w:r>
      <w:bookmarkEnd w:id="200"/>
      <w:r w:rsidRPr="00CD5AA1">
        <w:rPr>
          <w:rFonts w:ascii="Arial" w:eastAsia="Calibri" w:hAnsi="Arial" w:cs="Arial"/>
          <w:color w:val="auto"/>
          <w:sz w:val="22"/>
          <w:szCs w:val="22"/>
        </w:rPr>
        <w:t>del SGC</w:t>
      </w:r>
      <w:bookmarkEnd w:id="201"/>
    </w:p>
    <w:p w14:paraId="75DE28D9" w14:textId="77777777" w:rsidR="00C02282" w:rsidRPr="006A67B4" w:rsidRDefault="00C02282" w:rsidP="00C02282">
      <w:pPr>
        <w:pStyle w:val="Prrafodelista"/>
        <w:spacing w:after="0" w:line="240" w:lineRule="auto"/>
        <w:ind w:left="709"/>
        <w:jc w:val="both"/>
        <w:rPr>
          <w:rFonts w:eastAsia="Calibri" w:cs="Arial"/>
          <w:highlight w:val="yellow"/>
        </w:rPr>
      </w:pPr>
    </w:p>
    <w:p w14:paraId="17427789" w14:textId="77777777" w:rsidR="00CD5AA1" w:rsidRPr="00FA1202" w:rsidRDefault="00CD5AA1" w:rsidP="00CD5AA1">
      <w:pPr>
        <w:spacing w:after="0" w:line="240" w:lineRule="auto"/>
        <w:jc w:val="both"/>
        <w:rPr>
          <w:rFonts w:ascii="Arial" w:hAnsi="Arial" w:cs="Arial"/>
        </w:rPr>
      </w:pPr>
      <w:r w:rsidRPr="00FA1202">
        <w:rPr>
          <w:rFonts w:ascii="Arial" w:eastAsia="Calibri" w:hAnsi="Arial" w:cs="Arial"/>
        </w:rPr>
        <w:t>Al Servicio Geológico Colombiano le fue asignado un presupuesto para inversión de $</w:t>
      </w:r>
      <w:r w:rsidRPr="00FA1202">
        <w:rPr>
          <w:rFonts w:ascii="Arial" w:hAnsi="Arial" w:cs="Arial"/>
        </w:rPr>
        <w:t xml:space="preserve">9.686 millones y para el segundo trimestre se presentaron dos adiciones según Acuerdos 001 y 002 del 16 de febrero de 2018, por $1.500 millones y $541 millones, provenientes de convenios interadministrativos suscritos con el Ministerio de Minas y Energía y el Instituto Agustín Codazzi, respectivamente, para un presupuesto total de $11.027 millones, incluido el valor bloqueado de $700 millones.  </w:t>
      </w:r>
    </w:p>
    <w:p w14:paraId="6BF07199" w14:textId="77777777" w:rsidR="00CD5AA1" w:rsidRPr="00FA1202" w:rsidRDefault="00CD5AA1" w:rsidP="00CD5AA1">
      <w:pPr>
        <w:spacing w:after="0" w:line="240" w:lineRule="auto"/>
        <w:jc w:val="both"/>
        <w:rPr>
          <w:rFonts w:ascii="Arial" w:hAnsi="Arial" w:cs="Arial"/>
        </w:rPr>
      </w:pPr>
    </w:p>
    <w:p w14:paraId="0242E895" w14:textId="77777777" w:rsidR="00CD5AA1" w:rsidRPr="00FA1202" w:rsidRDefault="00CD5AA1" w:rsidP="00CD5AA1">
      <w:pPr>
        <w:spacing w:after="0" w:line="240" w:lineRule="auto"/>
        <w:jc w:val="both"/>
        <w:rPr>
          <w:rFonts w:ascii="Arial" w:hAnsi="Arial" w:cs="Arial"/>
        </w:rPr>
      </w:pPr>
      <w:r w:rsidRPr="00FA1202">
        <w:rPr>
          <w:rFonts w:ascii="Arial" w:hAnsi="Arial" w:cs="Arial"/>
        </w:rPr>
        <w:t xml:space="preserve">Para el mes de abril fue levantado </w:t>
      </w:r>
      <w:r w:rsidRPr="00FA1202">
        <w:rPr>
          <w:rFonts w:ascii="Arial" w:hAnsi="Arial" w:cs="Arial"/>
          <w:color w:val="222222"/>
          <w:shd w:val="clear" w:color="auto" w:fill="FFFFFF"/>
        </w:rPr>
        <w:t>el </w:t>
      </w:r>
      <w:r w:rsidRPr="00FA1202">
        <w:rPr>
          <w:rStyle w:val="m8318213416379073911m7735347144948819683m-3074868710556714411m7902939941877142309gmail-m-824229206186899089gmail-il"/>
          <w:rFonts w:ascii="Arial" w:hAnsi="Arial" w:cs="Arial"/>
          <w:color w:val="222222"/>
        </w:rPr>
        <w:t>previo</w:t>
      </w:r>
      <w:r w:rsidRPr="00FA1202">
        <w:rPr>
          <w:rFonts w:ascii="Arial" w:hAnsi="Arial" w:cs="Arial"/>
          <w:color w:val="222222"/>
          <w:shd w:val="clear" w:color="auto" w:fill="FFFFFF"/>
        </w:rPr>
        <w:t xml:space="preserve"> concepto al Proyecto   2017011000335 -Fortalecimiento institucional del Servicio Geológico Colombiano a nivel Nacional por </w:t>
      </w:r>
      <w:r w:rsidRPr="00FA1202">
        <w:rPr>
          <w:rFonts w:ascii="Arial" w:hAnsi="Arial" w:cs="Arial"/>
        </w:rPr>
        <w:t xml:space="preserve">valor $800 millones de pesos </w:t>
      </w:r>
    </w:p>
    <w:p w14:paraId="5BE1421E" w14:textId="77777777" w:rsidR="00CD5AA1" w:rsidRPr="00FA1202" w:rsidRDefault="00CD5AA1" w:rsidP="00CD5AA1">
      <w:pPr>
        <w:spacing w:after="0" w:line="240" w:lineRule="auto"/>
        <w:jc w:val="both"/>
        <w:rPr>
          <w:rFonts w:ascii="Arial" w:hAnsi="Arial" w:cs="Arial"/>
        </w:rPr>
      </w:pPr>
    </w:p>
    <w:p w14:paraId="2250CF32" w14:textId="5319B10E" w:rsidR="00C02282" w:rsidRPr="006A67B4" w:rsidRDefault="00CD5AA1" w:rsidP="009E5C47">
      <w:pPr>
        <w:spacing w:after="0" w:line="240" w:lineRule="auto"/>
        <w:jc w:val="both"/>
        <w:rPr>
          <w:rFonts w:ascii="Arial" w:hAnsi="Arial" w:cs="Arial"/>
          <w:sz w:val="20"/>
          <w:szCs w:val="20"/>
          <w:highlight w:val="yellow"/>
          <w:lang w:eastAsia="es-ES"/>
        </w:rPr>
      </w:pPr>
      <w:r w:rsidRPr="00FA1202">
        <w:rPr>
          <w:rFonts w:ascii="Arial" w:hAnsi="Arial" w:cs="Arial"/>
        </w:rPr>
        <w:t xml:space="preserve">Mediante Decreto 662 del 17 de abril de 2018, se </w:t>
      </w:r>
      <w:r w:rsidR="009E5C47" w:rsidRPr="00FA1202">
        <w:rPr>
          <w:rFonts w:ascii="Arial" w:hAnsi="Arial" w:cs="Arial"/>
        </w:rPr>
        <w:t>aplazaron unas</w:t>
      </w:r>
      <w:r w:rsidRPr="00FA1202">
        <w:rPr>
          <w:rFonts w:ascii="Arial" w:hAnsi="Arial" w:cs="Arial"/>
        </w:rPr>
        <w:t xml:space="preserve"> apropiaciones del Presupuesto General de la Nación, que para el Servicio Geológico Colombiano ascendió a $700 millones, en los proyectos </w:t>
      </w:r>
      <w:r w:rsidRPr="00FA1202">
        <w:rPr>
          <w:rFonts w:ascii="Arial" w:eastAsia="Times New Roman" w:hAnsi="Arial" w:cs="Arial"/>
          <w:lang w:eastAsia="es-CO"/>
        </w:rPr>
        <w:t>Ampliación del conocimiento del potencial mineral en el territorio nacional y Ampliación del Conocimiento Geocientífico básico del territorio nacional, cada uno por 350 millones (*).</w:t>
      </w:r>
    </w:p>
    <w:p w14:paraId="11297175" w14:textId="77777777" w:rsidR="00C02282" w:rsidRPr="00CD5AA1" w:rsidRDefault="00C02282" w:rsidP="00C02282">
      <w:pPr>
        <w:pStyle w:val="Descripcin"/>
        <w:keepNext/>
        <w:jc w:val="center"/>
      </w:pPr>
      <w:bookmarkStart w:id="202" w:name="_Toc525652546"/>
      <w:r w:rsidRPr="00CD5AA1">
        <w:t xml:space="preserve">Tabla </w:t>
      </w:r>
      <w:r w:rsidRPr="00CD5AA1">
        <w:fldChar w:fldCharType="begin"/>
      </w:r>
      <w:r w:rsidRPr="00CD5AA1">
        <w:instrText xml:space="preserve"> SEQ Tabla \* ARABIC </w:instrText>
      </w:r>
      <w:r w:rsidRPr="00CD5AA1">
        <w:fldChar w:fldCharType="separate"/>
      </w:r>
      <w:r w:rsidR="008B4625">
        <w:rPr>
          <w:noProof/>
        </w:rPr>
        <w:t>101</w:t>
      </w:r>
      <w:r w:rsidRPr="00CD5AA1">
        <w:fldChar w:fldCharType="end"/>
      </w:r>
      <w:r w:rsidRPr="00CD5AA1">
        <w:t>Distribución Presupuesto de Inversión - vigencia 2018 SGC</w:t>
      </w:r>
      <w:bookmarkEnd w:id="202"/>
    </w:p>
    <w:tbl>
      <w:tblPr>
        <w:tblW w:w="9416" w:type="dxa"/>
        <w:tblLayout w:type="fixed"/>
        <w:tblCellMar>
          <w:left w:w="70" w:type="dxa"/>
          <w:right w:w="70" w:type="dxa"/>
        </w:tblCellMar>
        <w:tblLook w:val="04A0" w:firstRow="1" w:lastRow="0" w:firstColumn="1" w:lastColumn="0" w:noHBand="0" w:noVBand="1"/>
      </w:tblPr>
      <w:tblGrid>
        <w:gridCol w:w="6884"/>
        <w:gridCol w:w="1125"/>
        <w:gridCol w:w="1407"/>
      </w:tblGrid>
      <w:tr w:rsidR="00CD5AA1" w:rsidRPr="00CD5AA1" w14:paraId="51C2EE34" w14:textId="77777777" w:rsidTr="00576641">
        <w:trPr>
          <w:trHeight w:val="726"/>
          <w:tblHeader/>
        </w:trPr>
        <w:tc>
          <w:tcPr>
            <w:tcW w:w="6884"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70F0F530"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Proyecto</w:t>
            </w:r>
          </w:p>
        </w:tc>
        <w:tc>
          <w:tcPr>
            <w:tcW w:w="1125" w:type="dxa"/>
            <w:tcBorders>
              <w:top w:val="single" w:sz="8" w:space="0" w:color="auto"/>
              <w:left w:val="nil"/>
              <w:bottom w:val="nil"/>
              <w:right w:val="single" w:sz="4" w:space="0" w:color="auto"/>
            </w:tcBorders>
            <w:shd w:val="clear" w:color="000000" w:fill="1F4E78"/>
            <w:vAlign w:val="center"/>
            <w:hideMark/>
          </w:tcPr>
          <w:p w14:paraId="66FB16D7"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Apropiación Inicial 2018</w:t>
            </w:r>
          </w:p>
        </w:tc>
        <w:tc>
          <w:tcPr>
            <w:tcW w:w="1407" w:type="dxa"/>
            <w:tcBorders>
              <w:top w:val="single" w:sz="8" w:space="0" w:color="auto"/>
              <w:left w:val="nil"/>
              <w:bottom w:val="nil"/>
              <w:right w:val="single" w:sz="8" w:space="0" w:color="auto"/>
            </w:tcBorders>
            <w:shd w:val="clear" w:color="000000" w:fill="1F4E78"/>
            <w:vAlign w:val="center"/>
            <w:hideMark/>
          </w:tcPr>
          <w:p w14:paraId="49A81F3B"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Apropiación</w:t>
            </w:r>
            <w:r w:rsidRPr="00CD5AA1">
              <w:rPr>
                <w:rFonts w:ascii="Arial" w:eastAsia="Times New Roman" w:hAnsi="Arial" w:cs="Arial"/>
                <w:b/>
                <w:bCs/>
                <w:color w:val="FFFFFF"/>
                <w:lang w:eastAsia="es-CO"/>
              </w:rPr>
              <w:br/>
              <w:t>Vigente 2018</w:t>
            </w:r>
          </w:p>
        </w:tc>
      </w:tr>
      <w:tr w:rsidR="00CD5AA1" w:rsidRPr="00CD5AA1" w14:paraId="73A1C0F4" w14:textId="77777777" w:rsidTr="009E5C47">
        <w:trPr>
          <w:trHeight w:val="237"/>
        </w:trPr>
        <w:tc>
          <w:tcPr>
            <w:tcW w:w="6884" w:type="dxa"/>
            <w:tcBorders>
              <w:top w:val="nil"/>
              <w:left w:val="single" w:sz="8" w:space="0" w:color="auto"/>
              <w:bottom w:val="single" w:sz="4" w:space="0" w:color="auto"/>
              <w:right w:val="single" w:sz="4" w:space="0" w:color="auto"/>
            </w:tcBorders>
            <w:shd w:val="clear" w:color="auto" w:fill="auto"/>
            <w:noWrap/>
            <w:vAlign w:val="center"/>
            <w:hideMark/>
          </w:tcPr>
          <w:p w14:paraId="3E391D94"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heme="minorEastAsia" w:cs="Arial"/>
                <w:color w:val="000000" w:themeColor="text1"/>
                <w:kern w:val="24"/>
              </w:rPr>
              <w:t>Mejoramiento, Desarrollo y Promoción de las Capacidades Científicas y Tecnológicas de las aplicaciones Nucleares y Radiactivas</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03084B1"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 xml:space="preserve"> $ </w:t>
            </w:r>
            <w:r w:rsidRPr="00CD5AA1">
              <w:rPr>
                <w:rFonts w:ascii="Arial" w:hAnsi="Arial" w:cs="Arial"/>
              </w:rPr>
              <w:t>2.500</w:t>
            </w:r>
          </w:p>
        </w:tc>
        <w:tc>
          <w:tcPr>
            <w:tcW w:w="1407" w:type="dxa"/>
            <w:tcBorders>
              <w:top w:val="single" w:sz="4" w:space="0" w:color="auto"/>
              <w:left w:val="nil"/>
              <w:bottom w:val="single" w:sz="4" w:space="0" w:color="auto"/>
              <w:right w:val="single" w:sz="8" w:space="0" w:color="auto"/>
            </w:tcBorders>
            <w:shd w:val="clear" w:color="auto" w:fill="auto"/>
            <w:noWrap/>
            <w:vAlign w:val="bottom"/>
            <w:hideMark/>
          </w:tcPr>
          <w:p w14:paraId="505F508B"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 xml:space="preserve"> $ </w:t>
            </w:r>
            <w:r w:rsidRPr="00CD5AA1">
              <w:rPr>
                <w:rFonts w:ascii="Arial" w:hAnsi="Arial" w:cs="Arial"/>
              </w:rPr>
              <w:t>2.500</w:t>
            </w:r>
          </w:p>
        </w:tc>
      </w:tr>
      <w:tr w:rsidR="00CD5AA1" w:rsidRPr="00CD5AA1" w14:paraId="76F928B6"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1F745664"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Fortalecimiento de la investigación y caracterización de materiales geológicos en territorio  nacional - previo concepto DNP</w:t>
            </w:r>
          </w:p>
        </w:tc>
        <w:tc>
          <w:tcPr>
            <w:tcW w:w="1125" w:type="dxa"/>
            <w:tcBorders>
              <w:top w:val="nil"/>
              <w:left w:val="nil"/>
              <w:bottom w:val="single" w:sz="4" w:space="0" w:color="auto"/>
              <w:right w:val="single" w:sz="4" w:space="0" w:color="auto"/>
            </w:tcBorders>
            <w:shd w:val="clear" w:color="auto" w:fill="auto"/>
            <w:noWrap/>
            <w:vAlign w:val="bottom"/>
          </w:tcPr>
          <w:p w14:paraId="4D22F6A5"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$1.900</w:t>
            </w:r>
          </w:p>
        </w:tc>
        <w:tc>
          <w:tcPr>
            <w:tcW w:w="1407" w:type="dxa"/>
            <w:tcBorders>
              <w:top w:val="nil"/>
              <w:left w:val="nil"/>
              <w:bottom w:val="single" w:sz="4" w:space="0" w:color="auto"/>
              <w:right w:val="single" w:sz="8" w:space="0" w:color="auto"/>
            </w:tcBorders>
            <w:shd w:val="clear" w:color="auto" w:fill="auto"/>
            <w:noWrap/>
            <w:vAlign w:val="bottom"/>
            <w:hideMark/>
          </w:tcPr>
          <w:p w14:paraId="515CFA3F"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$1.900</w:t>
            </w:r>
          </w:p>
        </w:tc>
      </w:tr>
      <w:tr w:rsidR="00CD5AA1" w:rsidRPr="00CD5AA1" w14:paraId="050A3398"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4F9BC88D"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lastRenderedPageBreak/>
              <w:t>Ampliación del conocimiento del potencial mineral en el territorio nacional(*)</w:t>
            </w:r>
          </w:p>
        </w:tc>
        <w:tc>
          <w:tcPr>
            <w:tcW w:w="1125" w:type="dxa"/>
            <w:tcBorders>
              <w:top w:val="nil"/>
              <w:left w:val="nil"/>
              <w:bottom w:val="single" w:sz="4" w:space="0" w:color="auto"/>
              <w:right w:val="single" w:sz="4" w:space="0" w:color="auto"/>
            </w:tcBorders>
            <w:shd w:val="clear" w:color="auto" w:fill="auto"/>
            <w:noWrap/>
            <w:vAlign w:val="bottom"/>
          </w:tcPr>
          <w:p w14:paraId="26699B6C"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lang w:eastAsia="es-CO"/>
              </w:rPr>
              <w:t>$1.116</w:t>
            </w:r>
          </w:p>
        </w:tc>
        <w:tc>
          <w:tcPr>
            <w:tcW w:w="1407" w:type="dxa"/>
            <w:tcBorders>
              <w:top w:val="nil"/>
              <w:left w:val="nil"/>
              <w:bottom w:val="single" w:sz="4" w:space="0" w:color="auto"/>
              <w:right w:val="single" w:sz="8" w:space="0" w:color="auto"/>
            </w:tcBorders>
            <w:shd w:val="clear" w:color="auto" w:fill="auto"/>
            <w:noWrap/>
            <w:vAlign w:val="bottom"/>
          </w:tcPr>
          <w:p w14:paraId="3C7C3BAD"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lang w:eastAsia="es-CO"/>
              </w:rPr>
              <w:t>$766</w:t>
            </w:r>
          </w:p>
        </w:tc>
      </w:tr>
      <w:tr w:rsidR="00CD5AA1" w:rsidRPr="00CD5AA1" w14:paraId="2DAF44ED"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7369F63A"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Ampliación del Conocimiento Geocientífico básico del territorio nacional (*)</w:t>
            </w:r>
          </w:p>
        </w:tc>
        <w:tc>
          <w:tcPr>
            <w:tcW w:w="1125" w:type="dxa"/>
            <w:tcBorders>
              <w:top w:val="nil"/>
              <w:left w:val="nil"/>
              <w:bottom w:val="single" w:sz="4" w:space="0" w:color="auto"/>
              <w:right w:val="single" w:sz="4" w:space="0" w:color="auto"/>
            </w:tcBorders>
            <w:shd w:val="clear" w:color="auto" w:fill="auto"/>
            <w:noWrap/>
            <w:vAlign w:val="bottom"/>
          </w:tcPr>
          <w:p w14:paraId="43180F1F"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lang w:eastAsia="es-CO"/>
              </w:rPr>
              <w:t>$1.116</w:t>
            </w:r>
          </w:p>
        </w:tc>
        <w:tc>
          <w:tcPr>
            <w:tcW w:w="1407" w:type="dxa"/>
            <w:tcBorders>
              <w:top w:val="nil"/>
              <w:left w:val="nil"/>
              <w:bottom w:val="single" w:sz="4" w:space="0" w:color="auto"/>
              <w:right w:val="single" w:sz="8" w:space="0" w:color="auto"/>
            </w:tcBorders>
            <w:shd w:val="clear" w:color="auto" w:fill="auto"/>
            <w:noWrap/>
            <w:vAlign w:val="bottom"/>
          </w:tcPr>
          <w:p w14:paraId="0D090270"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lang w:eastAsia="es-CO"/>
              </w:rPr>
              <w:t>$766</w:t>
            </w:r>
          </w:p>
        </w:tc>
      </w:tr>
      <w:tr w:rsidR="00CD5AA1" w:rsidRPr="00CD5AA1" w14:paraId="4F3028AE"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37F40174"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Investigación, monitoreo y evaluación de amenazas geológicas del territorio nacional</w:t>
            </w:r>
          </w:p>
        </w:tc>
        <w:tc>
          <w:tcPr>
            <w:tcW w:w="1125" w:type="dxa"/>
            <w:tcBorders>
              <w:top w:val="nil"/>
              <w:left w:val="nil"/>
              <w:bottom w:val="single" w:sz="4" w:space="0" w:color="auto"/>
              <w:right w:val="single" w:sz="4" w:space="0" w:color="auto"/>
            </w:tcBorders>
            <w:shd w:val="clear" w:color="auto" w:fill="auto"/>
            <w:noWrap/>
            <w:vAlign w:val="bottom"/>
          </w:tcPr>
          <w:p w14:paraId="26E89250"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$1.900</w:t>
            </w:r>
          </w:p>
        </w:tc>
        <w:tc>
          <w:tcPr>
            <w:tcW w:w="1407" w:type="dxa"/>
            <w:tcBorders>
              <w:top w:val="nil"/>
              <w:left w:val="nil"/>
              <w:bottom w:val="single" w:sz="4" w:space="0" w:color="auto"/>
              <w:right w:val="single" w:sz="8" w:space="0" w:color="auto"/>
            </w:tcBorders>
            <w:shd w:val="clear" w:color="auto" w:fill="auto"/>
            <w:noWrap/>
            <w:vAlign w:val="bottom"/>
          </w:tcPr>
          <w:p w14:paraId="4341D25E"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$2.241</w:t>
            </w:r>
          </w:p>
        </w:tc>
      </w:tr>
      <w:tr w:rsidR="00CD5AA1" w:rsidRPr="00CD5AA1" w14:paraId="29061B03"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05956E76"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Investigación Y Desarrollo Geocientífico De Hidrocarburos en el Territorio Nacional</w:t>
            </w:r>
          </w:p>
        </w:tc>
        <w:tc>
          <w:tcPr>
            <w:tcW w:w="1125" w:type="dxa"/>
            <w:tcBorders>
              <w:top w:val="nil"/>
              <w:left w:val="nil"/>
              <w:bottom w:val="single" w:sz="4" w:space="0" w:color="auto"/>
              <w:right w:val="single" w:sz="4" w:space="0" w:color="auto"/>
            </w:tcBorders>
            <w:shd w:val="clear" w:color="auto" w:fill="auto"/>
            <w:noWrap/>
            <w:vAlign w:val="bottom"/>
          </w:tcPr>
          <w:p w14:paraId="50BB50C6"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$150</w:t>
            </w:r>
          </w:p>
        </w:tc>
        <w:tc>
          <w:tcPr>
            <w:tcW w:w="1407" w:type="dxa"/>
            <w:tcBorders>
              <w:top w:val="nil"/>
              <w:left w:val="nil"/>
              <w:bottom w:val="single" w:sz="4" w:space="0" w:color="auto"/>
              <w:right w:val="single" w:sz="8" w:space="0" w:color="auto"/>
            </w:tcBorders>
            <w:shd w:val="clear" w:color="auto" w:fill="auto"/>
            <w:noWrap/>
            <w:vAlign w:val="bottom"/>
          </w:tcPr>
          <w:p w14:paraId="3D16A6B4"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$150</w:t>
            </w:r>
          </w:p>
        </w:tc>
      </w:tr>
      <w:tr w:rsidR="00CD5AA1" w:rsidRPr="00CD5AA1" w14:paraId="3C6E593D"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6A4710D6"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 xml:space="preserve">Mejoramiento en la Gestión De Tecnologías de Información y Comunicaciones del </w:t>
            </w:r>
            <w:proofErr w:type="spellStart"/>
            <w:r w:rsidRPr="00CD5AA1">
              <w:rPr>
                <w:rFonts w:eastAsia="Times New Roman" w:cs="Arial"/>
                <w:lang w:eastAsia="es-CO"/>
              </w:rPr>
              <w:t>Sgc</w:t>
            </w:r>
            <w:proofErr w:type="spellEnd"/>
          </w:p>
        </w:tc>
        <w:tc>
          <w:tcPr>
            <w:tcW w:w="1125" w:type="dxa"/>
            <w:tcBorders>
              <w:top w:val="nil"/>
              <w:left w:val="nil"/>
              <w:bottom w:val="single" w:sz="4" w:space="0" w:color="auto"/>
              <w:right w:val="single" w:sz="4" w:space="0" w:color="auto"/>
            </w:tcBorders>
            <w:shd w:val="clear" w:color="auto" w:fill="auto"/>
            <w:noWrap/>
            <w:vAlign w:val="bottom"/>
          </w:tcPr>
          <w:p w14:paraId="435DDE46"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$1.004</w:t>
            </w:r>
          </w:p>
        </w:tc>
        <w:tc>
          <w:tcPr>
            <w:tcW w:w="1407" w:type="dxa"/>
            <w:tcBorders>
              <w:top w:val="nil"/>
              <w:left w:val="nil"/>
              <w:bottom w:val="single" w:sz="4" w:space="0" w:color="auto"/>
              <w:right w:val="single" w:sz="8" w:space="0" w:color="auto"/>
            </w:tcBorders>
            <w:shd w:val="clear" w:color="auto" w:fill="auto"/>
            <w:noWrap/>
            <w:vAlign w:val="bottom"/>
          </w:tcPr>
          <w:p w14:paraId="0324F8ED"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$1.004</w:t>
            </w:r>
          </w:p>
        </w:tc>
      </w:tr>
      <w:tr w:rsidR="00CD5AA1" w:rsidRPr="00CD5AA1" w14:paraId="71C7CD9D"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70625B64"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Fortalecimiento institucional del servicio geológico colombiano a nivel   nacional - previo concepto DNP</w:t>
            </w:r>
          </w:p>
        </w:tc>
        <w:tc>
          <w:tcPr>
            <w:tcW w:w="1125" w:type="dxa"/>
            <w:tcBorders>
              <w:top w:val="nil"/>
              <w:left w:val="nil"/>
              <w:bottom w:val="single" w:sz="4" w:space="0" w:color="auto"/>
              <w:right w:val="single" w:sz="4" w:space="0" w:color="auto"/>
            </w:tcBorders>
            <w:shd w:val="clear" w:color="auto" w:fill="auto"/>
            <w:noWrap/>
            <w:vAlign w:val="bottom"/>
          </w:tcPr>
          <w:p w14:paraId="08590132"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$800</w:t>
            </w:r>
          </w:p>
        </w:tc>
        <w:tc>
          <w:tcPr>
            <w:tcW w:w="1407" w:type="dxa"/>
            <w:tcBorders>
              <w:top w:val="nil"/>
              <w:left w:val="nil"/>
              <w:bottom w:val="single" w:sz="4" w:space="0" w:color="auto"/>
              <w:right w:val="single" w:sz="8" w:space="0" w:color="auto"/>
            </w:tcBorders>
            <w:shd w:val="clear" w:color="auto" w:fill="auto"/>
            <w:noWrap/>
            <w:vAlign w:val="bottom"/>
          </w:tcPr>
          <w:p w14:paraId="598F8400"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$800</w:t>
            </w:r>
          </w:p>
        </w:tc>
      </w:tr>
      <w:tr w:rsidR="00CD5AA1" w:rsidRPr="00CD5AA1" w14:paraId="1108C003" w14:textId="77777777" w:rsidTr="009E5C47">
        <w:trPr>
          <w:trHeight w:val="249"/>
        </w:trPr>
        <w:tc>
          <w:tcPr>
            <w:tcW w:w="6884" w:type="dxa"/>
            <w:tcBorders>
              <w:top w:val="nil"/>
              <w:left w:val="single" w:sz="8" w:space="0" w:color="auto"/>
              <w:bottom w:val="single" w:sz="4" w:space="0" w:color="auto"/>
              <w:right w:val="single" w:sz="4" w:space="0" w:color="auto"/>
            </w:tcBorders>
            <w:shd w:val="clear" w:color="auto" w:fill="auto"/>
            <w:noWrap/>
            <w:vAlign w:val="center"/>
          </w:tcPr>
          <w:p w14:paraId="1927E32B" w14:textId="77777777" w:rsidR="00CD5AA1" w:rsidRPr="00CD5AA1" w:rsidRDefault="00CD5AA1" w:rsidP="008B4625">
            <w:pPr>
              <w:pStyle w:val="Prrafodelista"/>
              <w:numPr>
                <w:ilvl w:val="0"/>
                <w:numId w:val="55"/>
              </w:numPr>
              <w:spacing w:after="0" w:line="240" w:lineRule="auto"/>
              <w:ind w:left="204" w:hanging="204"/>
              <w:rPr>
                <w:rFonts w:eastAsia="Times New Roman" w:cs="Arial"/>
                <w:lang w:eastAsia="es-CO"/>
              </w:rPr>
            </w:pPr>
            <w:r w:rsidRPr="00CD5AA1">
              <w:rPr>
                <w:rFonts w:eastAsia="Times New Roman" w:cs="Arial"/>
                <w:lang w:eastAsia="es-CO"/>
              </w:rPr>
              <w:t>Fortalecimiento de la gestión estratégica integral del servicio geológico colombiano a nivel nacional</w:t>
            </w:r>
          </w:p>
        </w:tc>
        <w:tc>
          <w:tcPr>
            <w:tcW w:w="1125" w:type="dxa"/>
            <w:tcBorders>
              <w:top w:val="nil"/>
              <w:left w:val="nil"/>
              <w:bottom w:val="single" w:sz="4" w:space="0" w:color="auto"/>
              <w:right w:val="single" w:sz="4" w:space="0" w:color="auto"/>
            </w:tcBorders>
            <w:shd w:val="clear" w:color="auto" w:fill="auto"/>
            <w:noWrap/>
            <w:vAlign w:val="bottom"/>
          </w:tcPr>
          <w:p w14:paraId="2A42A816"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$700</w:t>
            </w:r>
          </w:p>
        </w:tc>
        <w:tc>
          <w:tcPr>
            <w:tcW w:w="1407" w:type="dxa"/>
            <w:tcBorders>
              <w:top w:val="nil"/>
              <w:left w:val="nil"/>
              <w:bottom w:val="single" w:sz="4" w:space="0" w:color="auto"/>
              <w:right w:val="single" w:sz="8" w:space="0" w:color="auto"/>
            </w:tcBorders>
            <w:shd w:val="clear" w:color="auto" w:fill="auto"/>
            <w:noWrap/>
            <w:vAlign w:val="bottom"/>
          </w:tcPr>
          <w:p w14:paraId="5A37280F" w14:textId="77777777" w:rsidR="00CD5AA1" w:rsidRPr="00CD5AA1" w:rsidRDefault="00CD5AA1" w:rsidP="002D3798">
            <w:pPr>
              <w:spacing w:after="0" w:line="240" w:lineRule="auto"/>
              <w:jc w:val="right"/>
              <w:rPr>
                <w:rFonts w:ascii="Arial" w:eastAsia="Times New Roman" w:hAnsi="Arial" w:cs="Arial"/>
                <w:color w:val="000000"/>
                <w:lang w:eastAsia="es-CO"/>
              </w:rPr>
            </w:pPr>
            <w:r w:rsidRPr="00CD5AA1">
              <w:rPr>
                <w:rFonts w:ascii="Arial" w:eastAsia="Times New Roman" w:hAnsi="Arial" w:cs="Arial"/>
                <w:color w:val="000000"/>
                <w:lang w:eastAsia="es-CO"/>
              </w:rPr>
              <w:t>$700</w:t>
            </w:r>
          </w:p>
        </w:tc>
      </w:tr>
      <w:tr w:rsidR="00CD5AA1" w:rsidRPr="00CD5AA1" w14:paraId="5D1DAF66" w14:textId="77777777" w:rsidTr="009E5C47">
        <w:trPr>
          <w:trHeight w:val="249"/>
        </w:trPr>
        <w:tc>
          <w:tcPr>
            <w:tcW w:w="6884"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17BAF089"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Total Inversión</w:t>
            </w:r>
          </w:p>
        </w:tc>
        <w:tc>
          <w:tcPr>
            <w:tcW w:w="1125" w:type="dxa"/>
            <w:tcBorders>
              <w:top w:val="nil"/>
              <w:left w:val="nil"/>
              <w:bottom w:val="single" w:sz="8" w:space="0" w:color="auto"/>
              <w:right w:val="single" w:sz="4" w:space="0" w:color="auto"/>
            </w:tcBorders>
            <w:shd w:val="clear" w:color="000000" w:fill="1F4E78"/>
            <w:noWrap/>
            <w:vAlign w:val="center"/>
            <w:hideMark/>
          </w:tcPr>
          <w:p w14:paraId="79AA6925" w14:textId="77777777" w:rsidR="00CD5AA1" w:rsidRPr="00CD5AA1" w:rsidRDefault="00CD5AA1" w:rsidP="002D3798">
            <w:pPr>
              <w:spacing w:after="0" w:line="240" w:lineRule="auto"/>
              <w:jc w:val="right"/>
              <w:rPr>
                <w:rFonts w:ascii="Arial" w:eastAsia="Times New Roman" w:hAnsi="Arial" w:cs="Arial"/>
                <w:b/>
                <w:bCs/>
                <w:color w:val="FFFFFF" w:themeColor="background1"/>
                <w:lang w:eastAsia="es-CO"/>
              </w:rPr>
            </w:pPr>
            <w:r w:rsidRPr="00CD5AA1">
              <w:rPr>
                <w:rFonts w:ascii="Arial" w:eastAsia="Times New Roman" w:hAnsi="Arial" w:cs="Arial"/>
                <w:b/>
                <w:bCs/>
                <w:color w:val="FFFFFF" w:themeColor="background1"/>
                <w:lang w:eastAsia="es-CO"/>
              </w:rPr>
              <w:t xml:space="preserve"> $9.686</w:t>
            </w:r>
          </w:p>
        </w:tc>
        <w:tc>
          <w:tcPr>
            <w:tcW w:w="1407" w:type="dxa"/>
            <w:tcBorders>
              <w:top w:val="nil"/>
              <w:left w:val="nil"/>
              <w:bottom w:val="single" w:sz="8" w:space="0" w:color="auto"/>
              <w:right w:val="single" w:sz="4" w:space="0" w:color="auto"/>
            </w:tcBorders>
            <w:shd w:val="clear" w:color="000000" w:fill="1F4E78"/>
            <w:noWrap/>
            <w:vAlign w:val="center"/>
            <w:hideMark/>
          </w:tcPr>
          <w:p w14:paraId="1990A52F"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themeColor="background1"/>
                <w:lang w:eastAsia="es-CO"/>
              </w:rPr>
              <w:t xml:space="preserve"> $11.027</w:t>
            </w:r>
          </w:p>
        </w:tc>
      </w:tr>
    </w:tbl>
    <w:p w14:paraId="7EECA5F3" w14:textId="77777777" w:rsidR="00C02282" w:rsidRPr="00CD5AA1" w:rsidRDefault="00C02282" w:rsidP="00C02282">
      <w:pPr>
        <w:spacing w:after="0" w:line="240" w:lineRule="auto"/>
        <w:jc w:val="center"/>
        <w:rPr>
          <w:rFonts w:ascii="Arial" w:eastAsia="Calibri" w:hAnsi="Arial" w:cs="Arial"/>
          <w:sz w:val="16"/>
          <w:szCs w:val="16"/>
        </w:rPr>
      </w:pPr>
      <w:r w:rsidRPr="00CD5AA1">
        <w:rPr>
          <w:rFonts w:ascii="Arial" w:hAnsi="Arial" w:cs="Arial"/>
          <w:sz w:val="16"/>
          <w:szCs w:val="16"/>
          <w:lang w:eastAsia="es-ES"/>
        </w:rPr>
        <w:t>Millones de pesos</w:t>
      </w:r>
    </w:p>
    <w:p w14:paraId="57A74A2C" w14:textId="77777777" w:rsidR="00C02282" w:rsidRPr="00CD5AA1" w:rsidRDefault="00C02282" w:rsidP="00C02282">
      <w:pPr>
        <w:jc w:val="center"/>
        <w:rPr>
          <w:rFonts w:ascii="Arial" w:eastAsia="Calibri" w:hAnsi="Arial" w:cs="Arial"/>
          <w:sz w:val="16"/>
          <w:szCs w:val="16"/>
        </w:rPr>
      </w:pPr>
      <w:r w:rsidRPr="00CD5AA1">
        <w:rPr>
          <w:rFonts w:ascii="Calibri" w:hAnsi="Calibri" w:cs="Calibri"/>
          <w:sz w:val="18"/>
          <w:szCs w:val="18"/>
        </w:rPr>
        <w:t xml:space="preserve">Fuente: </w:t>
      </w:r>
      <w:r w:rsidRPr="00CD5AA1">
        <w:rPr>
          <w:rFonts w:ascii="Arial" w:eastAsia="Calibri" w:hAnsi="Arial" w:cs="Arial"/>
          <w:sz w:val="16"/>
          <w:szCs w:val="16"/>
        </w:rPr>
        <w:t>S</w:t>
      </w:r>
      <w:r w:rsidRPr="00CD5AA1">
        <w:rPr>
          <w:rFonts w:ascii="Arial" w:eastAsia="Calibri" w:hAnsi="Arial" w:cs="Arial"/>
          <w:sz w:val="16"/>
          <w:szCs w:val="16"/>
        </w:rPr>
        <w:tab/>
        <w:t>IIF Nación</w:t>
      </w:r>
      <w:r w:rsidRPr="00CD5AA1">
        <w:rPr>
          <w:rFonts w:ascii="Calibri" w:hAnsi="Calibri" w:cs="Calibri"/>
          <w:sz w:val="18"/>
          <w:szCs w:val="18"/>
        </w:rPr>
        <w:t xml:space="preserve"> </w:t>
      </w:r>
      <w:r w:rsidRPr="00CD5AA1">
        <w:rPr>
          <w:rFonts w:ascii="Arial" w:eastAsia="Calibri" w:hAnsi="Arial" w:cs="Arial"/>
          <w:sz w:val="16"/>
          <w:szCs w:val="16"/>
        </w:rPr>
        <w:t>SGC</w:t>
      </w:r>
    </w:p>
    <w:p w14:paraId="47D54D3B" w14:textId="77777777" w:rsidR="00C02282" w:rsidRPr="00CD5AA1" w:rsidRDefault="00C02282" w:rsidP="00055F7C">
      <w:pPr>
        <w:pStyle w:val="Ttulo1"/>
        <w:numPr>
          <w:ilvl w:val="0"/>
          <w:numId w:val="12"/>
        </w:numPr>
        <w:rPr>
          <w:rFonts w:ascii="Arial" w:eastAsia="Arial" w:hAnsi="Arial" w:cs="Arial"/>
          <w:b/>
          <w:color w:val="auto"/>
          <w:sz w:val="22"/>
          <w:szCs w:val="22"/>
          <w:lang w:eastAsia="es-CO"/>
        </w:rPr>
      </w:pPr>
      <w:bookmarkStart w:id="203" w:name="_Toc514693350"/>
      <w:bookmarkStart w:id="204" w:name="_Toc525652052"/>
      <w:r w:rsidRPr="00CD5AA1">
        <w:rPr>
          <w:rFonts w:ascii="Arial" w:eastAsia="Arial" w:hAnsi="Arial" w:cs="Arial"/>
          <w:b/>
          <w:color w:val="auto"/>
          <w:sz w:val="22"/>
          <w:szCs w:val="22"/>
          <w:lang w:eastAsia="es-CO"/>
        </w:rPr>
        <w:t>INGRESOS Y GASTOS DEL SGC</w:t>
      </w:r>
      <w:bookmarkEnd w:id="203"/>
      <w:bookmarkEnd w:id="204"/>
    </w:p>
    <w:p w14:paraId="5D00A2B4" w14:textId="77777777" w:rsidR="00C02282" w:rsidRPr="00CD5AA1" w:rsidRDefault="00C02282" w:rsidP="00C02282">
      <w:pPr>
        <w:spacing w:after="0" w:line="240" w:lineRule="auto"/>
        <w:rPr>
          <w:rFonts w:ascii="Arial" w:eastAsia="Calibri" w:hAnsi="Arial" w:cs="Arial"/>
        </w:rPr>
      </w:pPr>
    </w:p>
    <w:p w14:paraId="7C6EBE29" w14:textId="77777777" w:rsidR="00C02282" w:rsidRPr="00CD5AA1" w:rsidRDefault="00C02282" w:rsidP="00C02282">
      <w:pPr>
        <w:pStyle w:val="Ttulo2"/>
        <w:rPr>
          <w:rFonts w:ascii="Arial" w:eastAsia="Calibri" w:hAnsi="Arial" w:cs="Arial"/>
          <w:color w:val="auto"/>
          <w:sz w:val="22"/>
          <w:szCs w:val="22"/>
        </w:rPr>
      </w:pPr>
      <w:bookmarkStart w:id="205" w:name="_Toc514693351"/>
      <w:bookmarkStart w:id="206" w:name="_Toc525652053"/>
      <w:r w:rsidRPr="00CD5AA1">
        <w:rPr>
          <w:rFonts w:ascii="Arial" w:eastAsia="Calibri" w:hAnsi="Arial" w:cs="Arial"/>
          <w:color w:val="auto"/>
          <w:sz w:val="22"/>
          <w:szCs w:val="22"/>
        </w:rPr>
        <w:t>2.1. Ingresos</w:t>
      </w:r>
      <w:bookmarkEnd w:id="205"/>
      <w:r w:rsidRPr="00CD5AA1">
        <w:rPr>
          <w:rFonts w:ascii="Arial" w:eastAsia="Calibri" w:hAnsi="Arial" w:cs="Arial"/>
          <w:color w:val="auto"/>
          <w:sz w:val="22"/>
          <w:szCs w:val="22"/>
        </w:rPr>
        <w:t xml:space="preserve"> SGC</w:t>
      </w:r>
      <w:bookmarkEnd w:id="206"/>
    </w:p>
    <w:p w14:paraId="3F8224E1" w14:textId="77777777" w:rsidR="00C02282" w:rsidRPr="006A67B4" w:rsidRDefault="00C02282" w:rsidP="00C02282">
      <w:pPr>
        <w:rPr>
          <w:highlight w:val="yellow"/>
        </w:rPr>
      </w:pPr>
    </w:p>
    <w:p w14:paraId="7A10AD12" w14:textId="77777777" w:rsidR="00CD5AA1" w:rsidRPr="00FA1202" w:rsidRDefault="00CD5AA1" w:rsidP="00CD5AA1">
      <w:pPr>
        <w:spacing w:after="0" w:line="240" w:lineRule="auto"/>
        <w:jc w:val="both"/>
        <w:rPr>
          <w:rFonts w:ascii="Arial" w:eastAsia="Times New Roman" w:hAnsi="Arial" w:cs="Arial"/>
        </w:rPr>
      </w:pPr>
      <w:r w:rsidRPr="00FA1202">
        <w:rPr>
          <w:rFonts w:ascii="Arial" w:eastAsia="Times New Roman" w:hAnsi="Arial" w:cs="Arial"/>
        </w:rPr>
        <w:t>Los ingresos aforados según Decreto de liquidación para el 2018 fueron de $7.159 millones, por concepto de ingresos corrientes de la actividad de operaciones comerciales. Sin embargo, el Servicio Geológico Colombiano recibe ingresos por concepto de la venta de bienes y servicios, aportes de otras entidades, tasas, multas y contribuciones y otros ingresos, los cuales no tienen un aforo inicial por parte del Ministerio de Hacienda y Crédito Público.</w:t>
      </w:r>
    </w:p>
    <w:p w14:paraId="6CCC80B9" w14:textId="77777777" w:rsidR="00CD5AA1" w:rsidRPr="00FA1202" w:rsidRDefault="00CD5AA1" w:rsidP="00CD5AA1">
      <w:pPr>
        <w:spacing w:after="0" w:line="240" w:lineRule="auto"/>
        <w:jc w:val="both"/>
        <w:rPr>
          <w:rFonts w:ascii="Arial" w:eastAsia="Times New Roman" w:hAnsi="Arial" w:cs="Arial"/>
        </w:rPr>
      </w:pPr>
    </w:p>
    <w:p w14:paraId="7C733CB4" w14:textId="77777777" w:rsidR="00CD5AA1" w:rsidRDefault="00CD5AA1" w:rsidP="00CD5AA1">
      <w:pPr>
        <w:spacing w:after="0" w:line="240" w:lineRule="auto"/>
        <w:jc w:val="both"/>
        <w:rPr>
          <w:rFonts w:ascii="Arial" w:hAnsi="Arial" w:cs="Arial"/>
        </w:rPr>
      </w:pPr>
      <w:r w:rsidRPr="00FA1202">
        <w:rPr>
          <w:rFonts w:ascii="Arial" w:hAnsi="Arial" w:cs="Arial"/>
        </w:rPr>
        <w:t>Mediante el Acuerdos 001 y Acuerdo 002 ambos de 2018, se incorporaron $1.500 millones y $541millones, por el rubro de 3-1-2-6-1-1 APOYO A PROGRAMAS DE INVERSION, provenientes del convenio interadministrativo suscritos con el Ministerio de Minas y Energía e IGAC, más un aporte por convenio internacional con FORAM de $9 millones para un total aforado de 9.200 millones.</w:t>
      </w:r>
    </w:p>
    <w:p w14:paraId="6BECBD33" w14:textId="0A1A1242" w:rsidR="00CD5AA1" w:rsidRDefault="00CD5AA1" w:rsidP="00CD5AA1">
      <w:pPr>
        <w:spacing w:after="0" w:line="240" w:lineRule="auto"/>
        <w:jc w:val="both"/>
        <w:rPr>
          <w:rFonts w:ascii="Arial" w:hAnsi="Arial" w:cs="Arial"/>
        </w:rPr>
      </w:pPr>
    </w:p>
    <w:p w14:paraId="253B1DEF" w14:textId="77777777" w:rsidR="00576641" w:rsidRDefault="00576641" w:rsidP="00CD5AA1">
      <w:pPr>
        <w:spacing w:after="0" w:line="240" w:lineRule="auto"/>
        <w:jc w:val="both"/>
        <w:rPr>
          <w:rFonts w:ascii="Arial" w:hAnsi="Arial" w:cs="Arial"/>
        </w:rPr>
      </w:pPr>
    </w:p>
    <w:p w14:paraId="30AC8394" w14:textId="77777777" w:rsidR="00C02282" w:rsidRPr="00CD5AA1" w:rsidRDefault="00C02282" w:rsidP="00C02282">
      <w:pPr>
        <w:pStyle w:val="Descripcin"/>
        <w:keepNext/>
        <w:jc w:val="center"/>
      </w:pPr>
      <w:bookmarkStart w:id="207" w:name="_Toc525652547"/>
      <w:r w:rsidRPr="00CD5AA1">
        <w:lastRenderedPageBreak/>
        <w:t xml:space="preserve">Tabla </w:t>
      </w:r>
      <w:r w:rsidRPr="00CD5AA1">
        <w:fldChar w:fldCharType="begin"/>
      </w:r>
      <w:r w:rsidRPr="00CD5AA1">
        <w:instrText xml:space="preserve"> SEQ Tabla \* ARABIC </w:instrText>
      </w:r>
      <w:r w:rsidRPr="00CD5AA1">
        <w:fldChar w:fldCharType="separate"/>
      </w:r>
      <w:r w:rsidR="008B4625">
        <w:rPr>
          <w:noProof/>
        </w:rPr>
        <w:t>102</w:t>
      </w:r>
      <w:r w:rsidRPr="00CD5AA1">
        <w:fldChar w:fldCharType="end"/>
      </w:r>
      <w:r w:rsidRPr="00CD5AA1">
        <w:t xml:space="preserve"> Ingresos SGC</w:t>
      </w:r>
      <w:bookmarkEnd w:id="207"/>
    </w:p>
    <w:tbl>
      <w:tblPr>
        <w:tblW w:w="9545" w:type="dxa"/>
        <w:tblCellMar>
          <w:left w:w="70" w:type="dxa"/>
          <w:right w:w="70" w:type="dxa"/>
        </w:tblCellMar>
        <w:tblLook w:val="04A0" w:firstRow="1" w:lastRow="0" w:firstColumn="1" w:lastColumn="0" w:noHBand="0" w:noVBand="1"/>
      </w:tblPr>
      <w:tblGrid>
        <w:gridCol w:w="3392"/>
        <w:gridCol w:w="2268"/>
        <w:gridCol w:w="2287"/>
        <w:gridCol w:w="1598"/>
      </w:tblGrid>
      <w:tr w:rsidR="00CD5AA1" w:rsidRPr="00FA1202" w14:paraId="4CF3C36D" w14:textId="77777777" w:rsidTr="002D3798">
        <w:trPr>
          <w:trHeight w:val="938"/>
        </w:trPr>
        <w:tc>
          <w:tcPr>
            <w:tcW w:w="3392"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0091A6D4" w14:textId="77777777" w:rsidR="00CD5AA1" w:rsidRPr="00FA1202" w:rsidRDefault="00CD5AA1" w:rsidP="002D3798">
            <w:pPr>
              <w:spacing w:after="0" w:line="240" w:lineRule="auto"/>
              <w:jc w:val="center"/>
              <w:rPr>
                <w:rFonts w:ascii="Arial" w:eastAsia="Times New Roman" w:hAnsi="Arial" w:cs="Arial"/>
                <w:b/>
                <w:bCs/>
                <w:color w:val="FFFFFF"/>
                <w:lang w:eastAsia="es-CO"/>
              </w:rPr>
            </w:pPr>
            <w:r w:rsidRPr="00FA1202">
              <w:rPr>
                <w:rFonts w:ascii="Arial" w:eastAsia="Times New Roman" w:hAnsi="Arial" w:cs="Arial"/>
                <w:b/>
                <w:bCs/>
                <w:color w:val="FFFFFF"/>
                <w:lang w:eastAsia="es-CO"/>
              </w:rPr>
              <w:t>Concepto</w:t>
            </w:r>
          </w:p>
        </w:tc>
        <w:tc>
          <w:tcPr>
            <w:tcW w:w="2268" w:type="dxa"/>
            <w:tcBorders>
              <w:top w:val="single" w:sz="8" w:space="0" w:color="auto"/>
              <w:left w:val="nil"/>
              <w:bottom w:val="single" w:sz="8" w:space="0" w:color="auto"/>
              <w:right w:val="single" w:sz="4" w:space="0" w:color="auto"/>
            </w:tcBorders>
            <w:shd w:val="clear" w:color="000000" w:fill="1F4E78"/>
            <w:vAlign w:val="center"/>
            <w:hideMark/>
          </w:tcPr>
          <w:p w14:paraId="6EB9B302" w14:textId="77777777" w:rsidR="00CD5AA1" w:rsidRPr="00FA1202" w:rsidRDefault="00CD5AA1" w:rsidP="002D3798">
            <w:pPr>
              <w:spacing w:after="0" w:line="240" w:lineRule="auto"/>
              <w:jc w:val="center"/>
              <w:rPr>
                <w:rFonts w:ascii="Arial" w:eastAsia="Times New Roman" w:hAnsi="Arial" w:cs="Arial"/>
                <w:b/>
                <w:bCs/>
                <w:color w:val="FFFFFF"/>
                <w:lang w:eastAsia="es-CO"/>
              </w:rPr>
            </w:pPr>
            <w:r w:rsidRPr="00FA1202">
              <w:rPr>
                <w:rFonts w:ascii="Arial" w:eastAsia="Times New Roman" w:hAnsi="Arial" w:cs="Arial"/>
                <w:b/>
                <w:bCs/>
                <w:color w:val="FFFFFF" w:themeColor="background1"/>
              </w:rPr>
              <w:t>Aforo Vigente 2018</w:t>
            </w:r>
          </w:p>
        </w:tc>
        <w:tc>
          <w:tcPr>
            <w:tcW w:w="2287" w:type="dxa"/>
            <w:tcBorders>
              <w:top w:val="single" w:sz="8" w:space="0" w:color="auto"/>
              <w:left w:val="nil"/>
              <w:bottom w:val="single" w:sz="8" w:space="0" w:color="auto"/>
              <w:right w:val="single" w:sz="8" w:space="0" w:color="auto"/>
            </w:tcBorders>
            <w:shd w:val="clear" w:color="000000" w:fill="1F4E78"/>
            <w:vAlign w:val="center"/>
            <w:hideMark/>
          </w:tcPr>
          <w:p w14:paraId="65154312" w14:textId="77777777" w:rsidR="00CD5AA1" w:rsidRPr="00FA1202" w:rsidRDefault="00CD5AA1" w:rsidP="002D3798">
            <w:pPr>
              <w:spacing w:after="0" w:line="240" w:lineRule="auto"/>
              <w:jc w:val="center"/>
              <w:rPr>
                <w:rFonts w:ascii="Arial" w:eastAsia="Times New Roman" w:hAnsi="Arial" w:cs="Arial"/>
                <w:b/>
                <w:bCs/>
                <w:color w:val="FFFFFF"/>
                <w:lang w:eastAsia="es-CO"/>
              </w:rPr>
            </w:pPr>
            <w:r w:rsidRPr="00FA1202">
              <w:rPr>
                <w:rFonts w:ascii="Arial" w:eastAsia="Times New Roman" w:hAnsi="Arial" w:cs="Arial"/>
                <w:b/>
                <w:bCs/>
                <w:color w:val="FFFFFF" w:themeColor="background1"/>
              </w:rPr>
              <w:t>Recaudo Segundo Trimestre 2018</w:t>
            </w:r>
          </w:p>
        </w:tc>
        <w:tc>
          <w:tcPr>
            <w:tcW w:w="1598" w:type="dxa"/>
            <w:tcBorders>
              <w:top w:val="single" w:sz="8" w:space="0" w:color="auto"/>
              <w:left w:val="nil"/>
              <w:bottom w:val="single" w:sz="8" w:space="0" w:color="auto"/>
              <w:right w:val="single" w:sz="8" w:space="0" w:color="auto"/>
            </w:tcBorders>
            <w:shd w:val="clear" w:color="000000" w:fill="1F4E78"/>
          </w:tcPr>
          <w:p w14:paraId="7BBAEBC4" w14:textId="77777777" w:rsidR="00CD5AA1" w:rsidRPr="00FA1202" w:rsidRDefault="00CD5AA1" w:rsidP="002D3798">
            <w:pPr>
              <w:spacing w:after="0" w:line="240" w:lineRule="auto"/>
              <w:jc w:val="center"/>
              <w:rPr>
                <w:rFonts w:ascii="Arial" w:eastAsia="Times New Roman" w:hAnsi="Arial" w:cs="Arial"/>
                <w:b/>
                <w:bCs/>
                <w:color w:val="FFFFFF" w:themeColor="background1"/>
              </w:rPr>
            </w:pPr>
            <w:r w:rsidRPr="00FA1202">
              <w:rPr>
                <w:rFonts w:ascii="Arial" w:eastAsia="Times New Roman" w:hAnsi="Arial" w:cs="Arial"/>
                <w:b/>
                <w:bCs/>
                <w:color w:val="FFFFFF" w:themeColor="background1"/>
              </w:rPr>
              <w:t>% Cuarto trimestre 2018</w:t>
            </w:r>
          </w:p>
        </w:tc>
      </w:tr>
      <w:tr w:rsidR="00CD5AA1" w:rsidRPr="00FA1202" w14:paraId="604B1E04" w14:textId="77777777" w:rsidTr="002D3798">
        <w:trPr>
          <w:trHeight w:val="307"/>
        </w:trPr>
        <w:tc>
          <w:tcPr>
            <w:tcW w:w="3392" w:type="dxa"/>
            <w:tcBorders>
              <w:top w:val="nil"/>
              <w:left w:val="single" w:sz="8" w:space="0" w:color="auto"/>
              <w:bottom w:val="single" w:sz="4" w:space="0" w:color="auto"/>
              <w:right w:val="single" w:sz="4" w:space="0" w:color="auto"/>
            </w:tcBorders>
            <w:shd w:val="clear" w:color="auto" w:fill="auto"/>
            <w:noWrap/>
            <w:vAlign w:val="center"/>
          </w:tcPr>
          <w:p w14:paraId="3E9D04CA" w14:textId="77777777" w:rsidR="00CD5AA1" w:rsidRPr="00FA1202" w:rsidRDefault="00CD5AA1" w:rsidP="002D3798">
            <w:pPr>
              <w:spacing w:after="0" w:line="240" w:lineRule="auto"/>
              <w:jc w:val="center"/>
              <w:rPr>
                <w:rFonts w:ascii="Arial" w:eastAsia="Times New Roman" w:hAnsi="Arial" w:cs="Arial"/>
                <w:lang w:eastAsia="es-CO"/>
              </w:rPr>
            </w:pPr>
            <w:r w:rsidRPr="00FA1202">
              <w:rPr>
                <w:rFonts w:ascii="Arial" w:eastAsia="Times New Roman" w:hAnsi="Arial" w:cs="Arial"/>
                <w:color w:val="000000"/>
              </w:rPr>
              <w:t>A- INGRESOS CORRIENTES</w:t>
            </w:r>
          </w:p>
        </w:tc>
        <w:tc>
          <w:tcPr>
            <w:tcW w:w="2268" w:type="dxa"/>
            <w:tcBorders>
              <w:top w:val="nil"/>
              <w:left w:val="nil"/>
              <w:bottom w:val="nil"/>
              <w:right w:val="single" w:sz="4" w:space="0" w:color="auto"/>
            </w:tcBorders>
            <w:shd w:val="clear" w:color="000000" w:fill="FFFFFF"/>
            <w:noWrap/>
            <w:vAlign w:val="center"/>
          </w:tcPr>
          <w:p w14:paraId="28CD8B35" w14:textId="77777777" w:rsidR="00CD5AA1" w:rsidRPr="00FA1202" w:rsidRDefault="00CD5AA1" w:rsidP="002D3798">
            <w:pPr>
              <w:spacing w:after="0" w:line="240" w:lineRule="auto"/>
              <w:jc w:val="right"/>
              <w:rPr>
                <w:rFonts w:ascii="Arial" w:eastAsia="Times New Roman" w:hAnsi="Arial" w:cs="Arial"/>
                <w:lang w:eastAsia="es-CO"/>
              </w:rPr>
            </w:pPr>
            <w:r w:rsidRPr="00FA1202">
              <w:rPr>
                <w:rFonts w:ascii="Arial" w:eastAsia="Times New Roman" w:hAnsi="Arial" w:cs="Arial"/>
                <w:color w:val="000000"/>
              </w:rPr>
              <w:t xml:space="preserve">    $9.200</w:t>
            </w:r>
          </w:p>
        </w:tc>
        <w:tc>
          <w:tcPr>
            <w:tcW w:w="2287" w:type="dxa"/>
            <w:tcBorders>
              <w:top w:val="nil"/>
              <w:left w:val="nil"/>
              <w:bottom w:val="single" w:sz="4" w:space="0" w:color="auto"/>
              <w:right w:val="single" w:sz="8" w:space="0" w:color="auto"/>
            </w:tcBorders>
            <w:shd w:val="clear" w:color="auto" w:fill="auto"/>
            <w:noWrap/>
            <w:vAlign w:val="center"/>
          </w:tcPr>
          <w:p w14:paraId="70623137" w14:textId="77777777" w:rsidR="00CD5AA1" w:rsidRPr="00FA1202" w:rsidRDefault="00CD5AA1" w:rsidP="002D3798">
            <w:pPr>
              <w:spacing w:after="0" w:line="240" w:lineRule="auto"/>
              <w:jc w:val="right"/>
              <w:rPr>
                <w:rFonts w:ascii="Arial" w:eastAsia="Times New Roman" w:hAnsi="Arial" w:cs="Arial"/>
                <w:color w:val="FF0000"/>
                <w:lang w:eastAsia="es-CO"/>
              </w:rPr>
            </w:pPr>
            <w:r w:rsidRPr="00FA1202">
              <w:rPr>
                <w:rFonts w:ascii="Arial" w:eastAsia="Times New Roman" w:hAnsi="Arial" w:cs="Arial"/>
              </w:rPr>
              <w:t>$4.170</w:t>
            </w:r>
          </w:p>
        </w:tc>
        <w:tc>
          <w:tcPr>
            <w:tcW w:w="1598" w:type="dxa"/>
            <w:tcBorders>
              <w:top w:val="nil"/>
              <w:left w:val="nil"/>
              <w:bottom w:val="single" w:sz="4" w:space="0" w:color="auto"/>
              <w:right w:val="single" w:sz="8" w:space="0" w:color="auto"/>
            </w:tcBorders>
            <w:vAlign w:val="center"/>
          </w:tcPr>
          <w:p w14:paraId="0206F755" w14:textId="77777777" w:rsidR="00CD5AA1" w:rsidRPr="00FA1202" w:rsidRDefault="00CD5AA1" w:rsidP="002D3798">
            <w:pPr>
              <w:spacing w:after="0" w:line="240" w:lineRule="auto"/>
              <w:jc w:val="right"/>
              <w:rPr>
                <w:rFonts w:ascii="Arial" w:eastAsia="Times New Roman" w:hAnsi="Arial" w:cs="Arial"/>
                <w:lang w:eastAsia="es-CO"/>
              </w:rPr>
            </w:pPr>
            <w:r w:rsidRPr="00FA1202">
              <w:rPr>
                <w:rFonts w:ascii="Arial" w:eastAsia="Times New Roman" w:hAnsi="Arial" w:cs="Arial"/>
              </w:rPr>
              <w:t>45.33%</w:t>
            </w:r>
          </w:p>
        </w:tc>
      </w:tr>
      <w:tr w:rsidR="00CD5AA1" w:rsidRPr="00FA1202" w14:paraId="670D9527" w14:textId="77777777" w:rsidTr="002D3798">
        <w:trPr>
          <w:trHeight w:val="307"/>
        </w:trPr>
        <w:tc>
          <w:tcPr>
            <w:tcW w:w="3392" w:type="dxa"/>
            <w:tcBorders>
              <w:top w:val="nil"/>
              <w:left w:val="single" w:sz="8" w:space="0" w:color="auto"/>
              <w:bottom w:val="single" w:sz="4" w:space="0" w:color="auto"/>
              <w:right w:val="single" w:sz="4" w:space="0" w:color="auto"/>
            </w:tcBorders>
            <w:shd w:val="clear" w:color="auto" w:fill="auto"/>
            <w:noWrap/>
            <w:vAlign w:val="center"/>
          </w:tcPr>
          <w:p w14:paraId="3CCB6AC1" w14:textId="77777777" w:rsidR="00CD5AA1" w:rsidRPr="00FA1202" w:rsidRDefault="00CD5AA1" w:rsidP="002D3798">
            <w:pPr>
              <w:spacing w:after="0" w:line="240" w:lineRule="auto"/>
              <w:jc w:val="center"/>
              <w:rPr>
                <w:rFonts w:ascii="Arial" w:eastAsia="Times New Roman" w:hAnsi="Arial" w:cs="Arial"/>
                <w:lang w:eastAsia="es-CO"/>
              </w:rPr>
            </w:pPr>
            <w:r w:rsidRPr="00FA1202">
              <w:rPr>
                <w:rFonts w:ascii="Arial" w:eastAsia="Times New Roman" w:hAnsi="Arial" w:cs="Arial"/>
                <w:color w:val="000000"/>
              </w:rPr>
              <w:t>B- RECURSOS DE CAPITAL</w:t>
            </w:r>
          </w:p>
        </w:tc>
        <w:tc>
          <w:tcPr>
            <w:tcW w:w="2268" w:type="dxa"/>
            <w:tcBorders>
              <w:top w:val="single" w:sz="4" w:space="0" w:color="auto"/>
              <w:left w:val="nil"/>
              <w:bottom w:val="nil"/>
              <w:right w:val="single" w:sz="4" w:space="0" w:color="auto"/>
            </w:tcBorders>
            <w:shd w:val="clear" w:color="000000" w:fill="FFFFFF"/>
            <w:noWrap/>
            <w:vAlign w:val="center"/>
          </w:tcPr>
          <w:p w14:paraId="62CB3CC9" w14:textId="77777777" w:rsidR="00CD5AA1" w:rsidRPr="00FA1202" w:rsidRDefault="00CD5AA1" w:rsidP="002D3798">
            <w:pPr>
              <w:spacing w:after="0" w:line="240" w:lineRule="auto"/>
              <w:jc w:val="right"/>
              <w:rPr>
                <w:rFonts w:ascii="Arial" w:eastAsia="Times New Roman" w:hAnsi="Arial" w:cs="Arial"/>
                <w:lang w:eastAsia="es-CO"/>
              </w:rPr>
            </w:pPr>
            <w:r w:rsidRPr="00FA1202">
              <w:rPr>
                <w:rFonts w:ascii="Arial" w:eastAsia="Times New Roman" w:hAnsi="Arial" w:cs="Arial"/>
                <w:color w:val="000000"/>
              </w:rPr>
              <w:t>-0-</w:t>
            </w:r>
          </w:p>
        </w:tc>
        <w:tc>
          <w:tcPr>
            <w:tcW w:w="2287" w:type="dxa"/>
            <w:tcBorders>
              <w:top w:val="nil"/>
              <w:left w:val="nil"/>
              <w:bottom w:val="single" w:sz="4" w:space="0" w:color="auto"/>
              <w:right w:val="single" w:sz="8" w:space="0" w:color="auto"/>
            </w:tcBorders>
            <w:shd w:val="clear" w:color="auto" w:fill="auto"/>
            <w:noWrap/>
            <w:vAlign w:val="center"/>
          </w:tcPr>
          <w:p w14:paraId="29E7E095" w14:textId="77777777" w:rsidR="00CD5AA1" w:rsidRPr="00FA1202" w:rsidRDefault="00CD5AA1" w:rsidP="002D3798">
            <w:pPr>
              <w:spacing w:after="0" w:line="240" w:lineRule="auto"/>
              <w:jc w:val="right"/>
              <w:rPr>
                <w:rFonts w:ascii="Arial" w:eastAsia="Times New Roman" w:hAnsi="Arial" w:cs="Arial"/>
                <w:lang w:eastAsia="es-CO"/>
              </w:rPr>
            </w:pPr>
            <w:r w:rsidRPr="00FA1202">
              <w:rPr>
                <w:rFonts w:ascii="Arial" w:eastAsia="Times New Roman" w:hAnsi="Arial" w:cs="Arial"/>
                <w:color w:val="000000"/>
              </w:rPr>
              <w:t>-0-</w:t>
            </w:r>
          </w:p>
        </w:tc>
        <w:tc>
          <w:tcPr>
            <w:tcW w:w="1598" w:type="dxa"/>
            <w:tcBorders>
              <w:top w:val="nil"/>
              <w:left w:val="nil"/>
              <w:bottom w:val="single" w:sz="4" w:space="0" w:color="auto"/>
              <w:right w:val="single" w:sz="8" w:space="0" w:color="auto"/>
            </w:tcBorders>
            <w:vAlign w:val="center"/>
          </w:tcPr>
          <w:p w14:paraId="3F9F8DBE" w14:textId="77777777" w:rsidR="00CD5AA1" w:rsidRPr="00FA1202" w:rsidRDefault="00CD5AA1" w:rsidP="002D3798">
            <w:pPr>
              <w:spacing w:after="0" w:line="240" w:lineRule="auto"/>
              <w:jc w:val="right"/>
              <w:rPr>
                <w:rFonts w:ascii="Arial" w:eastAsia="Times New Roman" w:hAnsi="Arial" w:cs="Arial"/>
                <w:lang w:eastAsia="es-CO"/>
              </w:rPr>
            </w:pPr>
          </w:p>
        </w:tc>
      </w:tr>
      <w:tr w:rsidR="00CD5AA1" w:rsidRPr="00FA1202" w14:paraId="765B24FF" w14:textId="77777777" w:rsidTr="002D3798">
        <w:trPr>
          <w:trHeight w:val="338"/>
        </w:trPr>
        <w:tc>
          <w:tcPr>
            <w:tcW w:w="3392" w:type="dxa"/>
            <w:tcBorders>
              <w:top w:val="nil"/>
              <w:left w:val="single" w:sz="8" w:space="0" w:color="auto"/>
              <w:bottom w:val="single" w:sz="8" w:space="0" w:color="auto"/>
              <w:right w:val="single" w:sz="4" w:space="0" w:color="auto"/>
            </w:tcBorders>
            <w:shd w:val="clear" w:color="000000" w:fill="1F4E78"/>
            <w:vAlign w:val="center"/>
          </w:tcPr>
          <w:p w14:paraId="0F1FDEED" w14:textId="77777777" w:rsidR="00CD5AA1" w:rsidRPr="00FA1202" w:rsidRDefault="00CD5AA1" w:rsidP="002D3798">
            <w:pPr>
              <w:spacing w:after="0" w:line="240" w:lineRule="auto"/>
              <w:jc w:val="center"/>
              <w:rPr>
                <w:rFonts w:ascii="Arial" w:eastAsia="Times New Roman" w:hAnsi="Arial" w:cs="Arial"/>
                <w:b/>
                <w:bCs/>
                <w:color w:val="FFFFFF" w:themeColor="background1"/>
                <w:lang w:eastAsia="es-CO"/>
              </w:rPr>
            </w:pPr>
            <w:r w:rsidRPr="00FA1202">
              <w:rPr>
                <w:rFonts w:ascii="Arial" w:eastAsia="Times New Roman" w:hAnsi="Arial" w:cs="Arial"/>
                <w:b/>
                <w:color w:val="FFFFFF" w:themeColor="background1"/>
              </w:rPr>
              <w:t>TOTAL</w:t>
            </w:r>
          </w:p>
        </w:tc>
        <w:tc>
          <w:tcPr>
            <w:tcW w:w="2268" w:type="dxa"/>
            <w:tcBorders>
              <w:top w:val="nil"/>
              <w:left w:val="nil"/>
              <w:bottom w:val="single" w:sz="8" w:space="0" w:color="auto"/>
              <w:right w:val="single" w:sz="4" w:space="0" w:color="auto"/>
            </w:tcBorders>
            <w:shd w:val="clear" w:color="000000" w:fill="1F4E78"/>
            <w:noWrap/>
            <w:vAlign w:val="center"/>
          </w:tcPr>
          <w:p w14:paraId="54B7D0D6" w14:textId="77777777" w:rsidR="00CD5AA1" w:rsidRPr="00FA1202" w:rsidRDefault="00CD5AA1" w:rsidP="002D3798">
            <w:pPr>
              <w:spacing w:after="0" w:line="240" w:lineRule="auto"/>
              <w:jc w:val="right"/>
              <w:rPr>
                <w:rFonts w:ascii="Arial" w:eastAsia="Times New Roman" w:hAnsi="Arial" w:cs="Arial"/>
                <w:b/>
                <w:bCs/>
                <w:color w:val="FFFFFF" w:themeColor="background1"/>
                <w:lang w:eastAsia="es-CO"/>
              </w:rPr>
            </w:pPr>
            <w:r w:rsidRPr="00FA1202">
              <w:rPr>
                <w:rFonts w:ascii="Arial" w:eastAsia="Times New Roman" w:hAnsi="Arial" w:cs="Arial"/>
                <w:b/>
                <w:color w:val="FFFFFF" w:themeColor="background1"/>
              </w:rPr>
              <w:t>$9.200</w:t>
            </w:r>
          </w:p>
        </w:tc>
        <w:tc>
          <w:tcPr>
            <w:tcW w:w="2287" w:type="dxa"/>
            <w:tcBorders>
              <w:top w:val="nil"/>
              <w:left w:val="nil"/>
              <w:bottom w:val="single" w:sz="8" w:space="0" w:color="auto"/>
              <w:right w:val="single" w:sz="4" w:space="0" w:color="auto"/>
            </w:tcBorders>
            <w:shd w:val="clear" w:color="000000" w:fill="1F4E78"/>
            <w:noWrap/>
            <w:vAlign w:val="center"/>
          </w:tcPr>
          <w:p w14:paraId="2AD37810" w14:textId="77777777" w:rsidR="00CD5AA1" w:rsidRPr="00FA1202" w:rsidRDefault="00CD5AA1" w:rsidP="002D3798">
            <w:pPr>
              <w:spacing w:after="0" w:line="240" w:lineRule="auto"/>
              <w:jc w:val="right"/>
              <w:rPr>
                <w:rFonts w:ascii="Arial" w:eastAsia="Times New Roman" w:hAnsi="Arial" w:cs="Arial"/>
                <w:b/>
                <w:bCs/>
                <w:color w:val="FFFFFF" w:themeColor="background1"/>
                <w:lang w:eastAsia="es-CO"/>
              </w:rPr>
            </w:pPr>
            <w:r w:rsidRPr="00FA1202">
              <w:rPr>
                <w:rFonts w:ascii="Arial" w:eastAsia="Times New Roman" w:hAnsi="Arial" w:cs="Arial"/>
                <w:b/>
                <w:color w:val="FFFFFF" w:themeColor="background1"/>
              </w:rPr>
              <w:t>$4.170</w:t>
            </w:r>
          </w:p>
        </w:tc>
        <w:tc>
          <w:tcPr>
            <w:tcW w:w="1598" w:type="dxa"/>
            <w:tcBorders>
              <w:top w:val="nil"/>
              <w:left w:val="nil"/>
              <w:bottom w:val="single" w:sz="8" w:space="0" w:color="auto"/>
              <w:right w:val="single" w:sz="4" w:space="0" w:color="auto"/>
            </w:tcBorders>
            <w:shd w:val="clear" w:color="000000" w:fill="1F4E78"/>
          </w:tcPr>
          <w:p w14:paraId="0DB1BAE2" w14:textId="77777777" w:rsidR="00CD5AA1" w:rsidRPr="00FA1202" w:rsidRDefault="00CD5AA1" w:rsidP="002D3798">
            <w:pPr>
              <w:spacing w:after="0" w:line="240" w:lineRule="auto"/>
              <w:jc w:val="right"/>
              <w:rPr>
                <w:rFonts w:ascii="Arial" w:eastAsia="Times New Roman" w:hAnsi="Arial" w:cs="Arial"/>
                <w:b/>
                <w:bCs/>
                <w:color w:val="FFFFFF" w:themeColor="background1"/>
                <w:lang w:eastAsia="es-CO"/>
              </w:rPr>
            </w:pPr>
          </w:p>
        </w:tc>
      </w:tr>
    </w:tbl>
    <w:p w14:paraId="78ECE96F" w14:textId="77777777" w:rsidR="00C02282" w:rsidRPr="00CD5AA1" w:rsidRDefault="00C02282" w:rsidP="00C02282">
      <w:pPr>
        <w:spacing w:after="0" w:line="240" w:lineRule="auto"/>
        <w:jc w:val="center"/>
        <w:rPr>
          <w:rFonts w:ascii="Arial" w:eastAsia="Calibri" w:hAnsi="Arial" w:cs="Arial"/>
          <w:sz w:val="16"/>
          <w:szCs w:val="16"/>
        </w:rPr>
      </w:pPr>
      <w:r w:rsidRPr="00CD5AA1">
        <w:rPr>
          <w:rFonts w:ascii="Arial" w:hAnsi="Arial" w:cs="Arial"/>
          <w:sz w:val="16"/>
          <w:szCs w:val="16"/>
          <w:lang w:eastAsia="es-ES"/>
        </w:rPr>
        <w:t>Millones de pesos</w:t>
      </w:r>
    </w:p>
    <w:p w14:paraId="33C4485A" w14:textId="77777777" w:rsidR="00C02282" w:rsidRPr="00CD5AA1" w:rsidRDefault="00C02282" w:rsidP="00C02282">
      <w:pPr>
        <w:jc w:val="center"/>
        <w:rPr>
          <w:rFonts w:ascii="Arial" w:eastAsia="Calibri" w:hAnsi="Arial" w:cs="Arial"/>
          <w:sz w:val="16"/>
          <w:szCs w:val="16"/>
        </w:rPr>
      </w:pPr>
      <w:r w:rsidRPr="00CD5AA1">
        <w:rPr>
          <w:rFonts w:ascii="Calibri" w:hAnsi="Calibri" w:cs="Calibri"/>
          <w:sz w:val="18"/>
          <w:szCs w:val="18"/>
        </w:rPr>
        <w:t xml:space="preserve">Fuente: </w:t>
      </w:r>
      <w:r w:rsidRPr="00CD5AA1">
        <w:rPr>
          <w:rFonts w:ascii="Arial" w:eastAsia="Calibri" w:hAnsi="Arial" w:cs="Arial"/>
          <w:sz w:val="16"/>
          <w:szCs w:val="16"/>
        </w:rPr>
        <w:t>S</w:t>
      </w:r>
      <w:r w:rsidRPr="00CD5AA1">
        <w:rPr>
          <w:rFonts w:ascii="Arial" w:eastAsia="Calibri" w:hAnsi="Arial" w:cs="Arial"/>
          <w:sz w:val="16"/>
          <w:szCs w:val="16"/>
        </w:rPr>
        <w:tab/>
        <w:t>IIF Nación</w:t>
      </w:r>
      <w:r w:rsidRPr="00CD5AA1">
        <w:rPr>
          <w:rFonts w:ascii="Calibri" w:hAnsi="Calibri" w:cs="Calibri"/>
          <w:sz w:val="18"/>
          <w:szCs w:val="18"/>
        </w:rPr>
        <w:t xml:space="preserve"> </w:t>
      </w:r>
      <w:r w:rsidRPr="00CD5AA1">
        <w:rPr>
          <w:rFonts w:ascii="Arial" w:eastAsia="Calibri" w:hAnsi="Arial" w:cs="Arial"/>
          <w:sz w:val="16"/>
          <w:szCs w:val="16"/>
        </w:rPr>
        <w:t>SGC</w:t>
      </w:r>
    </w:p>
    <w:p w14:paraId="0C18764C" w14:textId="77777777" w:rsidR="00C02282" w:rsidRPr="00CD5AA1" w:rsidRDefault="00C02282" w:rsidP="00C02282">
      <w:pPr>
        <w:jc w:val="both"/>
        <w:rPr>
          <w:rFonts w:ascii="Arial" w:eastAsia="Times New Roman" w:hAnsi="Arial" w:cs="Arial"/>
          <w:b/>
        </w:rPr>
      </w:pPr>
      <w:r w:rsidRPr="00CD5AA1">
        <w:rPr>
          <w:rFonts w:ascii="Arial" w:eastAsia="Times New Roman" w:hAnsi="Arial" w:cs="Arial"/>
          <w:b/>
        </w:rPr>
        <w:t>Ingresos Corrientes:</w:t>
      </w:r>
    </w:p>
    <w:p w14:paraId="57D6DF74" w14:textId="376D68E8" w:rsidR="00CD5AA1" w:rsidRPr="00FA1202" w:rsidRDefault="00576641" w:rsidP="00CD5AA1">
      <w:pPr>
        <w:jc w:val="both"/>
        <w:rPr>
          <w:rFonts w:ascii="Arial" w:eastAsia="Times New Roman" w:hAnsi="Arial" w:cs="Arial"/>
        </w:rPr>
      </w:pPr>
      <w:r w:rsidRPr="00FA1202">
        <w:rPr>
          <w:rFonts w:ascii="Arial" w:eastAsia="Times New Roman" w:hAnsi="Arial" w:cs="Arial"/>
        </w:rPr>
        <w:t>Los ingresos recaudados durante el segundo trimestre del 2018 ascendieron</w:t>
      </w:r>
      <w:r w:rsidR="00CD5AA1" w:rsidRPr="00FA1202">
        <w:rPr>
          <w:rFonts w:ascii="Arial" w:eastAsia="Times New Roman" w:hAnsi="Arial" w:cs="Arial"/>
        </w:rPr>
        <w:t xml:space="preserve"> a $4.170 millones </w:t>
      </w:r>
      <w:r w:rsidRPr="00FA1202">
        <w:rPr>
          <w:rFonts w:ascii="Arial" w:eastAsia="Times New Roman" w:hAnsi="Arial" w:cs="Arial"/>
        </w:rPr>
        <w:t>que corresponde</w:t>
      </w:r>
      <w:r w:rsidR="00CD5AA1" w:rsidRPr="00FA1202">
        <w:rPr>
          <w:rFonts w:ascii="Arial" w:eastAsia="Times New Roman" w:hAnsi="Arial" w:cs="Arial"/>
        </w:rPr>
        <w:t xml:space="preserve"> al 45.33% del aforo vigente de ingresos corrientes, aunque no pertenece al concepto Operaciones Comerciales como quedó aforado.</w:t>
      </w:r>
    </w:p>
    <w:p w14:paraId="6947493E" w14:textId="77777777" w:rsidR="00CD5AA1" w:rsidRPr="00FA1202" w:rsidRDefault="00CD5AA1" w:rsidP="00CD5AA1">
      <w:pPr>
        <w:jc w:val="both"/>
        <w:rPr>
          <w:rFonts w:ascii="Arial" w:eastAsia="Times New Roman" w:hAnsi="Arial" w:cs="Arial"/>
        </w:rPr>
      </w:pPr>
      <w:r w:rsidRPr="00FA1202">
        <w:rPr>
          <w:rFonts w:ascii="Arial" w:eastAsia="Times New Roman" w:hAnsi="Arial" w:cs="Arial"/>
        </w:rPr>
        <w:t>Los recaudos durante el segundo trimestre corresponden a los siguientes rubros:</w:t>
      </w:r>
    </w:p>
    <w:p w14:paraId="6ED1C323" w14:textId="77777777" w:rsidR="00CD5AA1" w:rsidRPr="00FA1202" w:rsidRDefault="00CD5AA1" w:rsidP="00CD5AA1">
      <w:pPr>
        <w:jc w:val="both"/>
        <w:rPr>
          <w:rFonts w:ascii="Arial" w:eastAsia="Times New Roman" w:hAnsi="Arial" w:cs="Arial"/>
        </w:rPr>
      </w:pPr>
      <w:r w:rsidRPr="00FA1202">
        <w:rPr>
          <w:rFonts w:ascii="Arial" w:eastAsia="Times New Roman" w:hAnsi="Arial" w:cs="Arial"/>
        </w:rPr>
        <w:t>Venta de Bienes y Servicios: servicios informáticos, servicios de investigación científica y tecnológica, por $2.300 millones, con una participación en relación al valor recaudado en el trimestre del 55.15%</w:t>
      </w:r>
    </w:p>
    <w:p w14:paraId="0037F9F9" w14:textId="77777777" w:rsidR="00CD5AA1" w:rsidRPr="00FA1202" w:rsidRDefault="00CD5AA1" w:rsidP="00CD5AA1">
      <w:pPr>
        <w:jc w:val="both"/>
        <w:rPr>
          <w:rFonts w:ascii="Arial" w:eastAsia="Times New Roman" w:hAnsi="Arial" w:cs="Arial"/>
          <w:color w:val="FF0000"/>
        </w:rPr>
      </w:pPr>
      <w:r w:rsidRPr="00FA1202">
        <w:rPr>
          <w:rFonts w:ascii="Arial" w:eastAsia="Times New Roman" w:hAnsi="Arial" w:cs="Arial"/>
        </w:rPr>
        <w:t>Aporte de otras Entidades: Apoyo a programas de inversión por valor de $1.509 millones, con una participación del valor recaudado del 36.20%.</w:t>
      </w:r>
    </w:p>
    <w:p w14:paraId="7E7D7A47" w14:textId="77777777" w:rsidR="00CD5AA1" w:rsidRPr="00FA1202" w:rsidRDefault="00CD5AA1" w:rsidP="00CD5AA1">
      <w:pPr>
        <w:jc w:val="both"/>
        <w:rPr>
          <w:rFonts w:ascii="Arial" w:eastAsia="Times New Roman" w:hAnsi="Arial" w:cs="Arial"/>
          <w:color w:val="FF0000"/>
        </w:rPr>
      </w:pPr>
      <w:r w:rsidRPr="00FA1202">
        <w:rPr>
          <w:rFonts w:ascii="Arial" w:eastAsia="Times New Roman" w:hAnsi="Arial" w:cs="Arial"/>
        </w:rPr>
        <w:t>Tasas Multas y Contribuciones: Licencias y multas por valor de $227 millones con una participación en relación al valor recaudado del 5.44%.</w:t>
      </w:r>
    </w:p>
    <w:p w14:paraId="2EC8F82C" w14:textId="77777777" w:rsidR="00CD5AA1" w:rsidRPr="00FA1202" w:rsidRDefault="00CD5AA1" w:rsidP="00CD5AA1">
      <w:pPr>
        <w:spacing w:after="0" w:line="240" w:lineRule="auto"/>
        <w:jc w:val="both"/>
        <w:rPr>
          <w:rFonts w:ascii="Arial" w:eastAsia="Times New Roman" w:hAnsi="Arial" w:cs="Arial"/>
        </w:rPr>
      </w:pPr>
      <w:r w:rsidRPr="00FA1202">
        <w:rPr>
          <w:rFonts w:ascii="Arial" w:eastAsia="Times New Roman" w:hAnsi="Arial" w:cs="Arial"/>
        </w:rPr>
        <w:t>Otros Ingresos: Recuperaciones y aprovechamientos por valor de $134 millones con una participación en relación al valor recaudado durante el trimestre abril-junio de 2018 del 3.21%</w:t>
      </w:r>
    </w:p>
    <w:p w14:paraId="6EE573F1" w14:textId="77777777" w:rsidR="00CD5AA1" w:rsidRPr="00FA1202" w:rsidRDefault="00CD5AA1" w:rsidP="00CD5AA1">
      <w:pPr>
        <w:spacing w:after="0" w:line="240" w:lineRule="auto"/>
        <w:jc w:val="both"/>
        <w:rPr>
          <w:rFonts w:ascii="Arial" w:eastAsia="Times New Roman" w:hAnsi="Arial" w:cs="Arial"/>
        </w:rPr>
      </w:pPr>
    </w:p>
    <w:p w14:paraId="739DDB16" w14:textId="77777777" w:rsidR="00CD5AA1" w:rsidRPr="00FA1202" w:rsidRDefault="00CD5AA1" w:rsidP="00CD5AA1">
      <w:pPr>
        <w:jc w:val="both"/>
        <w:rPr>
          <w:rFonts w:ascii="Arial" w:eastAsia="Times New Roman" w:hAnsi="Arial" w:cs="Arial"/>
        </w:rPr>
      </w:pPr>
      <w:r w:rsidRPr="00FA1202">
        <w:rPr>
          <w:rFonts w:ascii="Arial" w:eastAsia="Times New Roman" w:hAnsi="Arial" w:cs="Arial"/>
        </w:rPr>
        <w:t xml:space="preserve">Recursos De Capital </w:t>
      </w:r>
    </w:p>
    <w:p w14:paraId="09EAC279" w14:textId="77777777" w:rsidR="00CD5AA1" w:rsidRPr="00FA1202" w:rsidRDefault="00CD5AA1" w:rsidP="00CD5AA1">
      <w:pPr>
        <w:jc w:val="both"/>
        <w:rPr>
          <w:rFonts w:ascii="Arial" w:eastAsia="Times New Roman" w:hAnsi="Arial" w:cs="Arial"/>
        </w:rPr>
      </w:pPr>
      <w:r w:rsidRPr="00FA1202">
        <w:rPr>
          <w:rFonts w:ascii="Arial" w:eastAsia="Times New Roman" w:hAnsi="Arial" w:cs="Arial"/>
        </w:rPr>
        <w:t>Para la vigencia fiscal 2018 no realizó aforo por recursos de capital y por el segundo trimestre tampoco se ha presentado recaudos por este concepto.</w:t>
      </w:r>
    </w:p>
    <w:p w14:paraId="47D48C2D" w14:textId="77777777" w:rsidR="00C02282" w:rsidRPr="00CD5AA1" w:rsidRDefault="00C02282" w:rsidP="008B4625">
      <w:pPr>
        <w:pStyle w:val="Ttulo2"/>
        <w:numPr>
          <w:ilvl w:val="1"/>
          <w:numId w:val="30"/>
        </w:numPr>
        <w:rPr>
          <w:rFonts w:ascii="Arial" w:eastAsia="Calibri" w:hAnsi="Arial" w:cs="Arial"/>
          <w:color w:val="auto"/>
          <w:sz w:val="22"/>
          <w:szCs w:val="22"/>
        </w:rPr>
      </w:pPr>
      <w:bookmarkStart w:id="208" w:name="_Toc514693352"/>
      <w:bookmarkStart w:id="209" w:name="_Toc525652054"/>
      <w:r w:rsidRPr="00CD5AA1">
        <w:rPr>
          <w:rFonts w:ascii="Arial" w:eastAsia="Calibri" w:hAnsi="Arial" w:cs="Arial"/>
          <w:color w:val="auto"/>
          <w:sz w:val="22"/>
          <w:szCs w:val="22"/>
        </w:rPr>
        <w:t>Gastos</w:t>
      </w:r>
      <w:bookmarkEnd w:id="208"/>
      <w:r w:rsidRPr="00CD5AA1">
        <w:rPr>
          <w:rFonts w:ascii="Arial" w:eastAsia="Calibri" w:hAnsi="Arial" w:cs="Arial"/>
          <w:color w:val="auto"/>
          <w:sz w:val="22"/>
          <w:szCs w:val="22"/>
        </w:rPr>
        <w:t xml:space="preserve"> SGC</w:t>
      </w:r>
      <w:bookmarkEnd w:id="209"/>
    </w:p>
    <w:p w14:paraId="401286D8" w14:textId="77777777" w:rsidR="00C02282" w:rsidRPr="00CD5AA1" w:rsidRDefault="00C02282" w:rsidP="008B4625">
      <w:pPr>
        <w:pStyle w:val="Ttulo3"/>
        <w:numPr>
          <w:ilvl w:val="2"/>
          <w:numId w:val="30"/>
        </w:numPr>
        <w:rPr>
          <w:rFonts w:ascii="Arial" w:eastAsia="Calibri" w:hAnsi="Arial" w:cs="Arial"/>
          <w:color w:val="auto"/>
        </w:rPr>
      </w:pPr>
      <w:bookmarkStart w:id="210" w:name="_Toc514693353"/>
      <w:bookmarkStart w:id="211" w:name="_Toc525652055"/>
      <w:r w:rsidRPr="00CD5AA1">
        <w:rPr>
          <w:rFonts w:ascii="Arial" w:eastAsia="Calibri" w:hAnsi="Arial" w:cs="Arial"/>
          <w:color w:val="auto"/>
        </w:rPr>
        <w:t>Ejecución presupuestal Gastos de Funcionamiento</w:t>
      </w:r>
      <w:bookmarkEnd w:id="210"/>
      <w:r w:rsidRPr="00CD5AA1">
        <w:rPr>
          <w:rFonts w:ascii="Arial" w:eastAsia="Calibri" w:hAnsi="Arial" w:cs="Arial"/>
          <w:color w:val="auto"/>
        </w:rPr>
        <w:t xml:space="preserve"> SGC</w:t>
      </w:r>
      <w:bookmarkEnd w:id="211"/>
    </w:p>
    <w:p w14:paraId="609AF115" w14:textId="1ABE0578" w:rsidR="00CD5AA1" w:rsidRDefault="00CD5AA1" w:rsidP="00CD5AA1">
      <w:pPr>
        <w:jc w:val="both"/>
        <w:rPr>
          <w:rFonts w:ascii="Arial" w:hAnsi="Arial" w:cs="Arial"/>
        </w:rPr>
      </w:pPr>
      <w:r w:rsidRPr="00FA1202">
        <w:rPr>
          <w:rFonts w:ascii="Arial" w:hAnsi="Arial" w:cs="Arial"/>
        </w:rPr>
        <w:t>El presupuesto de funcionamiento para la vigencia 2018, fue aprobado por valor de $51.786 millones y se encuentra conformado por las siguientes cuentas:</w:t>
      </w:r>
    </w:p>
    <w:p w14:paraId="06E48B03" w14:textId="77777777" w:rsidR="00576641" w:rsidRPr="00FA1202" w:rsidRDefault="00576641" w:rsidP="00CD5AA1">
      <w:pPr>
        <w:jc w:val="both"/>
        <w:rPr>
          <w:rFonts w:ascii="Arial" w:hAnsi="Arial" w:cs="Arial"/>
        </w:rPr>
      </w:pPr>
    </w:p>
    <w:p w14:paraId="3A190307" w14:textId="77777777" w:rsidR="00C02282" w:rsidRPr="00CD5AA1" w:rsidRDefault="00C02282" w:rsidP="00C02282">
      <w:pPr>
        <w:rPr>
          <w:rFonts w:ascii="Arial" w:hAnsi="Arial" w:cs="Arial"/>
          <w:b/>
        </w:rPr>
      </w:pPr>
      <w:r w:rsidRPr="00CD5AA1">
        <w:rPr>
          <w:rFonts w:ascii="Arial" w:hAnsi="Arial" w:cs="Arial"/>
          <w:b/>
        </w:rPr>
        <w:lastRenderedPageBreak/>
        <w:t>Gastos de Personal:</w:t>
      </w:r>
    </w:p>
    <w:p w14:paraId="77B86E09" w14:textId="77777777" w:rsidR="00CD5AA1" w:rsidRPr="00FA1202" w:rsidRDefault="00CD5AA1" w:rsidP="00CD5AA1">
      <w:pPr>
        <w:jc w:val="both"/>
        <w:rPr>
          <w:rFonts w:ascii="Arial" w:hAnsi="Arial" w:cs="Arial"/>
        </w:rPr>
      </w:pPr>
      <w:r w:rsidRPr="00FA1202">
        <w:rPr>
          <w:rFonts w:ascii="Arial" w:hAnsi="Arial" w:cs="Arial"/>
        </w:rPr>
        <w:t>La apropiación asignada por este concepto para la vigencia 2018 fue por valor de $27.014 millones.</w:t>
      </w:r>
    </w:p>
    <w:p w14:paraId="79624282" w14:textId="77777777" w:rsidR="00CD5AA1" w:rsidRPr="00FA1202" w:rsidRDefault="00CD5AA1" w:rsidP="00CD5AA1">
      <w:pPr>
        <w:jc w:val="both"/>
        <w:rPr>
          <w:rFonts w:ascii="Arial" w:hAnsi="Arial" w:cs="Arial"/>
        </w:rPr>
      </w:pPr>
      <w:r w:rsidRPr="00FA1202">
        <w:rPr>
          <w:rFonts w:ascii="Arial" w:hAnsi="Arial" w:cs="Arial"/>
        </w:rPr>
        <w:t>En el segundo trimestre de la vigencia 2018 los gastos de personal se ejecutaron por valor de $7.693 millones correspondiente al 28.48% de la apropiación vigente.</w:t>
      </w:r>
    </w:p>
    <w:p w14:paraId="499E5D01" w14:textId="77777777" w:rsidR="00CD5AA1" w:rsidRPr="00FA1202" w:rsidRDefault="00CD5AA1" w:rsidP="00CD5AA1">
      <w:pPr>
        <w:jc w:val="both"/>
        <w:rPr>
          <w:rFonts w:ascii="Arial" w:hAnsi="Arial" w:cs="Arial"/>
        </w:rPr>
      </w:pPr>
      <w:r w:rsidRPr="00FA1202">
        <w:rPr>
          <w:rFonts w:ascii="Arial" w:hAnsi="Arial" w:cs="Arial"/>
        </w:rPr>
        <w:t xml:space="preserve">Estos gastos están conformados por conceptos de nómina y prestaciones sociales, que durante el trimestre abril a junio, ascendieron a $5.400 millones, con promedio mensual de $1.800 millones; por seguridad social, aportes parafiscales y los aportes al Fondo Nacional de Ahorro por $1.982 millones, con una ejecución del 30.11% de su apropiación. </w:t>
      </w:r>
    </w:p>
    <w:p w14:paraId="5B62B8DE" w14:textId="77777777" w:rsidR="00CD5AA1" w:rsidRPr="00FA1202" w:rsidRDefault="00CD5AA1" w:rsidP="00CD5AA1">
      <w:pPr>
        <w:spacing w:line="240" w:lineRule="auto"/>
        <w:jc w:val="both"/>
        <w:rPr>
          <w:rFonts w:ascii="Arial" w:hAnsi="Arial" w:cs="Arial"/>
        </w:rPr>
      </w:pPr>
      <w:r w:rsidRPr="00FA1202">
        <w:rPr>
          <w:rFonts w:ascii="Arial" w:hAnsi="Arial" w:cs="Arial"/>
        </w:rPr>
        <w:t>Igualmente encontramos los gastos por servicios personales indirectos y honorarios con una ejecución de $311 millones con un 21.90% ejecutado sobre el valor apropiado en la vigencia.</w:t>
      </w:r>
    </w:p>
    <w:p w14:paraId="2243C2B2" w14:textId="77777777" w:rsidR="00C02282" w:rsidRPr="00CD5AA1" w:rsidRDefault="00C02282" w:rsidP="00C02282">
      <w:pPr>
        <w:jc w:val="both"/>
        <w:rPr>
          <w:rFonts w:ascii="Arial" w:hAnsi="Arial" w:cs="Arial"/>
          <w:b/>
        </w:rPr>
      </w:pPr>
      <w:r w:rsidRPr="00CD5AA1">
        <w:rPr>
          <w:rFonts w:ascii="Arial" w:hAnsi="Arial" w:cs="Arial"/>
          <w:b/>
        </w:rPr>
        <w:t>Gastos Generales:</w:t>
      </w:r>
    </w:p>
    <w:p w14:paraId="7679F794" w14:textId="77777777" w:rsidR="00CD5AA1" w:rsidRPr="00CD5AA1" w:rsidRDefault="00CD5AA1" w:rsidP="00CD5AA1">
      <w:pPr>
        <w:jc w:val="both"/>
        <w:rPr>
          <w:rFonts w:ascii="Arial" w:hAnsi="Arial" w:cs="Arial"/>
        </w:rPr>
      </w:pPr>
      <w:r w:rsidRPr="00CD5AA1">
        <w:rPr>
          <w:rFonts w:ascii="Arial" w:hAnsi="Arial" w:cs="Arial"/>
        </w:rPr>
        <w:t xml:space="preserve">La apropiación asignada por este concepto en la vigencia 2018 fue por $11.522 millones. </w:t>
      </w:r>
    </w:p>
    <w:p w14:paraId="401BDA6F" w14:textId="77777777" w:rsidR="00CD5AA1" w:rsidRPr="00CD5AA1" w:rsidRDefault="00CD5AA1" w:rsidP="00CD5AA1">
      <w:pPr>
        <w:jc w:val="both"/>
        <w:rPr>
          <w:rFonts w:ascii="Arial" w:hAnsi="Arial" w:cs="Arial"/>
        </w:rPr>
      </w:pPr>
      <w:r w:rsidRPr="00CD5AA1">
        <w:rPr>
          <w:rFonts w:ascii="Arial" w:hAnsi="Arial" w:cs="Arial"/>
        </w:rPr>
        <w:t>En el segundo trimestre de la vigencia 2018, los gastos generales se ejecutaron por valor de $</w:t>
      </w:r>
      <w:r w:rsidRPr="00CD5AA1">
        <w:rPr>
          <w:rFonts w:ascii="Arial" w:eastAsia="Times New Roman" w:hAnsi="Arial" w:cs="Arial"/>
          <w:color w:val="000000"/>
        </w:rPr>
        <w:t xml:space="preserve">3.100 millones, </w:t>
      </w:r>
      <w:r w:rsidRPr="00CD5AA1">
        <w:rPr>
          <w:rFonts w:ascii="Arial" w:hAnsi="Arial" w:cs="Arial"/>
        </w:rPr>
        <w:t xml:space="preserve">que representa al 26.90% de la apropiación vigente. </w:t>
      </w:r>
    </w:p>
    <w:p w14:paraId="07979CEF" w14:textId="5FF18EA0" w:rsidR="00CD5AA1" w:rsidRDefault="00CD5AA1" w:rsidP="00CD5AA1">
      <w:pPr>
        <w:jc w:val="both"/>
        <w:rPr>
          <w:rFonts w:ascii="Arial" w:eastAsia="Times New Roman" w:hAnsi="Arial" w:cs="Arial"/>
        </w:rPr>
      </w:pPr>
      <w:r w:rsidRPr="00CD5AA1">
        <w:rPr>
          <w:rFonts w:ascii="Arial" w:hAnsi="Arial" w:cs="Arial"/>
        </w:rPr>
        <w:t>El concepto de gastos generales está conformado por impuestos y multas que para el trimestre ascendió a $7 millones con una ejecución del 1.75</w:t>
      </w:r>
      <w:r w:rsidRPr="00CD5AA1">
        <w:rPr>
          <w:rFonts w:ascii="Arial" w:eastAsia="Times New Roman" w:hAnsi="Arial" w:cs="Arial"/>
        </w:rPr>
        <w:t>% de la apropiación vigente</w:t>
      </w:r>
      <w:r w:rsidRPr="00CD5AA1">
        <w:rPr>
          <w:rFonts w:ascii="Arial" w:hAnsi="Arial" w:cs="Arial"/>
        </w:rPr>
        <w:t xml:space="preserve">; por adquisición de bienes y </w:t>
      </w:r>
      <w:r w:rsidR="00D41D3A" w:rsidRPr="00CD5AA1">
        <w:rPr>
          <w:rFonts w:ascii="Arial" w:hAnsi="Arial" w:cs="Arial"/>
        </w:rPr>
        <w:t>servicios $</w:t>
      </w:r>
      <w:r w:rsidRPr="00CD5AA1">
        <w:rPr>
          <w:rFonts w:ascii="Arial" w:eastAsia="Times New Roman" w:hAnsi="Arial" w:cs="Arial"/>
        </w:rPr>
        <w:t>3.092 millones con el 27.91% de la ejecución apropiada.</w:t>
      </w:r>
    </w:p>
    <w:p w14:paraId="50F96EAF" w14:textId="77777777" w:rsidR="009E5C47" w:rsidRPr="00CD5AA1" w:rsidRDefault="009E5C47" w:rsidP="00CD5AA1">
      <w:pPr>
        <w:jc w:val="both"/>
        <w:rPr>
          <w:rFonts w:ascii="Arial" w:eastAsia="Times New Roman" w:hAnsi="Arial" w:cs="Arial"/>
        </w:rPr>
      </w:pPr>
    </w:p>
    <w:p w14:paraId="2FD60FDB" w14:textId="77777777" w:rsidR="00C02282" w:rsidRPr="00CD5AA1" w:rsidRDefault="00C02282" w:rsidP="00C02282">
      <w:pPr>
        <w:jc w:val="both"/>
        <w:rPr>
          <w:rFonts w:ascii="Arial" w:hAnsi="Arial" w:cs="Arial"/>
          <w:b/>
        </w:rPr>
      </w:pPr>
      <w:r w:rsidRPr="00CD5AA1">
        <w:rPr>
          <w:rFonts w:ascii="Arial" w:hAnsi="Arial" w:cs="Arial"/>
          <w:b/>
        </w:rPr>
        <w:t>Las obligaciones más relevantes del trimestre correspondieron a:</w:t>
      </w:r>
    </w:p>
    <w:p w14:paraId="77942AFF" w14:textId="77777777" w:rsidR="00CD5AA1" w:rsidRPr="00FA1202" w:rsidRDefault="00CD5AA1" w:rsidP="00CD5AA1">
      <w:pPr>
        <w:spacing w:after="0" w:line="240" w:lineRule="auto"/>
        <w:jc w:val="both"/>
        <w:rPr>
          <w:rFonts w:ascii="Arial" w:eastAsia="Times New Roman" w:hAnsi="Arial" w:cs="Arial"/>
          <w:color w:val="000000"/>
        </w:rPr>
      </w:pPr>
      <w:r w:rsidRPr="00FA1202">
        <w:rPr>
          <w:rFonts w:ascii="Arial" w:hAnsi="Arial" w:cs="Arial"/>
        </w:rPr>
        <w:t>Entre las obligaciones más representativas, se encuentra</w:t>
      </w:r>
      <w:r w:rsidRPr="00FA1202">
        <w:rPr>
          <w:rFonts w:ascii="Arial" w:eastAsia="Times New Roman" w:hAnsi="Arial" w:cs="Arial"/>
          <w:color w:val="000000"/>
        </w:rPr>
        <w:t xml:space="preserve"> la adquisición de seguros por responsabilidad civil, todo riesgo y parque automotor por $1.106 millones; servicios de seguridad y vigilancia de $510 millones, servicios públicos $381 millones;</w:t>
      </w:r>
      <w:r w:rsidRPr="00FA1202">
        <w:rPr>
          <w:rFonts w:ascii="Arial" w:hAnsi="Arial" w:cs="Arial"/>
        </w:rPr>
        <w:t xml:space="preserve"> </w:t>
      </w:r>
      <w:r w:rsidRPr="00FA1202">
        <w:rPr>
          <w:rFonts w:ascii="Arial" w:eastAsia="Times New Roman" w:hAnsi="Arial" w:cs="Arial"/>
          <w:color w:val="000000"/>
        </w:rPr>
        <w:t xml:space="preserve">gastos de viajes al interior por $345 millones, que incluye el pago a la empresa </w:t>
      </w:r>
      <w:proofErr w:type="spellStart"/>
      <w:r w:rsidRPr="00FA1202">
        <w:rPr>
          <w:rFonts w:ascii="Arial" w:eastAsia="Times New Roman" w:hAnsi="Arial" w:cs="Arial"/>
          <w:color w:val="000000"/>
        </w:rPr>
        <w:t>Subatours</w:t>
      </w:r>
      <w:proofErr w:type="spellEnd"/>
      <w:r w:rsidRPr="00FA1202">
        <w:rPr>
          <w:rFonts w:ascii="Arial" w:eastAsia="Times New Roman" w:hAnsi="Arial" w:cs="Arial"/>
          <w:color w:val="000000"/>
        </w:rPr>
        <w:t xml:space="preserve"> SAS por concepto de pasajes aéreos; la contratación de suministros y servicios de aseo y cafetería $262 millones, materiales de construcción $81 millones  y correo $75 millones.</w:t>
      </w:r>
    </w:p>
    <w:p w14:paraId="2FFAE61F" w14:textId="77777777" w:rsidR="00CD5AA1" w:rsidRPr="00CD5AA1" w:rsidRDefault="00CD5AA1" w:rsidP="00C02282">
      <w:pPr>
        <w:spacing w:line="240" w:lineRule="auto"/>
        <w:jc w:val="both"/>
        <w:rPr>
          <w:rFonts w:ascii="Arial" w:hAnsi="Arial" w:cs="Arial"/>
        </w:rPr>
      </w:pPr>
    </w:p>
    <w:p w14:paraId="7EFD0BA6" w14:textId="77777777" w:rsidR="00C02282" w:rsidRPr="00CD5AA1" w:rsidRDefault="00C02282" w:rsidP="00C02282">
      <w:pPr>
        <w:jc w:val="both"/>
        <w:rPr>
          <w:rFonts w:ascii="Arial" w:hAnsi="Arial" w:cs="Arial"/>
          <w:b/>
        </w:rPr>
      </w:pPr>
      <w:r w:rsidRPr="00CD5AA1">
        <w:rPr>
          <w:rFonts w:ascii="Arial" w:hAnsi="Arial" w:cs="Arial"/>
          <w:b/>
        </w:rPr>
        <w:t>Transferencias Corrientes:</w:t>
      </w:r>
    </w:p>
    <w:p w14:paraId="065286D3" w14:textId="084A67CE" w:rsidR="00CD5AA1" w:rsidRPr="00FA1202" w:rsidRDefault="00CD5AA1" w:rsidP="00CD5AA1">
      <w:pPr>
        <w:spacing w:after="0" w:line="240" w:lineRule="auto"/>
        <w:jc w:val="both"/>
        <w:rPr>
          <w:rFonts w:ascii="Arial" w:hAnsi="Arial" w:cs="Arial"/>
        </w:rPr>
      </w:pPr>
      <w:r w:rsidRPr="00FA1202">
        <w:rPr>
          <w:rFonts w:ascii="Arial" w:hAnsi="Arial" w:cs="Arial"/>
        </w:rPr>
        <w:t xml:space="preserve">La apropiación asignada por este concepto en la vigencia 2018 es de $105 millones, asignada para cubrir la cuota de </w:t>
      </w:r>
      <w:r w:rsidR="00D41D3A" w:rsidRPr="00FA1202">
        <w:rPr>
          <w:rFonts w:ascii="Arial" w:hAnsi="Arial" w:cs="Arial"/>
        </w:rPr>
        <w:t>audítaje</w:t>
      </w:r>
      <w:r w:rsidRPr="00FA1202">
        <w:rPr>
          <w:rFonts w:ascii="Arial" w:hAnsi="Arial" w:cs="Arial"/>
        </w:rPr>
        <w:t xml:space="preserve"> para la Contraloría General de la República y para Sentencias y Conciliaciones. En el segundo trimestre no se presentó ejecución.</w:t>
      </w:r>
    </w:p>
    <w:p w14:paraId="50A79EB7" w14:textId="17434C03" w:rsidR="00C02282" w:rsidRDefault="00C02282" w:rsidP="00C02282">
      <w:pPr>
        <w:spacing w:line="240" w:lineRule="auto"/>
        <w:jc w:val="both"/>
        <w:rPr>
          <w:rFonts w:ascii="Arial" w:hAnsi="Arial" w:cs="Arial"/>
          <w:highlight w:val="yellow"/>
        </w:rPr>
      </w:pPr>
    </w:p>
    <w:p w14:paraId="0BC7D394" w14:textId="77777777" w:rsidR="00D41D3A" w:rsidRPr="006A67B4" w:rsidRDefault="00D41D3A" w:rsidP="00C02282">
      <w:pPr>
        <w:spacing w:line="240" w:lineRule="auto"/>
        <w:jc w:val="both"/>
        <w:rPr>
          <w:rFonts w:ascii="Arial" w:hAnsi="Arial" w:cs="Arial"/>
          <w:highlight w:val="yellow"/>
        </w:rPr>
      </w:pPr>
    </w:p>
    <w:p w14:paraId="4980BC47" w14:textId="77777777" w:rsidR="00C02282" w:rsidRPr="00CD5AA1" w:rsidRDefault="00C02282" w:rsidP="00C02282">
      <w:pPr>
        <w:jc w:val="both"/>
        <w:rPr>
          <w:rFonts w:ascii="Arial" w:hAnsi="Arial" w:cs="Arial"/>
          <w:b/>
        </w:rPr>
      </w:pPr>
      <w:r w:rsidRPr="00CD5AA1">
        <w:rPr>
          <w:rFonts w:ascii="Arial" w:hAnsi="Arial" w:cs="Arial"/>
          <w:b/>
        </w:rPr>
        <w:t>Gastos De Comercialización Y Producción:</w:t>
      </w:r>
    </w:p>
    <w:p w14:paraId="2AF9A0A7" w14:textId="77777777" w:rsidR="00CD5AA1" w:rsidRPr="00CD5AA1" w:rsidRDefault="00CD5AA1" w:rsidP="00CD5AA1">
      <w:pPr>
        <w:jc w:val="both"/>
        <w:rPr>
          <w:rFonts w:ascii="Arial" w:hAnsi="Arial" w:cs="Arial"/>
        </w:rPr>
      </w:pPr>
      <w:r w:rsidRPr="00CD5AA1">
        <w:rPr>
          <w:rFonts w:ascii="Arial" w:hAnsi="Arial" w:cs="Arial"/>
        </w:rPr>
        <w:t>La apropiación asignada por este concepto en la vigencia 2018 es por $13.144 millones, de lo cual se ha ejecutado el 26.90 %, es decir $2.098 millones.</w:t>
      </w:r>
    </w:p>
    <w:p w14:paraId="4594EE73" w14:textId="77777777" w:rsidR="00CD5AA1" w:rsidRPr="00CD5AA1" w:rsidRDefault="00CD5AA1" w:rsidP="00CD5AA1">
      <w:pPr>
        <w:jc w:val="both"/>
        <w:rPr>
          <w:rFonts w:ascii="Arial" w:hAnsi="Arial" w:cs="Arial"/>
        </w:rPr>
      </w:pPr>
      <w:r w:rsidRPr="00CD5AA1">
        <w:rPr>
          <w:rFonts w:ascii="Arial" w:hAnsi="Arial" w:cs="Arial"/>
        </w:rPr>
        <w:t xml:space="preserve">Por este concepto se reconocen gastos de apoyo a la gestión del Banco de Información Petrolera, </w:t>
      </w:r>
      <w:proofErr w:type="spellStart"/>
      <w:r w:rsidRPr="00CD5AA1">
        <w:rPr>
          <w:rFonts w:ascii="Arial" w:hAnsi="Arial" w:cs="Arial"/>
        </w:rPr>
        <w:t>Litoteca</w:t>
      </w:r>
      <w:proofErr w:type="spellEnd"/>
      <w:r w:rsidRPr="00CD5AA1">
        <w:rPr>
          <w:rFonts w:ascii="Arial" w:hAnsi="Arial" w:cs="Arial"/>
        </w:rPr>
        <w:t xml:space="preserve"> Nacional y </w:t>
      </w:r>
      <w:proofErr w:type="spellStart"/>
      <w:r w:rsidRPr="00CD5AA1">
        <w:rPr>
          <w:rFonts w:ascii="Arial" w:hAnsi="Arial" w:cs="Arial"/>
        </w:rPr>
        <w:t>Cinotenca</w:t>
      </w:r>
      <w:proofErr w:type="spellEnd"/>
      <w:r w:rsidRPr="00CD5AA1">
        <w:rPr>
          <w:rFonts w:ascii="Arial" w:hAnsi="Arial" w:cs="Arial"/>
        </w:rPr>
        <w:t xml:space="preserve">, como los servicios públicos, servicio de vigilancia, aseo, cafetería, servicios profesionales, incluido el pago a </w:t>
      </w:r>
      <w:proofErr w:type="spellStart"/>
      <w:r w:rsidRPr="00CD5AA1">
        <w:rPr>
          <w:rFonts w:ascii="Arial" w:hAnsi="Arial" w:cs="Arial"/>
        </w:rPr>
        <w:t>Inforpetrol</w:t>
      </w:r>
      <w:proofErr w:type="spellEnd"/>
      <w:r w:rsidRPr="00CD5AA1">
        <w:rPr>
          <w:rFonts w:ascii="Arial" w:hAnsi="Arial" w:cs="Arial"/>
        </w:rPr>
        <w:t xml:space="preserve"> para el desarrollo de las actividades necesarias para el funcionamiento del bip, </w:t>
      </w:r>
      <w:r w:rsidRPr="00CD5AA1">
        <w:rPr>
          <w:rFonts w:ascii="Arial" w:eastAsia="Times New Roman" w:hAnsi="Arial" w:cs="Arial"/>
          <w:color w:val="000000"/>
        </w:rPr>
        <w:t>i</w:t>
      </w:r>
      <w:r w:rsidRPr="00CD5AA1">
        <w:rPr>
          <w:rFonts w:ascii="Arial" w:hAnsi="Arial" w:cs="Arial"/>
        </w:rPr>
        <w:t>gualmente incluye obligaciones por concepto de viáticos y gastos de viaje del personal para realizar comisiones fuera de la sede habitual de trabajo.</w:t>
      </w:r>
    </w:p>
    <w:p w14:paraId="7D8C8C10" w14:textId="36D25505" w:rsidR="00CD5AA1" w:rsidRPr="00CD5AA1" w:rsidRDefault="00CD5AA1" w:rsidP="00CD5AA1">
      <w:pPr>
        <w:jc w:val="both"/>
        <w:rPr>
          <w:rFonts w:ascii="Arial" w:hAnsi="Arial" w:cs="Arial"/>
        </w:rPr>
      </w:pPr>
      <w:r w:rsidRPr="00CD5AA1">
        <w:rPr>
          <w:rFonts w:ascii="Arial" w:hAnsi="Arial" w:cs="Arial"/>
        </w:rPr>
        <w:t xml:space="preserve">Entre los gastos más representativos encontramos, servicios por gastos de contratistas para apoyo a la gestión e </w:t>
      </w:r>
      <w:proofErr w:type="spellStart"/>
      <w:r w:rsidRPr="00CD5AA1">
        <w:rPr>
          <w:rFonts w:ascii="Arial" w:hAnsi="Arial" w:cs="Arial"/>
        </w:rPr>
        <w:t>Inforpetrol</w:t>
      </w:r>
      <w:proofErr w:type="spellEnd"/>
      <w:r w:rsidRPr="00CD5AA1">
        <w:rPr>
          <w:rFonts w:ascii="Arial" w:hAnsi="Arial" w:cs="Arial"/>
        </w:rPr>
        <w:t xml:space="preserve"> $1.660 millones, servicio de vigilancia por $130 millones, seguros $136 </w:t>
      </w:r>
      <w:r w:rsidR="00D41D3A" w:rsidRPr="00CD5AA1">
        <w:rPr>
          <w:rFonts w:ascii="Arial" w:hAnsi="Arial" w:cs="Arial"/>
        </w:rPr>
        <w:t>millones y</w:t>
      </w:r>
      <w:r w:rsidRPr="00CD5AA1">
        <w:rPr>
          <w:rFonts w:ascii="Arial" w:hAnsi="Arial" w:cs="Arial"/>
        </w:rPr>
        <w:t xml:space="preserve"> viáticos, gastos de viaje por $45 millones y servicio de aseo y cafetería $38 millones.</w:t>
      </w:r>
    </w:p>
    <w:p w14:paraId="6A656464" w14:textId="77777777" w:rsidR="00C02282" w:rsidRPr="00CD5AA1" w:rsidRDefault="00C02282" w:rsidP="00C02282">
      <w:pPr>
        <w:spacing w:line="240" w:lineRule="auto"/>
        <w:jc w:val="both"/>
      </w:pPr>
    </w:p>
    <w:p w14:paraId="4EC92D50" w14:textId="77777777" w:rsidR="00C02282" w:rsidRPr="00CD5AA1" w:rsidRDefault="00C02282" w:rsidP="008B4625">
      <w:pPr>
        <w:pStyle w:val="Ttulo3"/>
        <w:numPr>
          <w:ilvl w:val="2"/>
          <w:numId w:val="30"/>
        </w:numPr>
        <w:rPr>
          <w:rFonts w:ascii="Arial" w:eastAsia="Calibri" w:hAnsi="Arial" w:cs="Arial"/>
          <w:color w:val="auto"/>
        </w:rPr>
      </w:pPr>
      <w:bookmarkStart w:id="212" w:name="_Toc514693354"/>
      <w:bookmarkStart w:id="213" w:name="_Toc525652056"/>
      <w:r w:rsidRPr="00CD5AA1">
        <w:rPr>
          <w:rFonts w:ascii="Arial" w:eastAsia="Calibri" w:hAnsi="Arial" w:cs="Arial"/>
          <w:color w:val="auto"/>
        </w:rPr>
        <w:t>Ejecución presupuestal Gastos de Inversión</w:t>
      </w:r>
      <w:bookmarkEnd w:id="212"/>
      <w:r w:rsidRPr="00CD5AA1">
        <w:rPr>
          <w:rFonts w:ascii="Arial" w:eastAsia="Calibri" w:hAnsi="Arial" w:cs="Arial"/>
          <w:color w:val="auto"/>
        </w:rPr>
        <w:t xml:space="preserve"> SCG</w:t>
      </w:r>
      <w:bookmarkEnd w:id="213"/>
    </w:p>
    <w:p w14:paraId="16DC3FDD" w14:textId="77777777" w:rsidR="00C02282" w:rsidRPr="006A67B4" w:rsidRDefault="00C02282" w:rsidP="00C02282">
      <w:pPr>
        <w:pStyle w:val="Prrafodelista"/>
        <w:ind w:left="360"/>
        <w:jc w:val="both"/>
        <w:rPr>
          <w:rFonts w:eastAsia="Times New Roman" w:cs="Arial"/>
          <w:color w:val="222222"/>
          <w:highlight w:val="yellow"/>
          <w:shd w:val="clear" w:color="auto" w:fill="FFFFFF"/>
        </w:rPr>
      </w:pPr>
    </w:p>
    <w:p w14:paraId="66C3E8E7" w14:textId="2CD5166B" w:rsidR="00CD5AA1" w:rsidRPr="00FA1202" w:rsidRDefault="00CD5AA1" w:rsidP="00CD5AA1">
      <w:pPr>
        <w:pStyle w:val="Prrafodelista"/>
        <w:ind w:left="0"/>
        <w:jc w:val="both"/>
        <w:rPr>
          <w:rFonts w:eastAsia="Times New Roman" w:cs="Arial"/>
          <w:shd w:val="clear" w:color="auto" w:fill="FFFFFF"/>
        </w:rPr>
      </w:pPr>
      <w:r w:rsidRPr="00FA1202">
        <w:rPr>
          <w:rFonts w:cs="Arial"/>
        </w:rPr>
        <w:t xml:space="preserve">El valor de apropiación vigente para inversión en la vigencia 2018 asciende a $11.027 millones. Inicialmente se registra como bloqueado la suma de $1.200 millones de los cuales, </w:t>
      </w:r>
      <w:r w:rsidRPr="00FA1202">
        <w:rPr>
          <w:rFonts w:eastAsia="Times New Roman" w:cs="Arial"/>
        </w:rPr>
        <w:t xml:space="preserve">en el mes de junio de 2018, el DNP levantó previo concepto al </w:t>
      </w:r>
      <w:r w:rsidR="00D41D3A" w:rsidRPr="00FA1202">
        <w:rPr>
          <w:rFonts w:eastAsia="Times New Roman" w:cs="Arial"/>
        </w:rPr>
        <w:t>Proyecto 2017011000325</w:t>
      </w:r>
      <w:r w:rsidRPr="00FA1202">
        <w:rPr>
          <w:rFonts w:eastAsia="Times New Roman" w:cs="Arial"/>
          <w:shd w:val="clear" w:color="auto" w:fill="FFFFFF"/>
        </w:rPr>
        <w:t xml:space="preserve"> - Fortalecimiento de la Investigación y Caracterización de materiales geológicos en Territorio Nacional, desbloqueándose el monto de $400 millones y realizándose la distribución correspondiente.</w:t>
      </w:r>
    </w:p>
    <w:p w14:paraId="04CAE6B9" w14:textId="77777777" w:rsidR="00CD5AA1" w:rsidRPr="00FA1202" w:rsidRDefault="00CD5AA1" w:rsidP="00CD5AA1">
      <w:pPr>
        <w:pStyle w:val="Prrafodelista"/>
        <w:ind w:left="0"/>
        <w:jc w:val="both"/>
        <w:rPr>
          <w:rFonts w:cs="Arial"/>
        </w:rPr>
      </w:pPr>
      <w:r w:rsidRPr="00FA1202">
        <w:rPr>
          <w:rFonts w:cs="Arial"/>
        </w:rPr>
        <w:t xml:space="preserve">Por el rubro de inversión durante el segundo trimestre se ha ejecutado el valor de $422 millones que representa el 3.60% con relación a la apropiación de la vigencia. </w:t>
      </w:r>
    </w:p>
    <w:p w14:paraId="770203E5" w14:textId="77777777" w:rsidR="00CD5AA1" w:rsidRPr="00FA1202" w:rsidRDefault="00CD5AA1" w:rsidP="00CD5AA1">
      <w:pPr>
        <w:pStyle w:val="Prrafodelista"/>
        <w:ind w:left="0"/>
        <w:jc w:val="both"/>
        <w:rPr>
          <w:rFonts w:cs="Arial"/>
        </w:rPr>
      </w:pPr>
      <w:r w:rsidRPr="00FA1202">
        <w:rPr>
          <w:rFonts w:cs="Arial"/>
        </w:rPr>
        <w:t>La ejecución durante el trimestre corresponde a gastos por contratos de personal para el apoyo para la ejecución de los diferentes proyectos por valor de $253 millones y el pago de comisiones tanto del personal de planta como de contratitas, para realizar labores de campo en el territorio nacional por $156 millones, como los gastos más representativos del trimestre.</w:t>
      </w:r>
    </w:p>
    <w:p w14:paraId="7D908CE1" w14:textId="709D818D" w:rsidR="00C02282" w:rsidRDefault="00C02282" w:rsidP="00C02282">
      <w:pPr>
        <w:jc w:val="both"/>
        <w:rPr>
          <w:rFonts w:ascii="Arial" w:hAnsi="Arial" w:cs="Arial"/>
          <w:b/>
        </w:rPr>
      </w:pPr>
    </w:p>
    <w:p w14:paraId="657FE566" w14:textId="50EF25BC" w:rsidR="00576641" w:rsidRDefault="00576641" w:rsidP="00C02282">
      <w:pPr>
        <w:jc w:val="both"/>
        <w:rPr>
          <w:rFonts w:ascii="Arial" w:hAnsi="Arial" w:cs="Arial"/>
          <w:b/>
        </w:rPr>
      </w:pPr>
    </w:p>
    <w:p w14:paraId="01877D82" w14:textId="77777777" w:rsidR="00576641" w:rsidRPr="00CD5AA1" w:rsidRDefault="00576641" w:rsidP="00C02282">
      <w:pPr>
        <w:jc w:val="both"/>
        <w:rPr>
          <w:rFonts w:ascii="Arial" w:hAnsi="Arial" w:cs="Arial"/>
          <w:b/>
        </w:rPr>
      </w:pPr>
    </w:p>
    <w:p w14:paraId="2D799CEF" w14:textId="77777777" w:rsidR="00C02282" w:rsidRPr="00CD5AA1" w:rsidRDefault="00C02282" w:rsidP="00C02282">
      <w:pPr>
        <w:jc w:val="both"/>
        <w:rPr>
          <w:rFonts w:ascii="Arial" w:hAnsi="Arial" w:cs="Arial"/>
          <w:b/>
        </w:rPr>
      </w:pPr>
      <w:r w:rsidRPr="00CD5AA1">
        <w:rPr>
          <w:rFonts w:ascii="Arial" w:hAnsi="Arial" w:cs="Arial"/>
          <w:b/>
        </w:rPr>
        <w:lastRenderedPageBreak/>
        <w:t>GESTIÓN DE LA INFORMACIÓN EN EL SECTOR MINERO ENERGÉTICO</w:t>
      </w:r>
    </w:p>
    <w:p w14:paraId="3B0DC91B" w14:textId="1375E1E3" w:rsidR="00CD5AA1" w:rsidRDefault="00CD5AA1" w:rsidP="00CD5AA1">
      <w:pPr>
        <w:jc w:val="both"/>
        <w:rPr>
          <w:rFonts w:ascii="Arial" w:hAnsi="Arial" w:cs="Arial"/>
        </w:rPr>
      </w:pPr>
      <w:r w:rsidRPr="00FA1202">
        <w:rPr>
          <w:rFonts w:ascii="Arial" w:hAnsi="Arial" w:cs="Arial"/>
        </w:rPr>
        <w:t>Cuenta con los siguientes proyectos:</w:t>
      </w:r>
    </w:p>
    <w:p w14:paraId="1AE8EDB9"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INVESTIGACIÓN, MONITOREO Y EVALUACIÓN DE AMENAZAS GEOLÓGICAS DEL TERRITORIO NACIONAL</w:t>
      </w:r>
    </w:p>
    <w:p w14:paraId="20C01D10" w14:textId="77777777" w:rsidR="00D41D3A" w:rsidRDefault="00D41D3A" w:rsidP="00CD5AA1">
      <w:pPr>
        <w:pStyle w:val="Sinespaciado"/>
        <w:jc w:val="both"/>
        <w:rPr>
          <w:rFonts w:ascii="Arial" w:hAnsi="Arial" w:cs="Arial"/>
        </w:rPr>
      </w:pPr>
    </w:p>
    <w:p w14:paraId="65124CBA" w14:textId="1E8CF5D8" w:rsidR="00CD5AA1" w:rsidRPr="00FA1202" w:rsidRDefault="00CD5AA1" w:rsidP="00CD5AA1">
      <w:pPr>
        <w:pStyle w:val="Sinespaciado"/>
        <w:jc w:val="both"/>
        <w:rPr>
          <w:rFonts w:ascii="Arial" w:hAnsi="Arial" w:cs="Arial"/>
        </w:rPr>
      </w:pPr>
      <w:r w:rsidRPr="00FA1202">
        <w:rPr>
          <w:rFonts w:ascii="Arial" w:hAnsi="Arial" w:cs="Arial"/>
        </w:rPr>
        <w:t>El objetivo del proyecto es fortalecer la investigación, monitoreo y evaluación de amenazas de origen geológico a nivel nacional</w:t>
      </w:r>
    </w:p>
    <w:p w14:paraId="0A165929" w14:textId="77777777" w:rsidR="00CD5AA1" w:rsidRPr="00FA1202" w:rsidRDefault="00CD5AA1" w:rsidP="00CD5AA1">
      <w:pPr>
        <w:pStyle w:val="Sinespaciado"/>
        <w:jc w:val="both"/>
        <w:rPr>
          <w:rFonts w:ascii="Arial" w:hAnsi="Arial" w:cs="Arial"/>
        </w:rPr>
      </w:pPr>
    </w:p>
    <w:p w14:paraId="1667285A" w14:textId="77777777" w:rsidR="00CD5AA1" w:rsidRPr="00FA1202" w:rsidRDefault="00CD5AA1" w:rsidP="00CD5AA1">
      <w:pPr>
        <w:pStyle w:val="Sinespaciado"/>
        <w:jc w:val="both"/>
        <w:rPr>
          <w:rFonts w:ascii="Arial" w:hAnsi="Arial" w:cs="Arial"/>
        </w:rPr>
      </w:pPr>
      <w:r w:rsidRPr="00FA1202">
        <w:rPr>
          <w:rFonts w:ascii="Arial" w:hAnsi="Arial" w:cs="Arial"/>
        </w:rPr>
        <w:t>Para el próximo trimestre se tiene contemplado realizar la adquisición de equipos de medición de parámetros geotécnicos y desplazamiento del terreno para el grupo Evaluación De Amenazas Por Movimientos En Masa, licencias Matlab, contratar la adquisición de equipos de comunicaciones de voz para los Observatorios Vulcanológicos y Sismológicos de Manizales,</w:t>
      </w:r>
    </w:p>
    <w:p w14:paraId="0E83CFDA" w14:textId="77777777" w:rsidR="00CD5AA1" w:rsidRPr="00FA1202" w:rsidRDefault="00CD5AA1" w:rsidP="00CD5AA1">
      <w:pPr>
        <w:pStyle w:val="Sinespaciado"/>
        <w:jc w:val="both"/>
        <w:rPr>
          <w:rFonts w:ascii="Arial" w:hAnsi="Arial" w:cs="Arial"/>
        </w:rPr>
      </w:pPr>
      <w:r w:rsidRPr="00FA1202">
        <w:rPr>
          <w:rFonts w:ascii="Arial" w:hAnsi="Arial" w:cs="Arial"/>
        </w:rPr>
        <w:t>Pasto y Popayán, contratar la Adquisición de elementos tecnológicos con el fin de fortalecer, apoyar la evaluación y monitoreo de la actividad sísmica y volcánica, adquisición de Sensores de corto periodo, banda ancha y digitalizadores sismológicos para la red de Monitoreo Volcánico en el Territorio Nacional entre los más representativos.</w:t>
      </w:r>
    </w:p>
    <w:p w14:paraId="71C998C9" w14:textId="77777777" w:rsidR="00CD5AA1" w:rsidRPr="00FA1202" w:rsidRDefault="00CD5AA1" w:rsidP="00CD5AA1">
      <w:pPr>
        <w:jc w:val="both"/>
        <w:rPr>
          <w:rFonts w:ascii="Arial" w:eastAsia="Times New Roman" w:hAnsi="Arial" w:cs="Arial"/>
        </w:rPr>
      </w:pPr>
    </w:p>
    <w:p w14:paraId="5DF758DE"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AMPLIACIÓN DEL CONOCIMIENTO DEL POTENCIAL MINERAL EN EL TERRITORIO NACIONAL</w:t>
      </w:r>
    </w:p>
    <w:p w14:paraId="243CF9E1" w14:textId="77777777" w:rsidR="00D41D3A" w:rsidRDefault="00D41D3A" w:rsidP="00CD5AA1">
      <w:pPr>
        <w:pStyle w:val="Sinespaciado"/>
        <w:jc w:val="both"/>
        <w:rPr>
          <w:rFonts w:ascii="Arial" w:hAnsi="Arial" w:cs="Arial"/>
        </w:rPr>
      </w:pPr>
    </w:p>
    <w:p w14:paraId="63041717" w14:textId="1E7FB484" w:rsidR="00CD5AA1" w:rsidRPr="00FA1202" w:rsidRDefault="00CD5AA1" w:rsidP="00CD5AA1">
      <w:pPr>
        <w:pStyle w:val="Sinespaciado"/>
        <w:jc w:val="both"/>
        <w:rPr>
          <w:rFonts w:ascii="Arial" w:hAnsi="Arial" w:cs="Arial"/>
        </w:rPr>
      </w:pPr>
      <w:r w:rsidRPr="00FA1202">
        <w:rPr>
          <w:rFonts w:ascii="Arial" w:hAnsi="Arial" w:cs="Arial"/>
        </w:rPr>
        <w:t>Este proyecto está orientado a conocer el potencial mineral del territorio colombiano.</w:t>
      </w:r>
    </w:p>
    <w:p w14:paraId="2EF6C611" w14:textId="77777777" w:rsidR="00CD5AA1" w:rsidRPr="00FA1202" w:rsidRDefault="00CD5AA1" w:rsidP="00CD5AA1">
      <w:pPr>
        <w:pStyle w:val="Sinespaciado"/>
        <w:jc w:val="both"/>
        <w:rPr>
          <w:rFonts w:ascii="Arial" w:hAnsi="Arial" w:cs="Arial"/>
        </w:rPr>
      </w:pPr>
    </w:p>
    <w:p w14:paraId="4C19458E" w14:textId="77777777" w:rsidR="00CD5AA1" w:rsidRPr="00FA1202" w:rsidRDefault="00CD5AA1" w:rsidP="00CD5AA1">
      <w:pPr>
        <w:pStyle w:val="Sinespaciado"/>
        <w:jc w:val="both"/>
        <w:rPr>
          <w:rFonts w:ascii="Arial" w:hAnsi="Arial" w:cs="Arial"/>
        </w:rPr>
      </w:pPr>
      <w:r w:rsidRPr="00FA1202">
        <w:rPr>
          <w:rFonts w:ascii="Arial" w:hAnsi="Arial" w:cs="Arial"/>
        </w:rPr>
        <w:t xml:space="preserve">Para el siguiente trimestre se tiene contemplado realizar la prestación de servicios para perforaciones exploratorias para Gas metano asociado al carbón con recuperación parcial de núcleos en diámetro HQ o HTW, en el área carbonífera </w:t>
      </w:r>
      <w:proofErr w:type="spellStart"/>
      <w:r w:rsidRPr="00FA1202">
        <w:rPr>
          <w:rFonts w:ascii="Arial" w:hAnsi="Arial" w:cs="Arial"/>
        </w:rPr>
        <w:t>Machetá</w:t>
      </w:r>
      <w:proofErr w:type="spellEnd"/>
      <w:r w:rsidRPr="00FA1202">
        <w:rPr>
          <w:rFonts w:ascii="Arial" w:hAnsi="Arial" w:cs="Arial"/>
        </w:rPr>
        <w:t xml:space="preserve"> – </w:t>
      </w:r>
      <w:proofErr w:type="spellStart"/>
      <w:r w:rsidRPr="00FA1202">
        <w:rPr>
          <w:rFonts w:ascii="Arial" w:hAnsi="Arial" w:cs="Arial"/>
        </w:rPr>
        <w:t>Jenesano-Tibirita</w:t>
      </w:r>
      <w:proofErr w:type="spellEnd"/>
      <w:r w:rsidRPr="00FA1202">
        <w:rPr>
          <w:rFonts w:ascii="Arial" w:hAnsi="Arial" w:cs="Arial"/>
        </w:rPr>
        <w:t>.</w:t>
      </w:r>
    </w:p>
    <w:p w14:paraId="008E2817" w14:textId="7A97EC38" w:rsidR="00CD5AA1" w:rsidRDefault="00CD5AA1" w:rsidP="00CD5AA1">
      <w:pPr>
        <w:pStyle w:val="Sinespaciado"/>
        <w:jc w:val="both"/>
        <w:rPr>
          <w:rFonts w:ascii="Arial" w:hAnsi="Arial" w:cs="Arial"/>
        </w:rPr>
      </w:pPr>
    </w:p>
    <w:p w14:paraId="314E159C" w14:textId="0F0E9838" w:rsidR="009E5C47" w:rsidRDefault="009E5C47" w:rsidP="00CD5AA1">
      <w:pPr>
        <w:pStyle w:val="Sinespaciado"/>
        <w:jc w:val="both"/>
        <w:rPr>
          <w:rFonts w:ascii="Arial" w:hAnsi="Arial" w:cs="Arial"/>
        </w:rPr>
      </w:pPr>
    </w:p>
    <w:p w14:paraId="3DF24A6D" w14:textId="77777777" w:rsidR="009E5C47" w:rsidRPr="00FA1202" w:rsidRDefault="009E5C47" w:rsidP="00CD5AA1">
      <w:pPr>
        <w:pStyle w:val="Sinespaciado"/>
        <w:jc w:val="both"/>
        <w:rPr>
          <w:rFonts w:ascii="Arial" w:hAnsi="Arial" w:cs="Arial"/>
        </w:rPr>
      </w:pPr>
    </w:p>
    <w:p w14:paraId="68A4A31D"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AMPLIACIÓN DEL CONOCIMIENTO GEOCIENTÍFICO BÁSICO DEL TERRITORIO NACIONAL</w:t>
      </w:r>
    </w:p>
    <w:p w14:paraId="2A82468E" w14:textId="77777777" w:rsidR="00D41D3A" w:rsidRDefault="00D41D3A" w:rsidP="00CD5AA1">
      <w:pPr>
        <w:pStyle w:val="Sinespaciado"/>
        <w:jc w:val="both"/>
        <w:rPr>
          <w:rFonts w:ascii="Arial" w:hAnsi="Arial" w:cs="Arial"/>
        </w:rPr>
      </w:pPr>
    </w:p>
    <w:p w14:paraId="550D2F36" w14:textId="28178CD3" w:rsidR="00CD5AA1" w:rsidRPr="00FA1202" w:rsidRDefault="00CD5AA1" w:rsidP="00CD5AA1">
      <w:pPr>
        <w:pStyle w:val="Sinespaciado"/>
        <w:jc w:val="both"/>
        <w:rPr>
          <w:rFonts w:ascii="Arial" w:hAnsi="Arial" w:cs="Arial"/>
        </w:rPr>
      </w:pPr>
      <w:r w:rsidRPr="00FA1202">
        <w:rPr>
          <w:rFonts w:ascii="Arial" w:hAnsi="Arial" w:cs="Arial"/>
        </w:rPr>
        <w:t>El objetivo del proyecto es fortalecer la generación y transferencia de conocimiento geocientífico del territorio colombiano</w:t>
      </w:r>
    </w:p>
    <w:p w14:paraId="75D907FA" w14:textId="77777777" w:rsidR="00CD5AA1" w:rsidRPr="00FA1202" w:rsidRDefault="00CD5AA1" w:rsidP="00CD5AA1">
      <w:pPr>
        <w:pStyle w:val="Sinespaciado"/>
        <w:jc w:val="both"/>
        <w:rPr>
          <w:rFonts w:ascii="Arial" w:hAnsi="Arial" w:cs="Arial"/>
        </w:rPr>
      </w:pPr>
    </w:p>
    <w:p w14:paraId="2213E819" w14:textId="77777777" w:rsidR="00CD5AA1" w:rsidRPr="00FA1202" w:rsidRDefault="00CD5AA1" w:rsidP="00CD5AA1">
      <w:pPr>
        <w:pStyle w:val="Sinespaciado"/>
        <w:jc w:val="both"/>
        <w:rPr>
          <w:rFonts w:ascii="Arial" w:hAnsi="Arial" w:cs="Arial"/>
        </w:rPr>
      </w:pPr>
      <w:r w:rsidRPr="00FA1202">
        <w:rPr>
          <w:rFonts w:ascii="Arial" w:hAnsi="Arial" w:cs="Arial"/>
        </w:rPr>
        <w:t>Para el siguiente trimestre se tiene contemplado realizar la perforación de pozos exploratorios para la generación de nuevo conocimiento del modelo hidrológico los sistemas acuíferos de Boyacá.</w:t>
      </w:r>
    </w:p>
    <w:p w14:paraId="70BBDEAC" w14:textId="65F20F5C" w:rsidR="00CD5AA1" w:rsidRDefault="00CD5AA1" w:rsidP="00CD5AA1">
      <w:pPr>
        <w:jc w:val="both"/>
        <w:rPr>
          <w:rFonts w:ascii="Arial" w:hAnsi="Arial" w:cs="Arial"/>
          <w:b/>
        </w:rPr>
      </w:pPr>
    </w:p>
    <w:p w14:paraId="12441D02" w14:textId="0B328F3B" w:rsidR="00576641" w:rsidRDefault="00576641" w:rsidP="00CD5AA1">
      <w:pPr>
        <w:jc w:val="both"/>
        <w:rPr>
          <w:rFonts w:ascii="Arial" w:hAnsi="Arial" w:cs="Arial"/>
          <w:b/>
        </w:rPr>
      </w:pPr>
    </w:p>
    <w:p w14:paraId="2DAD8661" w14:textId="77777777" w:rsidR="00576641" w:rsidRPr="00FA1202" w:rsidRDefault="00576641" w:rsidP="00CD5AA1">
      <w:pPr>
        <w:jc w:val="both"/>
        <w:rPr>
          <w:rFonts w:ascii="Arial" w:hAnsi="Arial" w:cs="Arial"/>
          <w:b/>
        </w:rPr>
      </w:pPr>
    </w:p>
    <w:p w14:paraId="725A5349" w14:textId="77777777" w:rsidR="00CD5AA1" w:rsidRPr="00FA1202" w:rsidRDefault="00CD5AA1" w:rsidP="00CD5AA1">
      <w:pPr>
        <w:pStyle w:val="Sinespaciado"/>
        <w:jc w:val="both"/>
        <w:rPr>
          <w:rFonts w:ascii="Arial" w:hAnsi="Arial" w:cs="Arial"/>
        </w:rPr>
      </w:pPr>
      <w:r w:rsidRPr="00FA1202">
        <w:rPr>
          <w:rFonts w:ascii="Arial" w:hAnsi="Arial" w:cs="Arial"/>
          <w:b/>
        </w:rPr>
        <w:lastRenderedPageBreak/>
        <w:t xml:space="preserve">Proyecto: </w:t>
      </w:r>
      <w:r w:rsidRPr="00FA1202">
        <w:rPr>
          <w:rFonts w:ascii="Arial" w:hAnsi="Arial" w:cs="Arial"/>
        </w:rPr>
        <w:t>MEJORAMIENTO EN LA GESTIÓN DE TECNOLOGÍAS DE LA INFORMACIÓN Y COMUNICACIONES DEL SGC.</w:t>
      </w:r>
    </w:p>
    <w:p w14:paraId="0E39F974" w14:textId="77777777" w:rsidR="00CD5AA1" w:rsidRPr="00FA1202" w:rsidRDefault="00CD5AA1" w:rsidP="00CD5AA1">
      <w:pPr>
        <w:pStyle w:val="Sinespaciado"/>
        <w:jc w:val="both"/>
        <w:rPr>
          <w:rFonts w:ascii="Arial" w:hAnsi="Arial" w:cs="Arial"/>
        </w:rPr>
      </w:pPr>
    </w:p>
    <w:p w14:paraId="61239A33" w14:textId="77777777" w:rsidR="00CD5AA1" w:rsidRPr="00FA1202" w:rsidRDefault="00CD5AA1" w:rsidP="00CD5AA1">
      <w:pPr>
        <w:pStyle w:val="Sinespaciado"/>
        <w:jc w:val="both"/>
        <w:rPr>
          <w:rFonts w:ascii="Arial" w:hAnsi="Arial" w:cs="Arial"/>
        </w:rPr>
      </w:pPr>
      <w:r w:rsidRPr="00FA1202">
        <w:rPr>
          <w:rFonts w:ascii="Arial" w:hAnsi="Arial" w:cs="Arial"/>
        </w:rPr>
        <w:t>Tiene como objetivo central fortalecer la infraestructura tecnológica como soporte a la gestión de información para garantizar la estabilidad, confiabilidad y disponibilidad de los sistemas informáticos necesarios para el intercambio de productos de información del Servicio Geológico Colombiano</w:t>
      </w:r>
    </w:p>
    <w:p w14:paraId="2DDF862C" w14:textId="77777777" w:rsidR="00CD5AA1" w:rsidRPr="00FA1202" w:rsidRDefault="00CD5AA1" w:rsidP="00CD5AA1">
      <w:pPr>
        <w:pStyle w:val="Sinespaciado"/>
        <w:jc w:val="both"/>
        <w:rPr>
          <w:rFonts w:ascii="Arial" w:hAnsi="Arial" w:cs="Arial"/>
        </w:rPr>
      </w:pPr>
    </w:p>
    <w:p w14:paraId="732B122F" w14:textId="77777777" w:rsidR="00CD5AA1" w:rsidRPr="00FA1202" w:rsidRDefault="00CD5AA1" w:rsidP="00CD5AA1">
      <w:pPr>
        <w:pStyle w:val="Sinespaciado"/>
        <w:jc w:val="both"/>
        <w:rPr>
          <w:rFonts w:ascii="Arial" w:hAnsi="Arial" w:cs="Arial"/>
        </w:rPr>
      </w:pPr>
      <w:r w:rsidRPr="00FA1202">
        <w:rPr>
          <w:rFonts w:ascii="Arial" w:hAnsi="Arial" w:cs="Arial"/>
        </w:rPr>
        <w:t xml:space="preserve">Para el siguiente trimestre del año se tiene contemplado Adquisición de </w:t>
      </w:r>
      <w:proofErr w:type="spellStart"/>
      <w:r w:rsidRPr="00FA1202">
        <w:rPr>
          <w:rFonts w:ascii="Arial" w:hAnsi="Arial" w:cs="Arial"/>
        </w:rPr>
        <w:t>plóteres</w:t>
      </w:r>
      <w:proofErr w:type="spellEnd"/>
      <w:r w:rsidRPr="00FA1202">
        <w:rPr>
          <w:rFonts w:ascii="Arial" w:hAnsi="Arial" w:cs="Arial"/>
        </w:rPr>
        <w:t xml:space="preserve"> y escáneres de formato ancho, kits y consumibles a título de compraventa para el SGC, Compra de </w:t>
      </w:r>
      <w:proofErr w:type="spellStart"/>
      <w:r w:rsidRPr="00FA1202">
        <w:rPr>
          <w:rFonts w:ascii="Arial" w:hAnsi="Arial" w:cs="Arial"/>
        </w:rPr>
        <w:t>DataDomain</w:t>
      </w:r>
      <w:proofErr w:type="spellEnd"/>
      <w:r w:rsidRPr="00FA1202">
        <w:rPr>
          <w:rFonts w:ascii="Arial" w:hAnsi="Arial" w:cs="Arial"/>
        </w:rPr>
        <w:t>, entre otros.</w:t>
      </w:r>
    </w:p>
    <w:p w14:paraId="56658ADC" w14:textId="77777777" w:rsidR="00CD5AA1" w:rsidRPr="00FA1202" w:rsidRDefault="00CD5AA1" w:rsidP="00CD5AA1">
      <w:pPr>
        <w:jc w:val="both"/>
        <w:rPr>
          <w:rFonts w:ascii="Arial" w:hAnsi="Arial" w:cs="Arial"/>
          <w:b/>
        </w:rPr>
      </w:pPr>
    </w:p>
    <w:p w14:paraId="108D0872"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MEJORAMIENTO, DESARROLLO Y PROMOCIÓN DE LAS CAPACIDADES CIENTÍFICAS Y TECNOLÓGICAS DE LAS APLICACIONES NUCLEARES Y RADIACTIVAS.</w:t>
      </w:r>
    </w:p>
    <w:p w14:paraId="0D89ADD2" w14:textId="77777777" w:rsidR="00CD5AA1" w:rsidRPr="00FA1202" w:rsidRDefault="00CD5AA1" w:rsidP="00CD5AA1">
      <w:pPr>
        <w:pStyle w:val="Sinespaciado"/>
        <w:jc w:val="both"/>
        <w:rPr>
          <w:rFonts w:ascii="Arial" w:hAnsi="Arial" w:cs="Arial"/>
          <w:shd w:val="clear" w:color="auto" w:fill="FFFFFF"/>
        </w:rPr>
      </w:pPr>
    </w:p>
    <w:p w14:paraId="75DE11CD" w14:textId="77777777" w:rsidR="00CD5AA1" w:rsidRPr="00FA1202" w:rsidRDefault="00CD5AA1" w:rsidP="00CD5AA1">
      <w:pPr>
        <w:pStyle w:val="Sinespaciado"/>
        <w:tabs>
          <w:tab w:val="left" w:pos="1056"/>
        </w:tabs>
        <w:jc w:val="both"/>
        <w:rPr>
          <w:rFonts w:ascii="Arial" w:hAnsi="Arial" w:cs="Arial"/>
        </w:rPr>
      </w:pPr>
      <w:r w:rsidRPr="00FA1202">
        <w:rPr>
          <w:rFonts w:ascii="Arial" w:hAnsi="Arial" w:cs="Arial"/>
        </w:rPr>
        <w:t>Este proyecto de inversión tiene como objetivo central consolidar las capacidades científicas y tecnológicas de las aplicaciones nucleares y radiactivas del Servicio Geológico Colombiano</w:t>
      </w:r>
    </w:p>
    <w:p w14:paraId="635DCE5F" w14:textId="77777777" w:rsidR="00CD5AA1" w:rsidRPr="00FA1202" w:rsidRDefault="00CD5AA1" w:rsidP="00CD5AA1">
      <w:pPr>
        <w:pStyle w:val="Sinespaciado"/>
        <w:jc w:val="both"/>
        <w:rPr>
          <w:rFonts w:ascii="Arial" w:hAnsi="Arial" w:cs="Arial"/>
        </w:rPr>
      </w:pPr>
    </w:p>
    <w:p w14:paraId="20C2F7BE" w14:textId="77777777" w:rsidR="00CD5AA1" w:rsidRPr="00FA1202" w:rsidRDefault="00CD5AA1" w:rsidP="00CD5AA1">
      <w:pPr>
        <w:pStyle w:val="Sinespaciado"/>
        <w:jc w:val="both"/>
        <w:rPr>
          <w:rFonts w:ascii="Arial" w:hAnsi="Arial" w:cs="Arial"/>
        </w:rPr>
      </w:pPr>
      <w:r w:rsidRPr="00FA1202">
        <w:rPr>
          <w:rFonts w:ascii="Arial" w:hAnsi="Arial" w:cs="Arial"/>
        </w:rPr>
        <w:t>Se tienen contemplados las siguientes actividades para el siguiente trimestre del año:</w:t>
      </w:r>
    </w:p>
    <w:p w14:paraId="72A6F6B5" w14:textId="77777777" w:rsidR="00CD5AA1" w:rsidRPr="00FA1202" w:rsidRDefault="00CD5AA1" w:rsidP="00CD5AA1">
      <w:pPr>
        <w:pStyle w:val="Sinespaciado"/>
        <w:jc w:val="both"/>
        <w:rPr>
          <w:rFonts w:ascii="Arial" w:hAnsi="Arial" w:cs="Arial"/>
        </w:rPr>
      </w:pPr>
    </w:p>
    <w:p w14:paraId="0A5370EC" w14:textId="77777777" w:rsidR="00CD5AA1" w:rsidRPr="00FA1202" w:rsidRDefault="00CD5AA1" w:rsidP="00CD5AA1">
      <w:pPr>
        <w:pStyle w:val="Sinespaciado"/>
        <w:jc w:val="both"/>
        <w:rPr>
          <w:rFonts w:ascii="Arial" w:hAnsi="Arial" w:cs="Arial"/>
        </w:rPr>
      </w:pPr>
      <w:r w:rsidRPr="00FA1202">
        <w:rPr>
          <w:rFonts w:ascii="Arial" w:hAnsi="Arial" w:cs="Arial"/>
        </w:rPr>
        <w:t xml:space="preserve">Contratar la adquisición de dispositivos para la medición de la radiación ionizante, que permita fortalecer los programas de vigilancia radiológica, Contratar la adecuación de la estructura física del  LSCD de la Dirección Técnica de Asuntos Nucleares, Contratar el mantenimiento preventivo y correctivo de los sistemas de levantamiento e </w:t>
      </w:r>
      <w:proofErr w:type="spellStart"/>
      <w:r w:rsidRPr="00FA1202">
        <w:rPr>
          <w:rFonts w:ascii="Arial" w:hAnsi="Arial" w:cs="Arial"/>
        </w:rPr>
        <w:t>izaje</w:t>
      </w:r>
      <w:proofErr w:type="spellEnd"/>
      <w:r w:rsidRPr="00FA1202">
        <w:rPr>
          <w:rFonts w:ascii="Arial" w:hAnsi="Arial" w:cs="Arial"/>
        </w:rPr>
        <w:t xml:space="preserve"> de cargas, Contratar el suministro de gases especiales para apoyar las labores de análisis y ensayos que realizan los laboratorios del SGC entre los más representativos.</w:t>
      </w:r>
    </w:p>
    <w:p w14:paraId="3E1FC841" w14:textId="77777777" w:rsidR="00CD5AA1" w:rsidRPr="00FA1202" w:rsidRDefault="00CD5AA1" w:rsidP="00CD5AA1">
      <w:pPr>
        <w:pStyle w:val="Sinespaciado"/>
        <w:jc w:val="both"/>
        <w:rPr>
          <w:rFonts w:ascii="Arial" w:hAnsi="Arial" w:cs="Arial"/>
          <w:shd w:val="clear" w:color="auto" w:fill="FFFFFF"/>
        </w:rPr>
      </w:pPr>
    </w:p>
    <w:p w14:paraId="64523A21"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FORTALECIMIENTO INSTITUCIONAL DEL SERVICIO GEOLÓGICO COLOMBIANO A NIVEL NACIONAL</w:t>
      </w:r>
    </w:p>
    <w:p w14:paraId="418CFFFF" w14:textId="77777777" w:rsidR="00CD5AA1" w:rsidRPr="00FA1202" w:rsidRDefault="00CD5AA1" w:rsidP="00CD5AA1">
      <w:pPr>
        <w:pStyle w:val="Sinespaciado"/>
        <w:jc w:val="both"/>
        <w:rPr>
          <w:rFonts w:ascii="Arial" w:hAnsi="Arial" w:cs="Arial"/>
          <w:shd w:val="clear" w:color="auto" w:fill="FFFFFF"/>
        </w:rPr>
      </w:pPr>
    </w:p>
    <w:p w14:paraId="5945A4B7" w14:textId="77777777" w:rsidR="00CD5AA1" w:rsidRPr="00FA1202" w:rsidRDefault="00CD5AA1" w:rsidP="00CD5AA1">
      <w:pPr>
        <w:pStyle w:val="Sinespaciado"/>
        <w:jc w:val="both"/>
        <w:rPr>
          <w:rFonts w:ascii="Arial" w:hAnsi="Arial" w:cs="Arial"/>
        </w:rPr>
      </w:pPr>
      <w:r w:rsidRPr="00FA1202">
        <w:rPr>
          <w:rFonts w:ascii="Arial" w:hAnsi="Arial" w:cs="Arial"/>
        </w:rPr>
        <w:t>El objetivo del proyecto es fortalecer la gestión integrada de los procesos de apoyo del Servicio Geológico Colombiano</w:t>
      </w:r>
    </w:p>
    <w:p w14:paraId="5FCCDA78" w14:textId="77777777" w:rsidR="00CD5AA1" w:rsidRPr="00FA1202" w:rsidRDefault="00CD5AA1" w:rsidP="00CD5AA1">
      <w:pPr>
        <w:pStyle w:val="Sinespaciado"/>
        <w:jc w:val="both"/>
        <w:rPr>
          <w:rFonts w:ascii="Arial" w:hAnsi="Arial" w:cs="Arial"/>
        </w:rPr>
      </w:pPr>
    </w:p>
    <w:p w14:paraId="50E60D34" w14:textId="77777777" w:rsidR="00CD5AA1" w:rsidRPr="00FA1202" w:rsidRDefault="00CD5AA1" w:rsidP="00CD5AA1">
      <w:pPr>
        <w:pStyle w:val="Sinespaciado"/>
        <w:jc w:val="both"/>
        <w:rPr>
          <w:rFonts w:ascii="Arial" w:hAnsi="Arial" w:cs="Arial"/>
        </w:rPr>
      </w:pPr>
      <w:r w:rsidRPr="00FA1202">
        <w:rPr>
          <w:rFonts w:ascii="Arial" w:hAnsi="Arial" w:cs="Arial"/>
        </w:rPr>
        <w:t>Para el siguiente trimestre del año se tiene contemplado Contratar los servicios de entrenamiento de una firma con experiencia en la temática de derechos de petición, quejas, reclamos, sugerencias, recursos de reposición y denuncias para actualizar y fortalecer las capacidades de los servidores, contratación de instrumento, aplicación y entrega de informes para caracterizar tendencias de personalidad y estilos de afrontamiento a 400 trabajadores, realizar el</w:t>
      </w:r>
      <w:r w:rsidRPr="00FA1202">
        <w:rPr>
          <w:rFonts w:ascii="Arial" w:eastAsiaTheme="minorHAnsi" w:hAnsi="Arial" w:cs="Arial"/>
        </w:rPr>
        <w:t xml:space="preserve"> </w:t>
      </w:r>
      <w:r w:rsidRPr="00FA1202">
        <w:rPr>
          <w:rFonts w:ascii="Arial" w:hAnsi="Arial" w:cs="Arial"/>
        </w:rPr>
        <w:t>diagnóstico de la infraestructura física de las sedes de Popayán y Manizales, fortalecer el desempeño tecnológico del software Orfeo a través de un desarrollo en el aplicativo, con el fin de ampliar y potencializar el seguimiento y reporte de las mismas y mejorar el formulario en cuanto a su usabilidad y accesibilidad y Realizar la intervención de Clima y Cultura Organizacional a los funcionarios del Servicio Geológico Colombiano.</w:t>
      </w:r>
    </w:p>
    <w:p w14:paraId="2495550A" w14:textId="77777777" w:rsidR="00CD5AA1" w:rsidRPr="00FA1202" w:rsidRDefault="00CD5AA1" w:rsidP="00CD5AA1">
      <w:pPr>
        <w:pStyle w:val="Sinespaciado"/>
        <w:jc w:val="both"/>
        <w:rPr>
          <w:rFonts w:ascii="Arial" w:hAnsi="Arial" w:cs="Arial"/>
          <w:shd w:val="clear" w:color="auto" w:fill="FFFFFF"/>
        </w:rPr>
      </w:pPr>
    </w:p>
    <w:p w14:paraId="0FEC2F9C" w14:textId="77777777" w:rsidR="00CD5AA1" w:rsidRPr="00FA1202" w:rsidRDefault="00CD5AA1" w:rsidP="00CD5AA1">
      <w:pPr>
        <w:pStyle w:val="Sinespaciado"/>
        <w:jc w:val="both"/>
        <w:rPr>
          <w:rFonts w:ascii="Arial" w:hAnsi="Arial" w:cs="Arial"/>
          <w:shd w:val="clear" w:color="auto" w:fill="FFFFFF"/>
        </w:rPr>
      </w:pPr>
    </w:p>
    <w:p w14:paraId="72EB3861"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lastRenderedPageBreak/>
        <w:t xml:space="preserve">Proyecto: </w:t>
      </w:r>
      <w:r w:rsidRPr="00FA1202">
        <w:rPr>
          <w:rFonts w:ascii="Arial" w:hAnsi="Arial" w:cs="Arial"/>
          <w:shd w:val="clear" w:color="auto" w:fill="FFFFFF"/>
        </w:rPr>
        <w:t>FORTALECIMIENTO DE LA GESTIÓN ESTRATÉGICA INTEGRAL DEL SERVICIO GEOLÓGICO COLOMBIANO A NIVEL NACIONAL</w:t>
      </w:r>
    </w:p>
    <w:p w14:paraId="44DED0BB" w14:textId="77777777" w:rsidR="00CD5AA1" w:rsidRPr="00FA1202" w:rsidRDefault="00CD5AA1" w:rsidP="00CD5AA1">
      <w:pPr>
        <w:pStyle w:val="Sinespaciado"/>
        <w:jc w:val="both"/>
        <w:rPr>
          <w:rFonts w:ascii="Arial" w:hAnsi="Arial" w:cs="Arial"/>
          <w:shd w:val="clear" w:color="auto" w:fill="FFFFFF"/>
        </w:rPr>
      </w:pPr>
    </w:p>
    <w:p w14:paraId="32FA7A90" w14:textId="77777777" w:rsidR="00CD5AA1" w:rsidRPr="00FA1202" w:rsidRDefault="00CD5AA1" w:rsidP="00CD5AA1">
      <w:pPr>
        <w:pStyle w:val="Sinespaciado"/>
        <w:jc w:val="both"/>
        <w:rPr>
          <w:rFonts w:ascii="Arial" w:hAnsi="Arial" w:cs="Arial"/>
        </w:rPr>
      </w:pPr>
      <w:r w:rsidRPr="00FA1202">
        <w:rPr>
          <w:rFonts w:ascii="Arial" w:hAnsi="Arial" w:cs="Arial"/>
        </w:rPr>
        <w:t>El objetivo del proyecto es fortalecer la gestión integral del direccionamiento estratégico del Servicio Geológico Colombiano</w:t>
      </w:r>
    </w:p>
    <w:p w14:paraId="4E3CBDFA" w14:textId="77777777" w:rsidR="00CD5AA1" w:rsidRPr="00FA1202" w:rsidRDefault="00CD5AA1" w:rsidP="00CD5AA1">
      <w:pPr>
        <w:pStyle w:val="Sinespaciado"/>
        <w:jc w:val="both"/>
        <w:rPr>
          <w:rFonts w:ascii="Arial" w:hAnsi="Arial" w:cs="Arial"/>
        </w:rPr>
      </w:pPr>
    </w:p>
    <w:p w14:paraId="0B510D98" w14:textId="77777777" w:rsidR="00CD5AA1" w:rsidRPr="00FA1202" w:rsidRDefault="00CD5AA1" w:rsidP="00CD5AA1">
      <w:pPr>
        <w:pStyle w:val="Sinespaciado"/>
        <w:jc w:val="both"/>
        <w:rPr>
          <w:rFonts w:ascii="Arial" w:hAnsi="Arial" w:cs="Arial"/>
        </w:rPr>
      </w:pPr>
      <w:r w:rsidRPr="00FA1202">
        <w:rPr>
          <w:rFonts w:ascii="Arial" w:hAnsi="Arial" w:cs="Arial"/>
        </w:rPr>
        <w:t>Para el siguiente trimestre del año se tiene contemplado apoyar estratégicamente al Servicio Geológico Colombiano en el fortalecimiento de capacidades y mejora de habilidades técnicas para la armonización de los sistemas de gestión institucional con el Modelo Integrado de Planeación y Gestión y Elaboración e implementación de planes y programas institucionales, contratar la prestación del servicio de monitoreo ambiental, contratar la prestación del servicio de recolección, transporte, aprovechamiento, tratamiento y disposición final de los residuos peligrosos.</w:t>
      </w:r>
    </w:p>
    <w:p w14:paraId="3F8337AB" w14:textId="77777777" w:rsidR="00CD5AA1" w:rsidRPr="00FA1202" w:rsidRDefault="00CD5AA1" w:rsidP="00CD5AA1">
      <w:pPr>
        <w:pStyle w:val="Sinespaciado"/>
        <w:jc w:val="both"/>
        <w:rPr>
          <w:rFonts w:ascii="Arial" w:hAnsi="Arial" w:cs="Arial"/>
          <w:shd w:val="clear" w:color="auto" w:fill="FFFFFF"/>
        </w:rPr>
      </w:pPr>
    </w:p>
    <w:p w14:paraId="27FB5E7C"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FORTALECIMIENTO DE LA INVESTIGACIÓN Y CARACTERIZACIÓN DE MATERIALES GEOLÓGICOS EN TERRITORIO NACIONAL</w:t>
      </w:r>
    </w:p>
    <w:p w14:paraId="716479D6" w14:textId="77777777" w:rsidR="00CD5AA1" w:rsidRPr="00FA1202" w:rsidRDefault="00CD5AA1" w:rsidP="00CD5AA1">
      <w:pPr>
        <w:pStyle w:val="Sinespaciado"/>
        <w:jc w:val="both"/>
        <w:rPr>
          <w:rFonts w:ascii="Arial" w:hAnsi="Arial" w:cs="Arial"/>
          <w:shd w:val="clear" w:color="auto" w:fill="FFFFFF"/>
        </w:rPr>
      </w:pPr>
    </w:p>
    <w:p w14:paraId="36A2E8D3" w14:textId="77777777" w:rsidR="00CD5AA1" w:rsidRPr="00FA1202" w:rsidRDefault="00CD5AA1" w:rsidP="00CD5AA1">
      <w:pPr>
        <w:pStyle w:val="Sinespaciado"/>
        <w:jc w:val="both"/>
        <w:rPr>
          <w:rFonts w:ascii="Arial" w:hAnsi="Arial" w:cs="Arial"/>
        </w:rPr>
      </w:pPr>
      <w:r w:rsidRPr="00FA1202">
        <w:rPr>
          <w:rFonts w:ascii="Arial" w:hAnsi="Arial" w:cs="Arial"/>
        </w:rPr>
        <w:t>El objetivo del proyecto es fortalecer la generación de valor agregado en el proceso de investigación y caracterización de materiales geológicos</w:t>
      </w:r>
    </w:p>
    <w:p w14:paraId="22CAB7A7" w14:textId="77777777" w:rsidR="00CD5AA1" w:rsidRPr="00FA1202" w:rsidRDefault="00CD5AA1" w:rsidP="00CD5AA1">
      <w:pPr>
        <w:pStyle w:val="Sinespaciado"/>
        <w:jc w:val="both"/>
        <w:rPr>
          <w:rFonts w:ascii="Arial" w:hAnsi="Arial" w:cs="Arial"/>
        </w:rPr>
      </w:pPr>
    </w:p>
    <w:p w14:paraId="55F442B4" w14:textId="77777777" w:rsidR="00CD5AA1" w:rsidRPr="00FA1202" w:rsidRDefault="00CD5AA1" w:rsidP="00CD5AA1">
      <w:pPr>
        <w:pStyle w:val="Sinespaciado"/>
        <w:jc w:val="both"/>
        <w:rPr>
          <w:rFonts w:ascii="Arial" w:hAnsi="Arial" w:cs="Arial"/>
        </w:rPr>
      </w:pPr>
      <w:r w:rsidRPr="00FA1202">
        <w:rPr>
          <w:rFonts w:ascii="Arial" w:hAnsi="Arial" w:cs="Arial"/>
        </w:rPr>
        <w:t xml:space="preserve">Para el próximo trimestre se tiene contemplado realizar el mantenimiento de Balanzas y Medios Isotérmicos, mantenimiento y suministro de repuestos de los Equipos </w:t>
      </w:r>
      <w:proofErr w:type="spellStart"/>
      <w:r w:rsidRPr="00FA1202">
        <w:rPr>
          <w:rFonts w:ascii="Arial" w:hAnsi="Arial" w:cs="Arial"/>
        </w:rPr>
        <w:t>Thermo</w:t>
      </w:r>
      <w:proofErr w:type="spellEnd"/>
      <w:r w:rsidRPr="00FA1202">
        <w:rPr>
          <w:rFonts w:ascii="Arial" w:hAnsi="Arial" w:cs="Arial"/>
        </w:rPr>
        <w:t xml:space="preserve"> – </w:t>
      </w:r>
      <w:proofErr w:type="spellStart"/>
      <w:r w:rsidRPr="00FA1202">
        <w:rPr>
          <w:rFonts w:ascii="Arial" w:hAnsi="Arial" w:cs="Arial"/>
        </w:rPr>
        <w:t>Niton</w:t>
      </w:r>
      <w:proofErr w:type="spellEnd"/>
      <w:r w:rsidRPr="00FA1202">
        <w:rPr>
          <w:rFonts w:ascii="Arial" w:hAnsi="Arial" w:cs="Arial"/>
        </w:rPr>
        <w:t>, entre otros.</w:t>
      </w:r>
    </w:p>
    <w:p w14:paraId="16AFE6B5" w14:textId="77777777" w:rsidR="00CD5AA1" w:rsidRPr="00FA1202" w:rsidRDefault="00CD5AA1" w:rsidP="00CD5AA1">
      <w:pPr>
        <w:pStyle w:val="Sinespaciado"/>
        <w:jc w:val="both"/>
        <w:rPr>
          <w:rFonts w:ascii="Arial" w:hAnsi="Arial" w:cs="Arial"/>
        </w:rPr>
      </w:pPr>
    </w:p>
    <w:p w14:paraId="75327622" w14:textId="77777777" w:rsidR="00CD5AA1" w:rsidRPr="00FA1202" w:rsidRDefault="00CD5AA1" w:rsidP="00CD5AA1">
      <w:pPr>
        <w:pStyle w:val="Sinespaciado"/>
        <w:jc w:val="both"/>
        <w:rPr>
          <w:rFonts w:ascii="Arial" w:hAnsi="Arial" w:cs="Arial"/>
          <w:shd w:val="clear" w:color="auto" w:fill="FFFFFF"/>
        </w:rPr>
      </w:pPr>
      <w:r w:rsidRPr="00FA1202">
        <w:rPr>
          <w:rFonts w:ascii="Arial" w:hAnsi="Arial" w:cs="Arial"/>
          <w:b/>
        </w:rPr>
        <w:t xml:space="preserve">Proyecto: </w:t>
      </w:r>
      <w:r w:rsidRPr="00FA1202">
        <w:rPr>
          <w:rFonts w:ascii="Arial" w:hAnsi="Arial" w:cs="Arial"/>
          <w:shd w:val="clear" w:color="auto" w:fill="FFFFFF"/>
        </w:rPr>
        <w:t>INVESTIGACIÓN Y DESARROLLO GEOCIENTÍFICO DE HIDROCARBUROS EN EL TERRITORIO NACIONAL</w:t>
      </w:r>
    </w:p>
    <w:p w14:paraId="2BEAE206" w14:textId="77777777" w:rsidR="00CD5AA1" w:rsidRPr="00FA1202" w:rsidRDefault="00CD5AA1" w:rsidP="00CD5AA1">
      <w:pPr>
        <w:pStyle w:val="Sinespaciado"/>
        <w:jc w:val="both"/>
        <w:rPr>
          <w:rFonts w:ascii="Arial" w:hAnsi="Arial" w:cs="Arial"/>
          <w:shd w:val="clear" w:color="auto" w:fill="FFFFFF"/>
        </w:rPr>
      </w:pPr>
    </w:p>
    <w:p w14:paraId="6CEDDAC4" w14:textId="77777777" w:rsidR="00CD5AA1" w:rsidRPr="00FA1202" w:rsidRDefault="00CD5AA1" w:rsidP="00CD5AA1">
      <w:pPr>
        <w:pStyle w:val="Sinespaciado"/>
        <w:jc w:val="both"/>
        <w:rPr>
          <w:rFonts w:ascii="Arial" w:hAnsi="Arial" w:cs="Arial"/>
        </w:rPr>
      </w:pPr>
      <w:r w:rsidRPr="00FA1202">
        <w:rPr>
          <w:rFonts w:ascii="Arial" w:hAnsi="Arial" w:cs="Arial"/>
        </w:rPr>
        <w:t>El objetivo del proyecto es aumentar los niveles de producción de conocimiento geocientífico en materia de hidrocarburos</w:t>
      </w:r>
    </w:p>
    <w:p w14:paraId="7BEE8231" w14:textId="77777777" w:rsidR="00CD5AA1" w:rsidRPr="00FA1202" w:rsidRDefault="00CD5AA1" w:rsidP="00CD5AA1">
      <w:pPr>
        <w:pStyle w:val="Sinespaciado"/>
        <w:jc w:val="both"/>
        <w:rPr>
          <w:rFonts w:ascii="Arial" w:hAnsi="Arial" w:cs="Arial"/>
        </w:rPr>
      </w:pPr>
    </w:p>
    <w:p w14:paraId="08058EB6" w14:textId="77777777" w:rsidR="00CD5AA1" w:rsidRPr="00FA1202" w:rsidRDefault="00CD5AA1" w:rsidP="00CD5AA1">
      <w:pPr>
        <w:pStyle w:val="Sinespaciado"/>
        <w:jc w:val="both"/>
        <w:rPr>
          <w:rFonts w:ascii="Arial" w:hAnsi="Arial" w:cs="Arial"/>
        </w:rPr>
      </w:pPr>
      <w:r w:rsidRPr="00FA1202">
        <w:rPr>
          <w:rFonts w:ascii="Arial" w:hAnsi="Arial" w:cs="Arial"/>
        </w:rPr>
        <w:t>Las actividades a realizar son pruebas de Laboratorio Servicios basados en ingeniería, investigación y tecnología y actividades relacionadas a la Investigación y desarrollo geocientífico de hidrocarburos en el territorio Nacional.</w:t>
      </w:r>
    </w:p>
    <w:p w14:paraId="449593D0" w14:textId="77777777" w:rsidR="00C02282" w:rsidRPr="006A67B4" w:rsidRDefault="00C02282" w:rsidP="00C02282">
      <w:pPr>
        <w:spacing w:after="0" w:line="240" w:lineRule="auto"/>
        <w:ind w:left="-142"/>
        <w:rPr>
          <w:rFonts w:ascii="Arial" w:eastAsia="Calibri" w:hAnsi="Arial" w:cs="Arial"/>
          <w:highlight w:val="yellow"/>
        </w:rPr>
      </w:pPr>
    </w:p>
    <w:p w14:paraId="39547B8A" w14:textId="77777777" w:rsidR="00C02282" w:rsidRPr="00CD5AA1" w:rsidRDefault="00C02282" w:rsidP="008B4625">
      <w:pPr>
        <w:pStyle w:val="Ttulo1"/>
        <w:numPr>
          <w:ilvl w:val="0"/>
          <w:numId w:val="30"/>
        </w:numPr>
        <w:rPr>
          <w:rFonts w:ascii="Arial" w:eastAsia="Arial" w:hAnsi="Arial" w:cs="Arial"/>
          <w:b/>
          <w:color w:val="auto"/>
          <w:sz w:val="22"/>
          <w:szCs w:val="22"/>
          <w:lang w:eastAsia="es-CO"/>
        </w:rPr>
      </w:pPr>
      <w:bookmarkStart w:id="214" w:name="_Toc514693355"/>
      <w:bookmarkStart w:id="215" w:name="_Toc525652057"/>
      <w:r w:rsidRPr="00CD5AA1">
        <w:rPr>
          <w:rFonts w:ascii="Arial" w:eastAsia="Arial" w:hAnsi="Arial" w:cs="Arial"/>
          <w:b/>
          <w:color w:val="auto"/>
          <w:sz w:val="22"/>
          <w:szCs w:val="22"/>
          <w:lang w:eastAsia="es-CO"/>
        </w:rPr>
        <w:t>COMPOSICIÓN REZAGO PRESUPUESTAL DEL SGC</w:t>
      </w:r>
      <w:bookmarkEnd w:id="214"/>
      <w:bookmarkEnd w:id="215"/>
    </w:p>
    <w:p w14:paraId="3EA69957" w14:textId="77777777" w:rsidR="00CD5AA1" w:rsidRPr="00CD5AA1" w:rsidRDefault="00CD5AA1" w:rsidP="00CD5AA1">
      <w:pPr>
        <w:pStyle w:val="Sinespaciado"/>
        <w:jc w:val="both"/>
        <w:rPr>
          <w:rFonts w:ascii="Arial" w:hAnsi="Arial" w:cs="Arial"/>
        </w:rPr>
      </w:pPr>
      <w:bookmarkStart w:id="216" w:name="_Toc514693356"/>
      <w:r w:rsidRPr="00CD5AA1">
        <w:rPr>
          <w:rFonts w:ascii="Arial" w:hAnsi="Arial" w:cs="Arial"/>
        </w:rPr>
        <w:t>Al finalizar la vigencia 2018, se constituyó el rezago presupuestal para ejecutar en la vigencia 2018, así:</w:t>
      </w:r>
    </w:p>
    <w:p w14:paraId="30A01AA6" w14:textId="77777777" w:rsidR="00C02282" w:rsidRPr="00CD5AA1" w:rsidRDefault="00C02282" w:rsidP="00055F7C">
      <w:pPr>
        <w:pStyle w:val="Ttulo2"/>
        <w:numPr>
          <w:ilvl w:val="1"/>
          <w:numId w:val="11"/>
        </w:numPr>
        <w:rPr>
          <w:rFonts w:ascii="Arial" w:eastAsia="Calibri" w:hAnsi="Arial" w:cs="Arial"/>
          <w:color w:val="auto"/>
          <w:sz w:val="22"/>
          <w:szCs w:val="22"/>
        </w:rPr>
      </w:pPr>
      <w:bookmarkStart w:id="217" w:name="_Toc525652058"/>
      <w:r w:rsidRPr="00CD5AA1">
        <w:rPr>
          <w:rFonts w:ascii="Arial" w:eastAsia="Calibri" w:hAnsi="Arial" w:cs="Arial"/>
          <w:color w:val="auto"/>
          <w:sz w:val="22"/>
          <w:szCs w:val="22"/>
        </w:rPr>
        <w:t>Ejecución reservas presupuestal</w:t>
      </w:r>
      <w:bookmarkEnd w:id="216"/>
      <w:r w:rsidRPr="00CD5AA1">
        <w:rPr>
          <w:rFonts w:ascii="Arial" w:eastAsia="Calibri" w:hAnsi="Arial" w:cs="Arial"/>
          <w:color w:val="auto"/>
          <w:sz w:val="22"/>
          <w:szCs w:val="22"/>
        </w:rPr>
        <w:t>es SGC</w:t>
      </w:r>
      <w:bookmarkEnd w:id="217"/>
    </w:p>
    <w:p w14:paraId="6CC439FC" w14:textId="77777777" w:rsidR="00CD5AA1" w:rsidRPr="00FA1202" w:rsidRDefault="00CD5AA1" w:rsidP="00CD5AA1">
      <w:pPr>
        <w:jc w:val="both"/>
        <w:rPr>
          <w:rFonts w:ascii="Arial" w:eastAsia="Times New Roman" w:hAnsi="Arial" w:cs="Arial"/>
          <w:b/>
          <w:bCs/>
          <w:color w:val="000000"/>
        </w:rPr>
      </w:pPr>
      <w:r w:rsidRPr="00FA1202">
        <w:rPr>
          <w:rFonts w:ascii="Arial" w:hAnsi="Arial" w:cs="Arial"/>
        </w:rPr>
        <w:t>A 31 de diciembre de 2017 se constituyó reserva presupuestal para funcionamiento por valor de $6</w:t>
      </w:r>
      <w:r w:rsidRPr="00FA1202">
        <w:rPr>
          <w:rFonts w:ascii="Arial" w:eastAsia="Times New Roman" w:hAnsi="Arial" w:cs="Arial"/>
          <w:color w:val="000000"/>
        </w:rPr>
        <w:t>83 millones y</w:t>
      </w:r>
      <w:r w:rsidRPr="00FA1202">
        <w:rPr>
          <w:rFonts w:ascii="Arial" w:hAnsi="Arial" w:cs="Arial"/>
        </w:rPr>
        <w:t xml:space="preserve"> a junio de 2018 se ha ejecutado el valor de $</w:t>
      </w:r>
      <w:r w:rsidRPr="00FA1202">
        <w:rPr>
          <w:rFonts w:ascii="Arial" w:eastAsia="Times New Roman" w:hAnsi="Arial" w:cs="Arial"/>
          <w:bCs/>
          <w:color w:val="000000"/>
        </w:rPr>
        <w:t>444 millones, con un porcentaje de ejecución del 64.92%</w:t>
      </w:r>
    </w:p>
    <w:p w14:paraId="3EF176A7" w14:textId="77777777" w:rsidR="00CD5AA1" w:rsidRPr="00FA1202" w:rsidRDefault="00CD5AA1" w:rsidP="00CD5AA1">
      <w:pPr>
        <w:jc w:val="both"/>
        <w:rPr>
          <w:rFonts w:ascii="Arial" w:hAnsi="Arial" w:cs="Arial"/>
        </w:rPr>
      </w:pPr>
      <w:r w:rsidRPr="00FA1202">
        <w:rPr>
          <w:rFonts w:ascii="Arial" w:hAnsi="Arial" w:cs="Arial"/>
        </w:rPr>
        <w:t>Por Inversión se constituyó el valor de $2.814 millones y se ha ejecutado el monto de $1.975 millones, con una ejecución durante el segundo trimestre el 70.20%</w:t>
      </w:r>
    </w:p>
    <w:p w14:paraId="0ED024B2" w14:textId="77777777" w:rsidR="00C02282" w:rsidRPr="00CD5AA1" w:rsidRDefault="00C02282" w:rsidP="00C02282">
      <w:pPr>
        <w:pStyle w:val="Descripcin"/>
        <w:keepNext/>
        <w:jc w:val="center"/>
      </w:pPr>
      <w:bookmarkStart w:id="218" w:name="_Toc525652548"/>
      <w:r w:rsidRPr="00CD5AA1">
        <w:lastRenderedPageBreak/>
        <w:t xml:space="preserve">Tabla </w:t>
      </w:r>
      <w:r w:rsidRPr="00CD5AA1">
        <w:fldChar w:fldCharType="begin"/>
      </w:r>
      <w:r w:rsidRPr="00CD5AA1">
        <w:instrText xml:space="preserve"> SEQ Tabla \* ARABIC </w:instrText>
      </w:r>
      <w:r w:rsidRPr="00CD5AA1">
        <w:fldChar w:fldCharType="separate"/>
      </w:r>
      <w:r w:rsidR="008B4625">
        <w:rPr>
          <w:noProof/>
        </w:rPr>
        <w:t>103</w:t>
      </w:r>
      <w:r w:rsidRPr="00CD5AA1">
        <w:fldChar w:fldCharType="end"/>
      </w:r>
      <w:r w:rsidRPr="00CD5AA1">
        <w:t xml:space="preserve"> Ejecución reservas presupuestales SCG</w:t>
      </w:r>
      <w:bookmarkEnd w:id="218"/>
    </w:p>
    <w:tbl>
      <w:tblPr>
        <w:tblW w:w="9346" w:type="dxa"/>
        <w:tblLayout w:type="fixed"/>
        <w:tblCellMar>
          <w:left w:w="70" w:type="dxa"/>
          <w:right w:w="70" w:type="dxa"/>
        </w:tblCellMar>
        <w:tblLook w:val="04A0" w:firstRow="1" w:lastRow="0" w:firstColumn="1" w:lastColumn="0" w:noHBand="0" w:noVBand="1"/>
      </w:tblPr>
      <w:tblGrid>
        <w:gridCol w:w="4668"/>
        <w:gridCol w:w="1418"/>
        <w:gridCol w:w="1417"/>
        <w:gridCol w:w="641"/>
        <w:gridCol w:w="1202"/>
      </w:tblGrid>
      <w:tr w:rsidR="00CD5AA1" w:rsidRPr="00CD5AA1" w14:paraId="15BF68D8" w14:textId="77777777" w:rsidTr="002D3798">
        <w:trPr>
          <w:trHeight w:val="938"/>
        </w:trPr>
        <w:tc>
          <w:tcPr>
            <w:tcW w:w="4668"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2C5A9094"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Concepto</w:t>
            </w:r>
          </w:p>
        </w:tc>
        <w:tc>
          <w:tcPr>
            <w:tcW w:w="1418" w:type="dxa"/>
            <w:tcBorders>
              <w:top w:val="single" w:sz="8" w:space="0" w:color="auto"/>
              <w:left w:val="nil"/>
              <w:bottom w:val="single" w:sz="8" w:space="0" w:color="auto"/>
              <w:right w:val="single" w:sz="4" w:space="0" w:color="auto"/>
            </w:tcBorders>
            <w:shd w:val="clear" w:color="000000" w:fill="1F4E78"/>
            <w:vAlign w:val="center"/>
            <w:hideMark/>
          </w:tcPr>
          <w:p w14:paraId="29693EF4" w14:textId="77777777" w:rsidR="00CD5AA1" w:rsidRPr="00CD5AA1" w:rsidRDefault="00CD5AA1" w:rsidP="002D3798">
            <w:pPr>
              <w:spacing w:after="0" w:line="240" w:lineRule="auto"/>
              <w:jc w:val="center"/>
              <w:rPr>
                <w:rFonts w:ascii="Arial" w:eastAsia="Times New Roman" w:hAnsi="Arial" w:cs="Arial"/>
                <w:b/>
                <w:bCs/>
                <w:color w:val="FFFFFF" w:themeColor="background1"/>
                <w:lang w:eastAsia="es-CO"/>
              </w:rPr>
            </w:pPr>
            <w:r w:rsidRPr="00CD5AA1">
              <w:rPr>
                <w:rFonts w:ascii="Arial" w:eastAsia="Times New Roman" w:hAnsi="Arial" w:cs="Arial"/>
                <w:b/>
                <w:bCs/>
                <w:color w:val="FFFFFF" w:themeColor="background1"/>
              </w:rPr>
              <w:t>Compromiso</w:t>
            </w:r>
          </w:p>
        </w:tc>
        <w:tc>
          <w:tcPr>
            <w:tcW w:w="1417" w:type="dxa"/>
            <w:tcBorders>
              <w:top w:val="single" w:sz="8" w:space="0" w:color="auto"/>
              <w:left w:val="nil"/>
              <w:bottom w:val="single" w:sz="8" w:space="0" w:color="auto"/>
              <w:right w:val="single" w:sz="8" w:space="0" w:color="auto"/>
            </w:tcBorders>
            <w:shd w:val="clear" w:color="000000" w:fill="1F4E78"/>
            <w:vAlign w:val="center"/>
            <w:hideMark/>
          </w:tcPr>
          <w:p w14:paraId="45A0F187" w14:textId="77777777" w:rsidR="00CD5AA1" w:rsidRPr="00CD5AA1" w:rsidRDefault="00CD5AA1" w:rsidP="002D3798">
            <w:pPr>
              <w:spacing w:after="0" w:line="240" w:lineRule="auto"/>
              <w:jc w:val="center"/>
              <w:rPr>
                <w:rFonts w:ascii="Arial" w:eastAsia="Times New Roman" w:hAnsi="Arial" w:cs="Arial"/>
                <w:b/>
                <w:bCs/>
                <w:color w:val="FFFFFF" w:themeColor="background1"/>
                <w:lang w:eastAsia="es-CO"/>
              </w:rPr>
            </w:pPr>
            <w:r w:rsidRPr="00CD5AA1">
              <w:rPr>
                <w:rFonts w:ascii="Arial" w:eastAsia="Times New Roman" w:hAnsi="Arial" w:cs="Arial"/>
                <w:b/>
                <w:bCs/>
                <w:color w:val="FFFFFF" w:themeColor="background1"/>
              </w:rPr>
              <w:t>Obligación</w:t>
            </w:r>
          </w:p>
        </w:tc>
        <w:tc>
          <w:tcPr>
            <w:tcW w:w="641" w:type="dxa"/>
            <w:tcBorders>
              <w:top w:val="single" w:sz="8" w:space="0" w:color="auto"/>
              <w:left w:val="nil"/>
              <w:bottom w:val="single" w:sz="8" w:space="0" w:color="auto"/>
              <w:right w:val="nil"/>
            </w:tcBorders>
            <w:shd w:val="clear" w:color="000000" w:fill="1F4E78"/>
          </w:tcPr>
          <w:p w14:paraId="4A5EAE8B" w14:textId="77777777" w:rsidR="00CD5AA1" w:rsidRPr="00CD5AA1" w:rsidRDefault="00CD5AA1" w:rsidP="002D3798">
            <w:pPr>
              <w:spacing w:after="0" w:line="240" w:lineRule="auto"/>
              <w:jc w:val="center"/>
              <w:rPr>
                <w:rFonts w:ascii="Arial" w:eastAsia="Times New Roman" w:hAnsi="Arial" w:cs="Arial"/>
                <w:b/>
                <w:bCs/>
                <w:color w:val="FFFFFF" w:themeColor="background1"/>
              </w:rPr>
            </w:pPr>
          </w:p>
        </w:tc>
        <w:tc>
          <w:tcPr>
            <w:tcW w:w="1202" w:type="dxa"/>
            <w:tcBorders>
              <w:top w:val="single" w:sz="8" w:space="0" w:color="auto"/>
              <w:left w:val="nil"/>
              <w:bottom w:val="single" w:sz="8" w:space="0" w:color="auto"/>
              <w:right w:val="single" w:sz="8" w:space="0" w:color="auto"/>
            </w:tcBorders>
            <w:shd w:val="clear" w:color="000000" w:fill="1F4E78"/>
            <w:vAlign w:val="center"/>
          </w:tcPr>
          <w:p w14:paraId="2D5AF6EB" w14:textId="77777777" w:rsidR="00CD5AA1" w:rsidRPr="00CD5AA1" w:rsidRDefault="00CD5AA1" w:rsidP="002D3798">
            <w:pPr>
              <w:spacing w:after="0" w:line="240" w:lineRule="auto"/>
              <w:jc w:val="center"/>
              <w:rPr>
                <w:rFonts w:ascii="Arial" w:eastAsia="Times New Roman" w:hAnsi="Arial" w:cs="Arial"/>
                <w:b/>
                <w:bCs/>
                <w:color w:val="FFFFFF" w:themeColor="background1"/>
                <w:lang w:eastAsia="es-CO"/>
              </w:rPr>
            </w:pPr>
            <w:r w:rsidRPr="00CD5AA1">
              <w:rPr>
                <w:rFonts w:ascii="Arial" w:eastAsia="Times New Roman" w:hAnsi="Arial" w:cs="Arial"/>
                <w:b/>
                <w:bCs/>
                <w:color w:val="FFFFFF" w:themeColor="background1"/>
              </w:rPr>
              <w:t>% Ejecución</w:t>
            </w:r>
          </w:p>
        </w:tc>
      </w:tr>
      <w:tr w:rsidR="00CD5AA1" w:rsidRPr="00CD5AA1" w14:paraId="470AF764" w14:textId="77777777" w:rsidTr="002D3798">
        <w:trPr>
          <w:trHeight w:val="307"/>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14:paraId="6B25E748"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Gastos de Personal </w:t>
            </w:r>
          </w:p>
        </w:tc>
        <w:tc>
          <w:tcPr>
            <w:tcW w:w="1418" w:type="dxa"/>
            <w:tcBorders>
              <w:top w:val="nil"/>
              <w:left w:val="nil"/>
              <w:bottom w:val="nil"/>
              <w:right w:val="single" w:sz="4" w:space="0" w:color="auto"/>
            </w:tcBorders>
            <w:shd w:val="clear" w:color="000000" w:fill="FFFFFF"/>
            <w:noWrap/>
            <w:vAlign w:val="center"/>
          </w:tcPr>
          <w:p w14:paraId="28269391"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$ 11</w:t>
            </w:r>
          </w:p>
        </w:tc>
        <w:tc>
          <w:tcPr>
            <w:tcW w:w="1417" w:type="dxa"/>
            <w:tcBorders>
              <w:top w:val="nil"/>
              <w:left w:val="nil"/>
              <w:bottom w:val="single" w:sz="4" w:space="0" w:color="auto"/>
              <w:right w:val="single" w:sz="8" w:space="0" w:color="auto"/>
            </w:tcBorders>
            <w:shd w:val="clear" w:color="auto" w:fill="auto"/>
            <w:noWrap/>
            <w:vAlign w:val="center"/>
          </w:tcPr>
          <w:p w14:paraId="6AF7F66B"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$ 11</w:t>
            </w:r>
          </w:p>
        </w:tc>
        <w:tc>
          <w:tcPr>
            <w:tcW w:w="641" w:type="dxa"/>
            <w:tcBorders>
              <w:top w:val="nil"/>
              <w:left w:val="nil"/>
              <w:bottom w:val="single" w:sz="4" w:space="0" w:color="auto"/>
              <w:right w:val="nil"/>
            </w:tcBorders>
          </w:tcPr>
          <w:p w14:paraId="45B5516B" w14:textId="77777777" w:rsidR="00CD5AA1" w:rsidRPr="00CD5AA1" w:rsidRDefault="00CD5AA1" w:rsidP="002D3798">
            <w:pPr>
              <w:spacing w:after="0" w:line="240" w:lineRule="auto"/>
              <w:jc w:val="right"/>
              <w:rPr>
                <w:rFonts w:ascii="Arial" w:eastAsia="Times New Roman" w:hAnsi="Arial" w:cs="Arial"/>
                <w:bCs/>
                <w:color w:val="000000"/>
              </w:rPr>
            </w:pPr>
          </w:p>
        </w:tc>
        <w:tc>
          <w:tcPr>
            <w:tcW w:w="1202" w:type="dxa"/>
            <w:tcBorders>
              <w:top w:val="nil"/>
              <w:left w:val="nil"/>
              <w:bottom w:val="single" w:sz="4" w:space="0" w:color="auto"/>
              <w:right w:val="single" w:sz="8" w:space="0" w:color="auto"/>
            </w:tcBorders>
            <w:vAlign w:val="center"/>
          </w:tcPr>
          <w:p w14:paraId="58015AF3"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100%</w:t>
            </w:r>
          </w:p>
        </w:tc>
      </w:tr>
      <w:tr w:rsidR="00CD5AA1" w:rsidRPr="00CD5AA1" w14:paraId="75D433CC" w14:textId="77777777" w:rsidTr="002D3798">
        <w:trPr>
          <w:trHeight w:val="307"/>
        </w:trPr>
        <w:tc>
          <w:tcPr>
            <w:tcW w:w="4668" w:type="dxa"/>
            <w:tcBorders>
              <w:top w:val="nil"/>
              <w:left w:val="single" w:sz="8" w:space="0" w:color="auto"/>
              <w:bottom w:val="single" w:sz="4" w:space="0" w:color="auto"/>
              <w:right w:val="single" w:sz="4" w:space="0" w:color="auto"/>
            </w:tcBorders>
            <w:shd w:val="clear" w:color="auto" w:fill="auto"/>
            <w:noWrap/>
            <w:vAlign w:val="center"/>
            <w:hideMark/>
          </w:tcPr>
          <w:p w14:paraId="0AC18C60"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Gastos Generales </w:t>
            </w:r>
          </w:p>
        </w:tc>
        <w:tc>
          <w:tcPr>
            <w:tcW w:w="1418" w:type="dxa"/>
            <w:tcBorders>
              <w:top w:val="single" w:sz="4" w:space="0" w:color="auto"/>
              <w:left w:val="nil"/>
              <w:bottom w:val="nil"/>
              <w:right w:val="single" w:sz="4" w:space="0" w:color="auto"/>
            </w:tcBorders>
            <w:shd w:val="clear" w:color="000000" w:fill="FFFFFF"/>
            <w:noWrap/>
            <w:vAlign w:val="center"/>
          </w:tcPr>
          <w:p w14:paraId="3E32F892"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color w:val="000000"/>
              </w:rPr>
              <w:t>$ 585</w:t>
            </w:r>
          </w:p>
        </w:tc>
        <w:tc>
          <w:tcPr>
            <w:tcW w:w="1417" w:type="dxa"/>
            <w:tcBorders>
              <w:top w:val="nil"/>
              <w:left w:val="nil"/>
              <w:bottom w:val="single" w:sz="4" w:space="0" w:color="auto"/>
              <w:right w:val="single" w:sz="8" w:space="0" w:color="auto"/>
            </w:tcBorders>
            <w:shd w:val="clear" w:color="auto" w:fill="auto"/>
            <w:noWrap/>
            <w:vAlign w:val="center"/>
          </w:tcPr>
          <w:p w14:paraId="4476CDA2"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$ 354</w:t>
            </w:r>
          </w:p>
        </w:tc>
        <w:tc>
          <w:tcPr>
            <w:tcW w:w="641" w:type="dxa"/>
            <w:tcBorders>
              <w:top w:val="nil"/>
              <w:left w:val="nil"/>
              <w:bottom w:val="single" w:sz="4" w:space="0" w:color="auto"/>
              <w:right w:val="nil"/>
            </w:tcBorders>
          </w:tcPr>
          <w:p w14:paraId="1CBB9C77" w14:textId="77777777" w:rsidR="00CD5AA1" w:rsidRPr="00CD5AA1" w:rsidRDefault="00CD5AA1" w:rsidP="002D3798">
            <w:pPr>
              <w:spacing w:after="0" w:line="240" w:lineRule="auto"/>
              <w:jc w:val="right"/>
              <w:rPr>
                <w:rFonts w:ascii="Arial" w:eastAsia="Times New Roman" w:hAnsi="Arial" w:cs="Arial"/>
                <w:bCs/>
                <w:color w:val="000000"/>
              </w:rPr>
            </w:pPr>
          </w:p>
        </w:tc>
        <w:tc>
          <w:tcPr>
            <w:tcW w:w="1202" w:type="dxa"/>
            <w:tcBorders>
              <w:top w:val="nil"/>
              <w:left w:val="nil"/>
              <w:bottom w:val="single" w:sz="4" w:space="0" w:color="auto"/>
              <w:right w:val="single" w:sz="8" w:space="0" w:color="auto"/>
            </w:tcBorders>
            <w:vAlign w:val="center"/>
          </w:tcPr>
          <w:p w14:paraId="646E4830"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60.56%</w:t>
            </w:r>
          </w:p>
        </w:tc>
      </w:tr>
      <w:tr w:rsidR="00CD5AA1" w:rsidRPr="00CD5AA1" w14:paraId="334AD2A1" w14:textId="77777777" w:rsidTr="002D3798">
        <w:trPr>
          <w:trHeight w:val="323"/>
        </w:trPr>
        <w:tc>
          <w:tcPr>
            <w:tcW w:w="4668" w:type="dxa"/>
            <w:tcBorders>
              <w:top w:val="nil"/>
              <w:left w:val="single" w:sz="8" w:space="0" w:color="auto"/>
              <w:bottom w:val="single" w:sz="8" w:space="0" w:color="auto"/>
              <w:right w:val="single" w:sz="4" w:space="0" w:color="auto"/>
            </w:tcBorders>
            <w:shd w:val="clear" w:color="auto" w:fill="auto"/>
            <w:noWrap/>
            <w:vAlign w:val="center"/>
            <w:hideMark/>
          </w:tcPr>
          <w:p w14:paraId="68D41B8F"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Gastos de Comercialización y Operación</w:t>
            </w:r>
          </w:p>
        </w:tc>
        <w:tc>
          <w:tcPr>
            <w:tcW w:w="1418" w:type="dxa"/>
            <w:tcBorders>
              <w:top w:val="single" w:sz="4" w:space="0" w:color="auto"/>
              <w:left w:val="nil"/>
              <w:bottom w:val="single" w:sz="8" w:space="0" w:color="auto"/>
              <w:right w:val="single" w:sz="4" w:space="0" w:color="auto"/>
            </w:tcBorders>
            <w:shd w:val="clear" w:color="000000" w:fill="FFFFFF"/>
            <w:noWrap/>
            <w:vAlign w:val="center"/>
          </w:tcPr>
          <w:p w14:paraId="2C321FEE"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$87</w:t>
            </w:r>
          </w:p>
        </w:tc>
        <w:tc>
          <w:tcPr>
            <w:tcW w:w="1417" w:type="dxa"/>
            <w:tcBorders>
              <w:top w:val="nil"/>
              <w:left w:val="nil"/>
              <w:bottom w:val="single" w:sz="8" w:space="0" w:color="auto"/>
              <w:right w:val="single" w:sz="8" w:space="0" w:color="auto"/>
            </w:tcBorders>
            <w:shd w:val="clear" w:color="auto" w:fill="auto"/>
            <w:noWrap/>
            <w:vAlign w:val="center"/>
          </w:tcPr>
          <w:p w14:paraId="19FFC548"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$78</w:t>
            </w:r>
          </w:p>
        </w:tc>
        <w:tc>
          <w:tcPr>
            <w:tcW w:w="641" w:type="dxa"/>
            <w:tcBorders>
              <w:top w:val="nil"/>
              <w:left w:val="nil"/>
              <w:bottom w:val="single" w:sz="8" w:space="0" w:color="auto"/>
              <w:right w:val="nil"/>
            </w:tcBorders>
          </w:tcPr>
          <w:p w14:paraId="04400A24" w14:textId="77777777" w:rsidR="00CD5AA1" w:rsidRPr="00CD5AA1" w:rsidRDefault="00CD5AA1" w:rsidP="002D3798">
            <w:pPr>
              <w:spacing w:after="0" w:line="240" w:lineRule="auto"/>
              <w:jc w:val="right"/>
              <w:rPr>
                <w:rFonts w:ascii="Arial" w:eastAsia="Times New Roman" w:hAnsi="Arial" w:cs="Arial"/>
                <w:bCs/>
                <w:color w:val="000000"/>
              </w:rPr>
            </w:pPr>
          </w:p>
        </w:tc>
        <w:tc>
          <w:tcPr>
            <w:tcW w:w="1202" w:type="dxa"/>
            <w:tcBorders>
              <w:top w:val="nil"/>
              <w:left w:val="nil"/>
              <w:bottom w:val="single" w:sz="8" w:space="0" w:color="auto"/>
              <w:right w:val="single" w:sz="8" w:space="0" w:color="auto"/>
            </w:tcBorders>
            <w:vAlign w:val="center"/>
          </w:tcPr>
          <w:p w14:paraId="27D1B649"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eastAsia="Times New Roman" w:hAnsi="Arial" w:cs="Arial"/>
                <w:bCs/>
                <w:color w:val="000000"/>
              </w:rPr>
              <w:t>92.87%</w:t>
            </w:r>
          </w:p>
        </w:tc>
      </w:tr>
      <w:tr w:rsidR="00CD5AA1" w:rsidRPr="00CD5AA1" w14:paraId="253BAC63" w14:textId="77777777" w:rsidTr="002D3798">
        <w:trPr>
          <w:trHeight w:val="338"/>
        </w:trPr>
        <w:tc>
          <w:tcPr>
            <w:tcW w:w="4668" w:type="dxa"/>
            <w:tcBorders>
              <w:top w:val="nil"/>
              <w:left w:val="single" w:sz="8" w:space="0" w:color="auto"/>
              <w:bottom w:val="nil"/>
              <w:right w:val="single" w:sz="4" w:space="0" w:color="auto"/>
            </w:tcBorders>
            <w:shd w:val="clear" w:color="000000" w:fill="1F4E78"/>
            <w:vAlign w:val="center"/>
            <w:hideMark/>
          </w:tcPr>
          <w:p w14:paraId="587F4899"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Gastos de  Funcionamiento</w:t>
            </w:r>
          </w:p>
        </w:tc>
        <w:tc>
          <w:tcPr>
            <w:tcW w:w="1418" w:type="dxa"/>
            <w:tcBorders>
              <w:top w:val="nil"/>
              <w:left w:val="nil"/>
              <w:bottom w:val="nil"/>
              <w:right w:val="single" w:sz="4" w:space="0" w:color="auto"/>
            </w:tcBorders>
            <w:shd w:val="clear" w:color="000000" w:fill="1F4E78"/>
            <w:noWrap/>
            <w:vAlign w:val="center"/>
            <w:hideMark/>
          </w:tcPr>
          <w:p w14:paraId="2610F4D1"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 xml:space="preserve"> $683                             </w:t>
            </w:r>
          </w:p>
        </w:tc>
        <w:tc>
          <w:tcPr>
            <w:tcW w:w="1417" w:type="dxa"/>
            <w:tcBorders>
              <w:top w:val="nil"/>
              <w:left w:val="nil"/>
              <w:bottom w:val="nil"/>
              <w:right w:val="single" w:sz="4" w:space="0" w:color="auto"/>
            </w:tcBorders>
            <w:shd w:val="clear" w:color="000000" w:fill="1F4E78"/>
            <w:noWrap/>
            <w:vAlign w:val="center"/>
            <w:hideMark/>
          </w:tcPr>
          <w:p w14:paraId="738CCA98"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 xml:space="preserve"> $444                            </w:t>
            </w:r>
          </w:p>
        </w:tc>
        <w:tc>
          <w:tcPr>
            <w:tcW w:w="641" w:type="dxa"/>
            <w:tcBorders>
              <w:top w:val="nil"/>
              <w:left w:val="nil"/>
              <w:bottom w:val="nil"/>
              <w:right w:val="nil"/>
            </w:tcBorders>
            <w:shd w:val="clear" w:color="000000" w:fill="1F4E78"/>
          </w:tcPr>
          <w:p w14:paraId="7B450CCC" w14:textId="77777777" w:rsidR="00CD5AA1" w:rsidRPr="00CD5AA1" w:rsidRDefault="00CD5AA1" w:rsidP="002D3798">
            <w:pPr>
              <w:spacing w:after="0" w:line="240" w:lineRule="auto"/>
              <w:jc w:val="right"/>
              <w:rPr>
                <w:rFonts w:ascii="Arial" w:eastAsia="Times New Roman" w:hAnsi="Arial" w:cs="Arial"/>
                <w:b/>
                <w:bCs/>
                <w:color w:val="FFFFFF"/>
                <w:lang w:eastAsia="es-CO"/>
              </w:rPr>
            </w:pPr>
          </w:p>
        </w:tc>
        <w:tc>
          <w:tcPr>
            <w:tcW w:w="1202" w:type="dxa"/>
            <w:tcBorders>
              <w:top w:val="nil"/>
              <w:left w:val="nil"/>
              <w:bottom w:val="nil"/>
              <w:right w:val="single" w:sz="4" w:space="0" w:color="auto"/>
            </w:tcBorders>
            <w:shd w:val="clear" w:color="000000" w:fill="1F4E78"/>
          </w:tcPr>
          <w:p w14:paraId="2308D763"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64.92%</w:t>
            </w:r>
          </w:p>
        </w:tc>
      </w:tr>
      <w:tr w:rsidR="00CD5AA1" w:rsidRPr="00CD5AA1" w14:paraId="38DAC7DB" w14:textId="77777777" w:rsidTr="002D3798">
        <w:trPr>
          <w:trHeight w:val="338"/>
        </w:trPr>
        <w:tc>
          <w:tcPr>
            <w:tcW w:w="4668" w:type="dxa"/>
            <w:tcBorders>
              <w:top w:val="nil"/>
              <w:left w:val="single" w:sz="8" w:space="0" w:color="auto"/>
              <w:bottom w:val="nil"/>
              <w:right w:val="single" w:sz="4" w:space="0" w:color="auto"/>
            </w:tcBorders>
            <w:shd w:val="clear" w:color="auto" w:fill="auto"/>
            <w:vAlign w:val="center"/>
          </w:tcPr>
          <w:p w14:paraId="7D510703" w14:textId="77777777" w:rsidR="00CD5AA1" w:rsidRPr="00CD5AA1" w:rsidRDefault="00CD5AA1" w:rsidP="002D3798">
            <w:pPr>
              <w:spacing w:after="0" w:line="240" w:lineRule="auto"/>
              <w:jc w:val="center"/>
              <w:rPr>
                <w:rFonts w:ascii="Arial" w:eastAsia="Times New Roman" w:hAnsi="Arial" w:cs="Arial"/>
                <w:bCs/>
                <w:lang w:eastAsia="es-CO"/>
              </w:rPr>
            </w:pPr>
            <w:r w:rsidRPr="00CD5AA1">
              <w:rPr>
                <w:rFonts w:ascii="Arial" w:eastAsia="Times New Roman" w:hAnsi="Arial" w:cs="Arial"/>
                <w:bCs/>
                <w:lang w:eastAsia="es-CO"/>
              </w:rPr>
              <w:t>Inversión</w:t>
            </w:r>
          </w:p>
        </w:tc>
        <w:tc>
          <w:tcPr>
            <w:tcW w:w="1418" w:type="dxa"/>
            <w:tcBorders>
              <w:top w:val="nil"/>
              <w:left w:val="nil"/>
              <w:bottom w:val="nil"/>
              <w:right w:val="single" w:sz="4" w:space="0" w:color="auto"/>
            </w:tcBorders>
            <w:shd w:val="clear" w:color="auto" w:fill="auto"/>
            <w:noWrap/>
            <w:vAlign w:val="center"/>
          </w:tcPr>
          <w:p w14:paraId="2886EF02" w14:textId="77777777" w:rsidR="00CD5AA1" w:rsidRPr="00CD5AA1" w:rsidRDefault="00CD5AA1" w:rsidP="002D3798">
            <w:pPr>
              <w:spacing w:after="0" w:line="240" w:lineRule="auto"/>
              <w:jc w:val="right"/>
              <w:rPr>
                <w:rFonts w:ascii="Arial" w:eastAsia="Times New Roman" w:hAnsi="Arial" w:cs="Arial"/>
                <w:bCs/>
                <w:lang w:eastAsia="es-CO"/>
              </w:rPr>
            </w:pPr>
            <w:r w:rsidRPr="00CD5AA1">
              <w:rPr>
                <w:rFonts w:ascii="Arial" w:eastAsia="Times New Roman" w:hAnsi="Arial" w:cs="Arial"/>
                <w:bCs/>
                <w:lang w:eastAsia="es-CO"/>
              </w:rPr>
              <w:t>$2.814</w:t>
            </w:r>
          </w:p>
        </w:tc>
        <w:tc>
          <w:tcPr>
            <w:tcW w:w="1417" w:type="dxa"/>
            <w:tcBorders>
              <w:top w:val="nil"/>
              <w:left w:val="nil"/>
              <w:bottom w:val="nil"/>
              <w:right w:val="single" w:sz="4" w:space="0" w:color="auto"/>
            </w:tcBorders>
            <w:shd w:val="clear" w:color="auto" w:fill="auto"/>
            <w:noWrap/>
            <w:vAlign w:val="center"/>
          </w:tcPr>
          <w:p w14:paraId="5B8BEF60" w14:textId="77777777" w:rsidR="00CD5AA1" w:rsidRPr="00CD5AA1" w:rsidRDefault="00CD5AA1" w:rsidP="002D3798">
            <w:pPr>
              <w:spacing w:after="0" w:line="240" w:lineRule="auto"/>
              <w:jc w:val="right"/>
              <w:rPr>
                <w:rFonts w:ascii="Arial" w:eastAsia="Times New Roman" w:hAnsi="Arial" w:cs="Arial"/>
                <w:bCs/>
                <w:lang w:eastAsia="es-CO"/>
              </w:rPr>
            </w:pPr>
            <w:r w:rsidRPr="00CD5AA1">
              <w:rPr>
                <w:rFonts w:ascii="Arial" w:eastAsia="Times New Roman" w:hAnsi="Arial" w:cs="Arial"/>
                <w:bCs/>
                <w:lang w:eastAsia="es-CO"/>
              </w:rPr>
              <w:t>$1.975</w:t>
            </w:r>
          </w:p>
        </w:tc>
        <w:tc>
          <w:tcPr>
            <w:tcW w:w="641" w:type="dxa"/>
            <w:tcBorders>
              <w:top w:val="nil"/>
              <w:left w:val="nil"/>
              <w:bottom w:val="nil"/>
              <w:right w:val="nil"/>
            </w:tcBorders>
            <w:shd w:val="clear" w:color="auto" w:fill="auto"/>
          </w:tcPr>
          <w:p w14:paraId="226B12F0" w14:textId="77777777" w:rsidR="00CD5AA1" w:rsidRPr="00CD5AA1" w:rsidRDefault="00CD5AA1" w:rsidP="002D3798">
            <w:pPr>
              <w:spacing w:after="0" w:line="240" w:lineRule="auto"/>
              <w:jc w:val="right"/>
              <w:rPr>
                <w:rFonts w:ascii="Arial" w:eastAsia="Times New Roman" w:hAnsi="Arial" w:cs="Arial"/>
                <w:bCs/>
                <w:lang w:eastAsia="es-CO"/>
              </w:rPr>
            </w:pPr>
          </w:p>
        </w:tc>
        <w:tc>
          <w:tcPr>
            <w:tcW w:w="1202" w:type="dxa"/>
            <w:tcBorders>
              <w:top w:val="nil"/>
              <w:left w:val="nil"/>
              <w:bottom w:val="nil"/>
              <w:right w:val="single" w:sz="4" w:space="0" w:color="auto"/>
            </w:tcBorders>
            <w:shd w:val="clear" w:color="auto" w:fill="auto"/>
          </w:tcPr>
          <w:p w14:paraId="00C24B98" w14:textId="77777777" w:rsidR="00CD5AA1" w:rsidRPr="00CD5AA1" w:rsidRDefault="00CD5AA1" w:rsidP="002D3798">
            <w:pPr>
              <w:spacing w:after="0" w:line="240" w:lineRule="auto"/>
              <w:jc w:val="right"/>
              <w:rPr>
                <w:rFonts w:ascii="Arial" w:eastAsia="Times New Roman" w:hAnsi="Arial" w:cs="Arial"/>
                <w:bCs/>
                <w:lang w:eastAsia="es-CO"/>
              </w:rPr>
            </w:pPr>
            <w:r w:rsidRPr="00CD5AA1">
              <w:rPr>
                <w:rFonts w:ascii="Arial" w:eastAsia="Times New Roman" w:hAnsi="Arial" w:cs="Arial"/>
                <w:bCs/>
                <w:lang w:eastAsia="es-CO"/>
              </w:rPr>
              <w:t>70.20%</w:t>
            </w:r>
          </w:p>
        </w:tc>
      </w:tr>
      <w:tr w:rsidR="00CD5AA1" w:rsidRPr="00CD5AA1" w14:paraId="15FC5F48" w14:textId="77777777" w:rsidTr="002D3798">
        <w:trPr>
          <w:trHeight w:val="338"/>
        </w:trPr>
        <w:tc>
          <w:tcPr>
            <w:tcW w:w="4668" w:type="dxa"/>
            <w:tcBorders>
              <w:top w:val="nil"/>
              <w:left w:val="single" w:sz="8" w:space="0" w:color="auto"/>
              <w:bottom w:val="single" w:sz="8" w:space="0" w:color="auto"/>
              <w:right w:val="single" w:sz="4" w:space="0" w:color="auto"/>
            </w:tcBorders>
            <w:shd w:val="clear" w:color="000000" w:fill="1F4E78"/>
            <w:vAlign w:val="center"/>
          </w:tcPr>
          <w:p w14:paraId="3C31FAE5"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Total reservas</w:t>
            </w:r>
          </w:p>
        </w:tc>
        <w:tc>
          <w:tcPr>
            <w:tcW w:w="1418" w:type="dxa"/>
            <w:tcBorders>
              <w:top w:val="nil"/>
              <w:left w:val="nil"/>
              <w:bottom w:val="single" w:sz="8" w:space="0" w:color="auto"/>
              <w:right w:val="single" w:sz="4" w:space="0" w:color="auto"/>
            </w:tcBorders>
            <w:shd w:val="clear" w:color="000000" w:fill="1F4E78"/>
            <w:noWrap/>
            <w:vAlign w:val="center"/>
          </w:tcPr>
          <w:p w14:paraId="6472FC6E"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3.497</w:t>
            </w:r>
          </w:p>
        </w:tc>
        <w:tc>
          <w:tcPr>
            <w:tcW w:w="1417" w:type="dxa"/>
            <w:tcBorders>
              <w:top w:val="nil"/>
              <w:left w:val="nil"/>
              <w:bottom w:val="single" w:sz="8" w:space="0" w:color="auto"/>
              <w:right w:val="single" w:sz="4" w:space="0" w:color="auto"/>
            </w:tcBorders>
            <w:shd w:val="clear" w:color="000000" w:fill="1F4E78"/>
            <w:noWrap/>
            <w:vAlign w:val="center"/>
          </w:tcPr>
          <w:p w14:paraId="2A4AEE9D"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$2.419</w:t>
            </w:r>
          </w:p>
        </w:tc>
        <w:tc>
          <w:tcPr>
            <w:tcW w:w="641" w:type="dxa"/>
            <w:tcBorders>
              <w:top w:val="nil"/>
              <w:left w:val="nil"/>
              <w:bottom w:val="single" w:sz="8" w:space="0" w:color="auto"/>
              <w:right w:val="nil"/>
            </w:tcBorders>
            <w:shd w:val="clear" w:color="000000" w:fill="1F4E78"/>
          </w:tcPr>
          <w:p w14:paraId="17B0D108" w14:textId="77777777" w:rsidR="00CD5AA1" w:rsidRPr="00CD5AA1" w:rsidRDefault="00CD5AA1" w:rsidP="002D3798">
            <w:pPr>
              <w:spacing w:after="0" w:line="240" w:lineRule="auto"/>
              <w:jc w:val="right"/>
              <w:rPr>
                <w:rFonts w:ascii="Arial" w:eastAsia="Times New Roman" w:hAnsi="Arial" w:cs="Arial"/>
                <w:b/>
                <w:bCs/>
                <w:color w:val="FFFFFF"/>
                <w:lang w:eastAsia="es-CO"/>
              </w:rPr>
            </w:pPr>
          </w:p>
        </w:tc>
        <w:tc>
          <w:tcPr>
            <w:tcW w:w="1202" w:type="dxa"/>
            <w:tcBorders>
              <w:top w:val="nil"/>
              <w:left w:val="nil"/>
              <w:bottom w:val="single" w:sz="8" w:space="0" w:color="auto"/>
              <w:right w:val="single" w:sz="4" w:space="0" w:color="auto"/>
            </w:tcBorders>
            <w:shd w:val="clear" w:color="000000" w:fill="1F4E78"/>
          </w:tcPr>
          <w:p w14:paraId="754FEB22" w14:textId="77777777" w:rsidR="00CD5AA1" w:rsidRPr="00CD5AA1" w:rsidRDefault="00CD5AA1" w:rsidP="002D3798">
            <w:pPr>
              <w:spacing w:after="0" w:line="240" w:lineRule="auto"/>
              <w:jc w:val="right"/>
              <w:rPr>
                <w:rFonts w:ascii="Arial" w:eastAsia="Times New Roman" w:hAnsi="Arial" w:cs="Arial"/>
                <w:b/>
                <w:bCs/>
                <w:color w:val="FFFFFF"/>
                <w:lang w:eastAsia="es-CO"/>
              </w:rPr>
            </w:pPr>
            <w:r w:rsidRPr="00CD5AA1">
              <w:rPr>
                <w:rFonts w:ascii="Arial" w:eastAsia="Times New Roman" w:hAnsi="Arial" w:cs="Arial"/>
                <w:b/>
                <w:bCs/>
                <w:color w:val="FFFFFF"/>
                <w:lang w:eastAsia="es-CO"/>
              </w:rPr>
              <w:t>69.17%</w:t>
            </w:r>
          </w:p>
        </w:tc>
      </w:tr>
    </w:tbl>
    <w:p w14:paraId="0EE4B15F" w14:textId="77777777" w:rsidR="00C02282" w:rsidRPr="00CD5AA1" w:rsidRDefault="00C02282" w:rsidP="00C02282">
      <w:pPr>
        <w:spacing w:after="0" w:line="240" w:lineRule="auto"/>
        <w:jc w:val="center"/>
        <w:rPr>
          <w:rFonts w:ascii="Arial" w:eastAsia="Calibri" w:hAnsi="Arial" w:cs="Arial"/>
          <w:sz w:val="16"/>
          <w:szCs w:val="16"/>
        </w:rPr>
      </w:pPr>
      <w:r w:rsidRPr="00CD5AA1">
        <w:rPr>
          <w:rFonts w:ascii="Arial" w:hAnsi="Arial" w:cs="Arial"/>
          <w:sz w:val="16"/>
          <w:szCs w:val="16"/>
          <w:lang w:eastAsia="es-ES"/>
        </w:rPr>
        <w:t>Millones de pesos</w:t>
      </w:r>
    </w:p>
    <w:p w14:paraId="767541DB" w14:textId="77777777" w:rsidR="00C02282" w:rsidRPr="00CD5AA1" w:rsidRDefault="00C02282" w:rsidP="00C02282">
      <w:pPr>
        <w:jc w:val="center"/>
        <w:rPr>
          <w:rFonts w:ascii="Arial" w:eastAsia="Calibri" w:hAnsi="Arial" w:cs="Arial"/>
          <w:sz w:val="16"/>
          <w:szCs w:val="16"/>
        </w:rPr>
      </w:pPr>
      <w:r w:rsidRPr="00CD5AA1">
        <w:rPr>
          <w:rFonts w:ascii="Calibri" w:hAnsi="Calibri" w:cs="Calibri"/>
          <w:sz w:val="18"/>
          <w:szCs w:val="18"/>
        </w:rPr>
        <w:t xml:space="preserve">Fuente: </w:t>
      </w:r>
      <w:r w:rsidRPr="00CD5AA1">
        <w:rPr>
          <w:rFonts w:ascii="Arial" w:eastAsia="Calibri" w:hAnsi="Arial" w:cs="Arial"/>
          <w:sz w:val="16"/>
          <w:szCs w:val="16"/>
        </w:rPr>
        <w:t>S</w:t>
      </w:r>
      <w:r w:rsidRPr="00CD5AA1">
        <w:rPr>
          <w:rFonts w:ascii="Arial" w:eastAsia="Calibri" w:hAnsi="Arial" w:cs="Arial"/>
          <w:sz w:val="16"/>
          <w:szCs w:val="16"/>
        </w:rPr>
        <w:tab/>
        <w:t>IIF Nación</w:t>
      </w:r>
      <w:r w:rsidRPr="00CD5AA1">
        <w:rPr>
          <w:rFonts w:ascii="Calibri" w:hAnsi="Calibri" w:cs="Calibri"/>
          <w:sz w:val="18"/>
          <w:szCs w:val="18"/>
        </w:rPr>
        <w:t xml:space="preserve"> </w:t>
      </w:r>
      <w:r w:rsidRPr="00CD5AA1">
        <w:rPr>
          <w:rFonts w:ascii="Arial" w:eastAsia="Calibri" w:hAnsi="Arial" w:cs="Arial"/>
          <w:sz w:val="16"/>
          <w:szCs w:val="16"/>
        </w:rPr>
        <w:t>SGC</w:t>
      </w:r>
    </w:p>
    <w:p w14:paraId="0B6C5F2E" w14:textId="77777777" w:rsidR="00C02282" w:rsidRPr="00CD5AA1" w:rsidRDefault="00C02282" w:rsidP="00055F7C">
      <w:pPr>
        <w:pStyle w:val="Ttulo2"/>
        <w:numPr>
          <w:ilvl w:val="1"/>
          <w:numId w:val="11"/>
        </w:numPr>
        <w:rPr>
          <w:rFonts w:ascii="Arial" w:eastAsia="Calibri" w:hAnsi="Arial" w:cs="Arial"/>
          <w:color w:val="auto"/>
          <w:sz w:val="22"/>
          <w:szCs w:val="22"/>
        </w:rPr>
      </w:pPr>
      <w:bookmarkStart w:id="219" w:name="_Toc514693357"/>
      <w:bookmarkStart w:id="220" w:name="_Toc525652059"/>
      <w:r w:rsidRPr="00CD5AA1">
        <w:rPr>
          <w:rFonts w:ascii="Arial" w:eastAsia="Calibri" w:hAnsi="Arial" w:cs="Arial"/>
          <w:color w:val="auto"/>
          <w:sz w:val="22"/>
          <w:szCs w:val="22"/>
        </w:rPr>
        <w:t>Ejecución cuentas por pagar SCG</w:t>
      </w:r>
      <w:bookmarkEnd w:id="219"/>
      <w:bookmarkEnd w:id="220"/>
    </w:p>
    <w:p w14:paraId="74D1FD1F" w14:textId="1E87DBDA" w:rsidR="00C02282" w:rsidRPr="00CD5AA1" w:rsidRDefault="00CD5AA1" w:rsidP="009E5C47">
      <w:pPr>
        <w:jc w:val="both"/>
        <w:rPr>
          <w:rFonts w:ascii="Arial" w:hAnsi="Arial" w:cs="Arial"/>
          <w:lang w:eastAsia="es-ES"/>
        </w:rPr>
      </w:pPr>
      <w:r w:rsidRPr="00FA1202">
        <w:rPr>
          <w:rFonts w:ascii="Arial" w:hAnsi="Arial" w:cs="Arial"/>
        </w:rPr>
        <w:t>Las cuentas por pagar se constituyeron a dic</w:t>
      </w:r>
      <w:r>
        <w:rPr>
          <w:rFonts w:ascii="Arial" w:hAnsi="Arial" w:cs="Arial"/>
        </w:rPr>
        <w:t xml:space="preserve">iembre 31 de 2017, ascendieron </w:t>
      </w:r>
      <w:r w:rsidRPr="00FA1202">
        <w:rPr>
          <w:rFonts w:ascii="Arial" w:hAnsi="Arial" w:cs="Arial"/>
          <w:color w:val="000000"/>
        </w:rPr>
        <w:t>$4.759 millones las cuales fueron pagadas duran el segundo trimestre de 2018</w:t>
      </w:r>
      <w:r w:rsidR="009E5C47">
        <w:rPr>
          <w:rFonts w:ascii="Arial" w:hAnsi="Arial" w:cs="Arial"/>
          <w:color w:val="000000"/>
        </w:rPr>
        <w:t>.</w:t>
      </w:r>
    </w:p>
    <w:p w14:paraId="36E88459" w14:textId="105DADF3" w:rsidR="00C02282" w:rsidRPr="00CD5AA1" w:rsidRDefault="00C02282" w:rsidP="00C02282">
      <w:pPr>
        <w:pStyle w:val="Descripcin"/>
        <w:keepNext/>
        <w:jc w:val="center"/>
      </w:pPr>
      <w:bookmarkStart w:id="221" w:name="_Toc525652549"/>
      <w:r w:rsidRPr="00CD5AA1">
        <w:t xml:space="preserve">Tabla </w:t>
      </w:r>
      <w:r w:rsidRPr="00CD5AA1">
        <w:fldChar w:fldCharType="begin"/>
      </w:r>
      <w:r w:rsidRPr="00CD5AA1">
        <w:instrText xml:space="preserve"> SEQ Tabla \* ARABIC </w:instrText>
      </w:r>
      <w:r w:rsidRPr="00CD5AA1">
        <w:fldChar w:fldCharType="separate"/>
      </w:r>
      <w:r w:rsidR="008B4625">
        <w:rPr>
          <w:noProof/>
        </w:rPr>
        <w:t>104</w:t>
      </w:r>
      <w:r w:rsidRPr="00CD5AA1">
        <w:fldChar w:fldCharType="end"/>
      </w:r>
      <w:r w:rsidRPr="00CD5AA1">
        <w:tab/>
        <w:t>Ejecución cuentas por pagar SGC</w:t>
      </w:r>
      <w:bookmarkEnd w:id="221"/>
    </w:p>
    <w:tbl>
      <w:tblPr>
        <w:tblW w:w="9385" w:type="dxa"/>
        <w:tblCellMar>
          <w:left w:w="70" w:type="dxa"/>
          <w:right w:w="70" w:type="dxa"/>
        </w:tblCellMar>
        <w:tblLook w:val="04A0" w:firstRow="1" w:lastRow="0" w:firstColumn="1" w:lastColumn="0" w:noHBand="0" w:noVBand="1"/>
      </w:tblPr>
      <w:tblGrid>
        <w:gridCol w:w="4243"/>
        <w:gridCol w:w="1417"/>
        <w:gridCol w:w="2127"/>
        <w:gridCol w:w="1598"/>
      </w:tblGrid>
      <w:tr w:rsidR="00CD5AA1" w:rsidRPr="00CD5AA1" w14:paraId="760EF34A" w14:textId="77777777" w:rsidTr="002D3798">
        <w:trPr>
          <w:trHeight w:val="380"/>
        </w:trPr>
        <w:tc>
          <w:tcPr>
            <w:tcW w:w="4243"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62378837"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Concepto</w:t>
            </w:r>
          </w:p>
        </w:tc>
        <w:tc>
          <w:tcPr>
            <w:tcW w:w="1417" w:type="dxa"/>
            <w:tcBorders>
              <w:top w:val="single" w:sz="8" w:space="0" w:color="auto"/>
              <w:left w:val="nil"/>
              <w:bottom w:val="single" w:sz="8" w:space="0" w:color="auto"/>
              <w:right w:val="single" w:sz="4" w:space="0" w:color="auto"/>
            </w:tcBorders>
            <w:shd w:val="clear" w:color="000000" w:fill="1F4E78"/>
            <w:hideMark/>
          </w:tcPr>
          <w:p w14:paraId="07719AA6" w14:textId="77777777" w:rsidR="00CD5AA1" w:rsidRPr="00CD5AA1" w:rsidRDefault="00CD5AA1" w:rsidP="002D3798">
            <w:pPr>
              <w:spacing w:after="0" w:line="240" w:lineRule="auto"/>
              <w:jc w:val="center"/>
              <w:rPr>
                <w:rFonts w:ascii="Arial" w:eastAsia="Times New Roman" w:hAnsi="Arial" w:cs="Arial"/>
                <w:b/>
                <w:bCs/>
                <w:color w:val="FFFFFF" w:themeColor="background1"/>
                <w:lang w:eastAsia="es-CO"/>
              </w:rPr>
            </w:pPr>
            <w:r w:rsidRPr="00CD5AA1">
              <w:rPr>
                <w:rFonts w:ascii="Arial" w:eastAsia="Times New Roman" w:hAnsi="Arial" w:cs="Arial"/>
                <w:b/>
                <w:bCs/>
                <w:color w:val="FFFFFF"/>
                <w:lang w:eastAsia="es-CO"/>
              </w:rPr>
              <w:t>Valor</w:t>
            </w:r>
            <w:r w:rsidRPr="00CD5AA1">
              <w:rPr>
                <w:rFonts w:ascii="Arial" w:hAnsi="Arial" w:cs="Arial"/>
                <w:b/>
                <w:color w:val="FFFFFF" w:themeColor="background1"/>
              </w:rPr>
              <w:t xml:space="preserve"> constituido</w:t>
            </w:r>
          </w:p>
        </w:tc>
        <w:tc>
          <w:tcPr>
            <w:tcW w:w="2127" w:type="dxa"/>
            <w:tcBorders>
              <w:top w:val="single" w:sz="8" w:space="0" w:color="auto"/>
              <w:left w:val="nil"/>
              <w:bottom w:val="single" w:sz="8" w:space="0" w:color="auto"/>
              <w:right w:val="single" w:sz="8" w:space="0" w:color="auto"/>
            </w:tcBorders>
            <w:shd w:val="clear" w:color="000000" w:fill="1F4E78"/>
            <w:hideMark/>
          </w:tcPr>
          <w:p w14:paraId="2C467EAA" w14:textId="77777777" w:rsidR="00CD5AA1" w:rsidRPr="00CD5AA1" w:rsidRDefault="00CD5AA1" w:rsidP="002D3798">
            <w:pPr>
              <w:spacing w:after="0" w:line="240" w:lineRule="auto"/>
              <w:jc w:val="center"/>
              <w:rPr>
                <w:rFonts w:ascii="Arial" w:eastAsia="Times New Roman" w:hAnsi="Arial" w:cs="Arial"/>
                <w:b/>
                <w:bCs/>
                <w:color w:val="FFFFFF" w:themeColor="background1"/>
                <w:lang w:eastAsia="es-CO"/>
              </w:rPr>
            </w:pPr>
            <w:r w:rsidRPr="00CD5AA1">
              <w:rPr>
                <w:rFonts w:ascii="Arial" w:hAnsi="Arial" w:cs="Arial"/>
                <w:b/>
                <w:color w:val="FFFFFF" w:themeColor="background1"/>
              </w:rPr>
              <w:t>Valor pagado</w:t>
            </w:r>
          </w:p>
        </w:tc>
        <w:tc>
          <w:tcPr>
            <w:tcW w:w="1598" w:type="dxa"/>
            <w:tcBorders>
              <w:top w:val="single" w:sz="8" w:space="0" w:color="auto"/>
              <w:left w:val="nil"/>
              <w:bottom w:val="single" w:sz="8" w:space="0" w:color="auto"/>
              <w:right w:val="single" w:sz="8" w:space="0" w:color="auto"/>
            </w:tcBorders>
            <w:shd w:val="clear" w:color="000000" w:fill="1F4E78"/>
            <w:vAlign w:val="center"/>
          </w:tcPr>
          <w:p w14:paraId="2776079E" w14:textId="77777777" w:rsidR="00CD5AA1" w:rsidRPr="00CD5AA1" w:rsidRDefault="00CD5AA1" w:rsidP="002D3798">
            <w:pPr>
              <w:spacing w:after="0" w:line="240" w:lineRule="auto"/>
              <w:jc w:val="center"/>
              <w:rPr>
                <w:rFonts w:ascii="Arial" w:eastAsia="Times New Roman" w:hAnsi="Arial" w:cs="Arial"/>
                <w:b/>
                <w:bCs/>
                <w:color w:val="FFFFFF" w:themeColor="background1"/>
                <w:lang w:eastAsia="es-CO"/>
              </w:rPr>
            </w:pPr>
            <w:r w:rsidRPr="00CD5AA1">
              <w:rPr>
                <w:rFonts w:ascii="Arial" w:eastAsia="Times New Roman" w:hAnsi="Arial" w:cs="Arial"/>
                <w:b/>
                <w:bCs/>
                <w:color w:val="FFFFFF" w:themeColor="background1"/>
              </w:rPr>
              <w:t>% Ejecución</w:t>
            </w:r>
          </w:p>
        </w:tc>
      </w:tr>
      <w:tr w:rsidR="00CD5AA1" w:rsidRPr="00CD5AA1" w14:paraId="537D0365" w14:textId="77777777" w:rsidTr="002D3798">
        <w:trPr>
          <w:trHeight w:val="307"/>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3698553F"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Gastos de Personal </w:t>
            </w:r>
          </w:p>
        </w:tc>
        <w:tc>
          <w:tcPr>
            <w:tcW w:w="1417" w:type="dxa"/>
            <w:tcBorders>
              <w:top w:val="nil"/>
              <w:left w:val="nil"/>
              <w:bottom w:val="nil"/>
              <w:right w:val="single" w:sz="4" w:space="0" w:color="auto"/>
            </w:tcBorders>
            <w:shd w:val="clear" w:color="000000" w:fill="FFFFFF"/>
            <w:noWrap/>
          </w:tcPr>
          <w:p w14:paraId="0D0B1301"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$ 493</w:t>
            </w:r>
          </w:p>
        </w:tc>
        <w:tc>
          <w:tcPr>
            <w:tcW w:w="2127" w:type="dxa"/>
            <w:tcBorders>
              <w:top w:val="nil"/>
              <w:left w:val="nil"/>
              <w:bottom w:val="single" w:sz="4" w:space="0" w:color="auto"/>
              <w:right w:val="single" w:sz="8" w:space="0" w:color="auto"/>
            </w:tcBorders>
            <w:shd w:val="clear" w:color="auto" w:fill="auto"/>
            <w:noWrap/>
          </w:tcPr>
          <w:p w14:paraId="7CE4BAEB"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$ 493</w:t>
            </w:r>
          </w:p>
        </w:tc>
        <w:tc>
          <w:tcPr>
            <w:tcW w:w="1598" w:type="dxa"/>
            <w:tcBorders>
              <w:top w:val="nil"/>
              <w:left w:val="nil"/>
              <w:bottom w:val="single" w:sz="4" w:space="0" w:color="auto"/>
              <w:right w:val="single" w:sz="8" w:space="0" w:color="auto"/>
            </w:tcBorders>
          </w:tcPr>
          <w:p w14:paraId="6DE3B3FE"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100%</w:t>
            </w:r>
          </w:p>
        </w:tc>
      </w:tr>
      <w:tr w:rsidR="00CD5AA1" w:rsidRPr="00CD5AA1" w14:paraId="2FE71565" w14:textId="77777777" w:rsidTr="002D3798">
        <w:trPr>
          <w:trHeight w:val="307"/>
        </w:trPr>
        <w:tc>
          <w:tcPr>
            <w:tcW w:w="4243" w:type="dxa"/>
            <w:tcBorders>
              <w:top w:val="nil"/>
              <w:left w:val="single" w:sz="8" w:space="0" w:color="auto"/>
              <w:bottom w:val="single" w:sz="4" w:space="0" w:color="auto"/>
              <w:right w:val="single" w:sz="4" w:space="0" w:color="auto"/>
            </w:tcBorders>
            <w:shd w:val="clear" w:color="auto" w:fill="auto"/>
            <w:noWrap/>
            <w:vAlign w:val="center"/>
            <w:hideMark/>
          </w:tcPr>
          <w:p w14:paraId="7DF817B9"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 xml:space="preserve">Gastos Generales </w:t>
            </w:r>
          </w:p>
        </w:tc>
        <w:tc>
          <w:tcPr>
            <w:tcW w:w="1417" w:type="dxa"/>
            <w:tcBorders>
              <w:top w:val="single" w:sz="4" w:space="0" w:color="auto"/>
              <w:left w:val="nil"/>
              <w:bottom w:val="nil"/>
              <w:right w:val="single" w:sz="4" w:space="0" w:color="auto"/>
            </w:tcBorders>
            <w:shd w:val="clear" w:color="000000" w:fill="FFFFFF"/>
            <w:noWrap/>
          </w:tcPr>
          <w:p w14:paraId="31B312D6"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$1.235</w:t>
            </w:r>
          </w:p>
        </w:tc>
        <w:tc>
          <w:tcPr>
            <w:tcW w:w="2127" w:type="dxa"/>
            <w:tcBorders>
              <w:top w:val="nil"/>
              <w:left w:val="nil"/>
              <w:bottom w:val="single" w:sz="4" w:space="0" w:color="auto"/>
              <w:right w:val="single" w:sz="8" w:space="0" w:color="auto"/>
            </w:tcBorders>
            <w:shd w:val="clear" w:color="auto" w:fill="auto"/>
            <w:noWrap/>
          </w:tcPr>
          <w:p w14:paraId="3DE67488"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$1.235</w:t>
            </w:r>
          </w:p>
        </w:tc>
        <w:tc>
          <w:tcPr>
            <w:tcW w:w="1598" w:type="dxa"/>
            <w:tcBorders>
              <w:top w:val="nil"/>
              <w:left w:val="nil"/>
              <w:bottom w:val="single" w:sz="4" w:space="0" w:color="auto"/>
              <w:right w:val="single" w:sz="8" w:space="0" w:color="auto"/>
            </w:tcBorders>
          </w:tcPr>
          <w:p w14:paraId="4D11689C"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100%</w:t>
            </w:r>
          </w:p>
        </w:tc>
      </w:tr>
      <w:tr w:rsidR="00CD5AA1" w:rsidRPr="00CD5AA1" w14:paraId="18C558B5" w14:textId="77777777" w:rsidTr="002D3798">
        <w:trPr>
          <w:trHeight w:val="323"/>
        </w:trPr>
        <w:tc>
          <w:tcPr>
            <w:tcW w:w="4243" w:type="dxa"/>
            <w:tcBorders>
              <w:top w:val="nil"/>
              <w:left w:val="single" w:sz="8" w:space="0" w:color="auto"/>
              <w:bottom w:val="single" w:sz="8" w:space="0" w:color="auto"/>
              <w:right w:val="single" w:sz="4" w:space="0" w:color="auto"/>
            </w:tcBorders>
            <w:shd w:val="clear" w:color="auto" w:fill="auto"/>
            <w:noWrap/>
            <w:vAlign w:val="center"/>
            <w:hideMark/>
          </w:tcPr>
          <w:p w14:paraId="4F2C8CAC"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Gastos de Comercialización y Operación</w:t>
            </w:r>
          </w:p>
        </w:tc>
        <w:tc>
          <w:tcPr>
            <w:tcW w:w="1417" w:type="dxa"/>
            <w:tcBorders>
              <w:top w:val="single" w:sz="4" w:space="0" w:color="auto"/>
              <w:left w:val="nil"/>
              <w:bottom w:val="single" w:sz="8" w:space="0" w:color="auto"/>
              <w:right w:val="single" w:sz="4" w:space="0" w:color="auto"/>
            </w:tcBorders>
            <w:shd w:val="clear" w:color="000000" w:fill="FFFFFF"/>
            <w:noWrap/>
          </w:tcPr>
          <w:p w14:paraId="7B1D792C"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$ 284</w:t>
            </w:r>
          </w:p>
        </w:tc>
        <w:tc>
          <w:tcPr>
            <w:tcW w:w="2127" w:type="dxa"/>
            <w:tcBorders>
              <w:top w:val="nil"/>
              <w:left w:val="nil"/>
              <w:bottom w:val="single" w:sz="8" w:space="0" w:color="auto"/>
              <w:right w:val="single" w:sz="8" w:space="0" w:color="auto"/>
            </w:tcBorders>
            <w:shd w:val="clear" w:color="auto" w:fill="auto"/>
            <w:noWrap/>
          </w:tcPr>
          <w:p w14:paraId="34BE9342"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$ 284</w:t>
            </w:r>
          </w:p>
        </w:tc>
        <w:tc>
          <w:tcPr>
            <w:tcW w:w="1598" w:type="dxa"/>
            <w:tcBorders>
              <w:top w:val="nil"/>
              <w:left w:val="nil"/>
              <w:bottom w:val="single" w:sz="8" w:space="0" w:color="auto"/>
              <w:right w:val="single" w:sz="8" w:space="0" w:color="auto"/>
            </w:tcBorders>
          </w:tcPr>
          <w:p w14:paraId="0E2411A3" w14:textId="77777777" w:rsidR="00CD5AA1" w:rsidRPr="00CD5AA1" w:rsidRDefault="00CD5AA1" w:rsidP="002D3798">
            <w:pPr>
              <w:spacing w:after="0" w:line="240" w:lineRule="auto"/>
              <w:jc w:val="right"/>
              <w:rPr>
                <w:rFonts w:ascii="Arial" w:eastAsia="Times New Roman" w:hAnsi="Arial" w:cs="Arial"/>
                <w:lang w:eastAsia="es-CO"/>
              </w:rPr>
            </w:pPr>
            <w:r w:rsidRPr="00CD5AA1">
              <w:rPr>
                <w:rFonts w:ascii="Arial" w:hAnsi="Arial" w:cs="Arial"/>
                <w:bCs/>
              </w:rPr>
              <w:t>100%</w:t>
            </w:r>
          </w:p>
        </w:tc>
      </w:tr>
      <w:tr w:rsidR="00CD5AA1" w:rsidRPr="00CD5AA1" w14:paraId="0319491E" w14:textId="77777777" w:rsidTr="002D3798">
        <w:trPr>
          <w:trHeight w:val="323"/>
        </w:trPr>
        <w:tc>
          <w:tcPr>
            <w:tcW w:w="4243" w:type="dxa"/>
            <w:tcBorders>
              <w:top w:val="nil"/>
              <w:left w:val="single" w:sz="8" w:space="0" w:color="auto"/>
              <w:bottom w:val="single" w:sz="8" w:space="0" w:color="auto"/>
              <w:right w:val="single" w:sz="4" w:space="0" w:color="auto"/>
            </w:tcBorders>
            <w:shd w:val="clear" w:color="auto" w:fill="auto"/>
            <w:noWrap/>
            <w:vAlign w:val="center"/>
          </w:tcPr>
          <w:p w14:paraId="65E8DDF6" w14:textId="77777777" w:rsidR="00CD5AA1" w:rsidRPr="00CD5AA1" w:rsidRDefault="00CD5AA1" w:rsidP="002D3798">
            <w:pPr>
              <w:spacing w:after="0" w:line="240" w:lineRule="auto"/>
              <w:jc w:val="center"/>
              <w:rPr>
                <w:rFonts w:ascii="Arial" w:eastAsia="Times New Roman" w:hAnsi="Arial" w:cs="Arial"/>
                <w:lang w:eastAsia="es-CO"/>
              </w:rPr>
            </w:pPr>
            <w:r w:rsidRPr="00CD5AA1">
              <w:rPr>
                <w:rFonts w:ascii="Arial" w:eastAsia="Times New Roman" w:hAnsi="Arial" w:cs="Arial"/>
                <w:lang w:eastAsia="es-CO"/>
              </w:rPr>
              <w:t>Inversión</w:t>
            </w:r>
          </w:p>
        </w:tc>
        <w:tc>
          <w:tcPr>
            <w:tcW w:w="1417" w:type="dxa"/>
            <w:tcBorders>
              <w:top w:val="single" w:sz="4" w:space="0" w:color="auto"/>
              <w:left w:val="nil"/>
              <w:bottom w:val="single" w:sz="8" w:space="0" w:color="auto"/>
              <w:right w:val="single" w:sz="4" w:space="0" w:color="auto"/>
            </w:tcBorders>
            <w:shd w:val="clear" w:color="000000" w:fill="FFFFFF"/>
            <w:noWrap/>
          </w:tcPr>
          <w:p w14:paraId="319807C6" w14:textId="77777777" w:rsidR="00CD5AA1" w:rsidRPr="00CD5AA1" w:rsidRDefault="00CD5AA1" w:rsidP="002D3798">
            <w:pPr>
              <w:spacing w:after="0" w:line="240" w:lineRule="auto"/>
              <w:jc w:val="right"/>
              <w:rPr>
                <w:rFonts w:ascii="Arial" w:eastAsia="Times New Roman" w:hAnsi="Arial" w:cs="Arial"/>
                <w:bCs/>
                <w:color w:val="000000"/>
              </w:rPr>
            </w:pPr>
            <w:r w:rsidRPr="00CD5AA1">
              <w:rPr>
                <w:rFonts w:ascii="Arial" w:hAnsi="Arial" w:cs="Arial"/>
                <w:bCs/>
              </w:rPr>
              <w:t>$ 2.747</w:t>
            </w:r>
          </w:p>
        </w:tc>
        <w:tc>
          <w:tcPr>
            <w:tcW w:w="2127" w:type="dxa"/>
            <w:tcBorders>
              <w:top w:val="nil"/>
              <w:left w:val="nil"/>
              <w:bottom w:val="single" w:sz="8" w:space="0" w:color="auto"/>
              <w:right w:val="single" w:sz="8" w:space="0" w:color="auto"/>
            </w:tcBorders>
            <w:shd w:val="clear" w:color="auto" w:fill="auto"/>
            <w:noWrap/>
          </w:tcPr>
          <w:p w14:paraId="306F15DD" w14:textId="77777777" w:rsidR="00CD5AA1" w:rsidRPr="00CD5AA1" w:rsidRDefault="00CD5AA1" w:rsidP="002D3798">
            <w:pPr>
              <w:spacing w:after="0" w:line="240" w:lineRule="auto"/>
              <w:jc w:val="right"/>
              <w:rPr>
                <w:rFonts w:ascii="Arial" w:eastAsia="Times New Roman" w:hAnsi="Arial" w:cs="Arial"/>
                <w:bCs/>
                <w:color w:val="000000"/>
              </w:rPr>
            </w:pPr>
            <w:r w:rsidRPr="00CD5AA1">
              <w:rPr>
                <w:rFonts w:ascii="Arial" w:hAnsi="Arial" w:cs="Arial"/>
                <w:bCs/>
              </w:rPr>
              <w:t>$ 2.747</w:t>
            </w:r>
          </w:p>
        </w:tc>
        <w:tc>
          <w:tcPr>
            <w:tcW w:w="1598" w:type="dxa"/>
            <w:tcBorders>
              <w:top w:val="nil"/>
              <w:left w:val="nil"/>
              <w:bottom w:val="single" w:sz="8" w:space="0" w:color="auto"/>
              <w:right w:val="single" w:sz="8" w:space="0" w:color="auto"/>
            </w:tcBorders>
          </w:tcPr>
          <w:p w14:paraId="30A69E72" w14:textId="77777777" w:rsidR="00CD5AA1" w:rsidRPr="00CD5AA1" w:rsidRDefault="00CD5AA1" w:rsidP="002D3798">
            <w:pPr>
              <w:spacing w:after="0" w:line="240" w:lineRule="auto"/>
              <w:jc w:val="right"/>
              <w:rPr>
                <w:rFonts w:ascii="Arial" w:eastAsia="Times New Roman" w:hAnsi="Arial" w:cs="Arial"/>
                <w:bCs/>
                <w:color w:val="000000"/>
              </w:rPr>
            </w:pPr>
            <w:r w:rsidRPr="00CD5AA1">
              <w:rPr>
                <w:rFonts w:ascii="Arial" w:hAnsi="Arial" w:cs="Arial"/>
                <w:bCs/>
              </w:rPr>
              <w:t>100%</w:t>
            </w:r>
          </w:p>
        </w:tc>
      </w:tr>
      <w:tr w:rsidR="00CD5AA1" w:rsidRPr="00CD5AA1" w14:paraId="375443C5" w14:textId="77777777" w:rsidTr="002D3798">
        <w:trPr>
          <w:trHeight w:val="338"/>
        </w:trPr>
        <w:tc>
          <w:tcPr>
            <w:tcW w:w="4243" w:type="dxa"/>
            <w:tcBorders>
              <w:top w:val="nil"/>
              <w:left w:val="single" w:sz="8" w:space="0" w:color="auto"/>
              <w:bottom w:val="single" w:sz="8" w:space="0" w:color="auto"/>
              <w:right w:val="single" w:sz="4" w:space="0" w:color="auto"/>
            </w:tcBorders>
            <w:shd w:val="clear" w:color="000000" w:fill="1F4E78"/>
            <w:vAlign w:val="center"/>
            <w:hideMark/>
          </w:tcPr>
          <w:p w14:paraId="7C16C53C" w14:textId="77777777" w:rsidR="00CD5AA1" w:rsidRPr="00CD5AA1" w:rsidRDefault="00CD5AA1" w:rsidP="002D3798">
            <w:pPr>
              <w:spacing w:after="0" w:line="240" w:lineRule="auto"/>
              <w:jc w:val="center"/>
              <w:rPr>
                <w:rFonts w:ascii="Arial" w:eastAsia="Times New Roman" w:hAnsi="Arial" w:cs="Arial"/>
                <w:b/>
                <w:bCs/>
                <w:color w:val="FFFFFF"/>
                <w:lang w:eastAsia="es-CO"/>
              </w:rPr>
            </w:pPr>
            <w:r w:rsidRPr="00CD5AA1">
              <w:rPr>
                <w:rFonts w:ascii="Arial" w:eastAsia="Times New Roman" w:hAnsi="Arial" w:cs="Arial"/>
                <w:b/>
                <w:bCs/>
                <w:color w:val="FFFFFF"/>
                <w:lang w:eastAsia="es-CO"/>
              </w:rPr>
              <w:t>Total Funcionamiento</w:t>
            </w:r>
          </w:p>
        </w:tc>
        <w:tc>
          <w:tcPr>
            <w:tcW w:w="1417" w:type="dxa"/>
            <w:tcBorders>
              <w:top w:val="nil"/>
              <w:left w:val="nil"/>
              <w:bottom w:val="single" w:sz="8" w:space="0" w:color="auto"/>
              <w:right w:val="single" w:sz="4" w:space="0" w:color="auto"/>
            </w:tcBorders>
            <w:shd w:val="clear" w:color="000000" w:fill="1F4E78"/>
            <w:noWrap/>
          </w:tcPr>
          <w:p w14:paraId="109977A1" w14:textId="77777777" w:rsidR="00CD5AA1" w:rsidRPr="00CD5AA1" w:rsidRDefault="00CD5AA1" w:rsidP="002D3798">
            <w:pPr>
              <w:spacing w:after="0" w:line="240" w:lineRule="auto"/>
              <w:jc w:val="right"/>
              <w:rPr>
                <w:rFonts w:ascii="Arial" w:eastAsia="Times New Roman" w:hAnsi="Arial" w:cs="Arial"/>
                <w:b/>
                <w:bCs/>
                <w:color w:val="FFFFFF" w:themeColor="background1"/>
                <w:lang w:eastAsia="es-CO"/>
              </w:rPr>
            </w:pPr>
            <w:r w:rsidRPr="00CD5AA1">
              <w:rPr>
                <w:rFonts w:ascii="Arial" w:hAnsi="Arial" w:cs="Arial"/>
                <w:b/>
                <w:bCs/>
                <w:color w:val="FFFFFF" w:themeColor="background1"/>
              </w:rPr>
              <w:t>$ 4.759</w:t>
            </w:r>
          </w:p>
        </w:tc>
        <w:tc>
          <w:tcPr>
            <w:tcW w:w="2127" w:type="dxa"/>
            <w:tcBorders>
              <w:top w:val="nil"/>
              <w:left w:val="nil"/>
              <w:bottom w:val="single" w:sz="8" w:space="0" w:color="auto"/>
              <w:right w:val="single" w:sz="4" w:space="0" w:color="auto"/>
            </w:tcBorders>
            <w:shd w:val="clear" w:color="000000" w:fill="1F4E78"/>
            <w:noWrap/>
          </w:tcPr>
          <w:p w14:paraId="6A8F0406" w14:textId="77777777" w:rsidR="00CD5AA1" w:rsidRPr="00CD5AA1" w:rsidRDefault="00CD5AA1" w:rsidP="002D3798">
            <w:pPr>
              <w:spacing w:after="0" w:line="240" w:lineRule="auto"/>
              <w:jc w:val="right"/>
              <w:rPr>
                <w:rFonts w:ascii="Arial" w:eastAsia="Times New Roman" w:hAnsi="Arial" w:cs="Arial"/>
                <w:b/>
                <w:bCs/>
                <w:color w:val="FFFFFF" w:themeColor="background1"/>
                <w:lang w:eastAsia="es-CO"/>
              </w:rPr>
            </w:pPr>
            <w:r w:rsidRPr="00CD5AA1">
              <w:rPr>
                <w:rFonts w:ascii="Arial" w:hAnsi="Arial" w:cs="Arial"/>
                <w:b/>
                <w:bCs/>
                <w:color w:val="FFFFFF" w:themeColor="background1"/>
              </w:rPr>
              <w:t>$ 4.759</w:t>
            </w:r>
          </w:p>
        </w:tc>
        <w:tc>
          <w:tcPr>
            <w:tcW w:w="1598" w:type="dxa"/>
            <w:tcBorders>
              <w:top w:val="nil"/>
              <w:left w:val="nil"/>
              <w:bottom w:val="single" w:sz="8" w:space="0" w:color="auto"/>
              <w:right w:val="single" w:sz="4" w:space="0" w:color="auto"/>
            </w:tcBorders>
            <w:shd w:val="clear" w:color="000000" w:fill="1F4E78"/>
          </w:tcPr>
          <w:p w14:paraId="0B9A3E4A" w14:textId="77777777" w:rsidR="00CD5AA1" w:rsidRPr="00CD5AA1" w:rsidRDefault="00CD5AA1" w:rsidP="002D3798">
            <w:pPr>
              <w:spacing w:after="0" w:line="240" w:lineRule="auto"/>
              <w:jc w:val="right"/>
              <w:rPr>
                <w:rFonts w:ascii="Arial" w:eastAsia="Times New Roman" w:hAnsi="Arial" w:cs="Arial"/>
                <w:b/>
                <w:bCs/>
                <w:color w:val="FFFFFF" w:themeColor="background1"/>
                <w:lang w:eastAsia="es-CO"/>
              </w:rPr>
            </w:pPr>
            <w:r w:rsidRPr="00CD5AA1">
              <w:rPr>
                <w:rFonts w:ascii="Arial" w:hAnsi="Arial" w:cs="Arial"/>
                <w:b/>
                <w:bCs/>
                <w:color w:val="FFFFFF" w:themeColor="background1"/>
              </w:rPr>
              <w:t>100%</w:t>
            </w:r>
          </w:p>
        </w:tc>
      </w:tr>
    </w:tbl>
    <w:p w14:paraId="39783491" w14:textId="77777777" w:rsidR="00C02282" w:rsidRPr="00CD5AA1" w:rsidRDefault="00C02282" w:rsidP="00C02282">
      <w:pPr>
        <w:spacing w:after="0" w:line="240" w:lineRule="auto"/>
        <w:jc w:val="center"/>
        <w:rPr>
          <w:rFonts w:ascii="Arial" w:eastAsia="Calibri" w:hAnsi="Arial" w:cs="Arial"/>
          <w:sz w:val="16"/>
          <w:szCs w:val="16"/>
        </w:rPr>
      </w:pPr>
      <w:r w:rsidRPr="00CD5AA1">
        <w:rPr>
          <w:rFonts w:ascii="Arial" w:hAnsi="Arial" w:cs="Arial"/>
          <w:sz w:val="16"/>
          <w:szCs w:val="16"/>
          <w:lang w:eastAsia="es-ES"/>
        </w:rPr>
        <w:t>Millones de pesos</w:t>
      </w:r>
    </w:p>
    <w:p w14:paraId="538564E2" w14:textId="77777777" w:rsidR="00C02282" w:rsidRPr="00CD5AA1" w:rsidRDefault="00C02282" w:rsidP="00C02282">
      <w:pPr>
        <w:jc w:val="center"/>
        <w:rPr>
          <w:rFonts w:ascii="Arial" w:eastAsia="Calibri" w:hAnsi="Arial" w:cs="Arial"/>
          <w:sz w:val="16"/>
          <w:szCs w:val="16"/>
        </w:rPr>
      </w:pPr>
      <w:r w:rsidRPr="00CD5AA1">
        <w:rPr>
          <w:rFonts w:ascii="Calibri" w:hAnsi="Calibri" w:cs="Calibri"/>
          <w:sz w:val="18"/>
          <w:szCs w:val="18"/>
        </w:rPr>
        <w:t xml:space="preserve">Fuente: </w:t>
      </w:r>
      <w:r w:rsidRPr="00CD5AA1">
        <w:rPr>
          <w:rFonts w:ascii="Arial" w:eastAsia="Calibri" w:hAnsi="Arial" w:cs="Arial"/>
          <w:sz w:val="16"/>
          <w:szCs w:val="16"/>
        </w:rPr>
        <w:t>S</w:t>
      </w:r>
      <w:r w:rsidRPr="00CD5AA1">
        <w:rPr>
          <w:rFonts w:ascii="Arial" w:eastAsia="Calibri" w:hAnsi="Arial" w:cs="Arial"/>
          <w:sz w:val="16"/>
          <w:szCs w:val="16"/>
        </w:rPr>
        <w:tab/>
        <w:t>IIF Nación</w:t>
      </w:r>
      <w:r w:rsidRPr="00CD5AA1">
        <w:rPr>
          <w:rFonts w:ascii="Calibri" w:hAnsi="Calibri" w:cs="Calibri"/>
          <w:sz w:val="18"/>
          <w:szCs w:val="18"/>
        </w:rPr>
        <w:t xml:space="preserve"> </w:t>
      </w:r>
      <w:r w:rsidRPr="00CD5AA1">
        <w:rPr>
          <w:rFonts w:ascii="Arial" w:eastAsia="Calibri" w:hAnsi="Arial" w:cs="Arial"/>
          <w:sz w:val="16"/>
          <w:szCs w:val="16"/>
        </w:rPr>
        <w:t>SGC</w:t>
      </w:r>
    </w:p>
    <w:p w14:paraId="3F7C1382" w14:textId="77777777" w:rsidR="00C02282" w:rsidRPr="00CD5AA1" w:rsidRDefault="00C02282" w:rsidP="00055F7C">
      <w:pPr>
        <w:pStyle w:val="Ttulo1"/>
        <w:numPr>
          <w:ilvl w:val="0"/>
          <w:numId w:val="11"/>
        </w:numPr>
        <w:rPr>
          <w:rFonts w:ascii="Arial" w:eastAsia="Arial" w:hAnsi="Arial" w:cs="Arial"/>
          <w:b/>
          <w:color w:val="auto"/>
          <w:sz w:val="22"/>
          <w:szCs w:val="22"/>
          <w:lang w:eastAsia="es-CO"/>
        </w:rPr>
      </w:pPr>
      <w:bookmarkStart w:id="222" w:name="_Toc514693358"/>
      <w:bookmarkStart w:id="223" w:name="_Toc525652060"/>
      <w:r w:rsidRPr="00CD5AA1">
        <w:rPr>
          <w:rFonts w:ascii="Arial" w:eastAsia="Arial" w:hAnsi="Arial" w:cs="Arial"/>
          <w:b/>
          <w:color w:val="auto"/>
          <w:sz w:val="22"/>
          <w:szCs w:val="22"/>
          <w:lang w:eastAsia="es-CO"/>
        </w:rPr>
        <w:t>CONCLUSIONES Y /O COMENTARIOS</w:t>
      </w:r>
      <w:bookmarkEnd w:id="222"/>
      <w:r w:rsidRPr="00CD5AA1">
        <w:rPr>
          <w:rFonts w:ascii="Arial" w:eastAsia="Arial" w:hAnsi="Arial" w:cs="Arial"/>
          <w:b/>
          <w:color w:val="auto"/>
          <w:sz w:val="22"/>
          <w:szCs w:val="22"/>
          <w:lang w:eastAsia="es-CO"/>
        </w:rPr>
        <w:t xml:space="preserve"> SGC</w:t>
      </w:r>
      <w:bookmarkEnd w:id="223"/>
    </w:p>
    <w:p w14:paraId="1605412A" w14:textId="77777777" w:rsidR="00C02282" w:rsidRPr="006A67B4" w:rsidRDefault="00C02282" w:rsidP="00C02282">
      <w:pPr>
        <w:rPr>
          <w:highlight w:val="yellow"/>
          <w:lang w:eastAsia="es-CO"/>
        </w:rPr>
      </w:pPr>
    </w:p>
    <w:p w14:paraId="49CD1D30" w14:textId="0DEBD8C3" w:rsidR="00CD5AA1" w:rsidRPr="00FA1202" w:rsidRDefault="00CD5AA1" w:rsidP="00CD5AA1">
      <w:pPr>
        <w:spacing w:after="0" w:line="240" w:lineRule="auto"/>
        <w:jc w:val="both"/>
        <w:rPr>
          <w:rFonts w:ascii="Arial" w:hAnsi="Arial" w:cs="Arial"/>
        </w:rPr>
      </w:pPr>
      <w:r w:rsidRPr="00FA1202">
        <w:rPr>
          <w:rFonts w:ascii="Arial" w:hAnsi="Arial" w:cs="Arial"/>
          <w:lang w:eastAsia="es-CO"/>
        </w:rPr>
        <w:t xml:space="preserve">El presupuesto vigente para el Servicio Geológico Colombiano para la vigencia 2018 es </w:t>
      </w:r>
      <w:r w:rsidR="00D41D3A" w:rsidRPr="00FA1202">
        <w:rPr>
          <w:rFonts w:ascii="Arial" w:hAnsi="Arial" w:cs="Arial"/>
          <w:lang w:eastAsia="es-CO"/>
        </w:rPr>
        <w:t>de $</w:t>
      </w:r>
      <w:r w:rsidRPr="00FA1202">
        <w:rPr>
          <w:rFonts w:ascii="Arial" w:hAnsi="Arial" w:cs="Arial"/>
        </w:rPr>
        <w:t>63.514 millones, dividido en funcionamiento con $51.786 millones que representa el 81.54% del valor total asignado e inversión la suma de $11.027 millones que representa el 18.46%, incluida las incorporaciones por los convenios suscritos con el Ministerio de Minas y Energía y el IGAC, por valor total de $2.041 millones. Actualmente se encuentran aplazados el valor $</w:t>
      </w:r>
      <w:r w:rsidR="00D41D3A" w:rsidRPr="00FA1202">
        <w:rPr>
          <w:rFonts w:ascii="Arial" w:hAnsi="Arial" w:cs="Arial"/>
        </w:rPr>
        <w:t>700 millones</w:t>
      </w:r>
      <w:r w:rsidRPr="00FA1202">
        <w:rPr>
          <w:rFonts w:ascii="Arial" w:hAnsi="Arial" w:cs="Arial"/>
        </w:rPr>
        <w:t xml:space="preserve"> del presupuesto de inversión.</w:t>
      </w:r>
    </w:p>
    <w:p w14:paraId="5CE59BC5" w14:textId="77777777" w:rsidR="00CD5AA1" w:rsidRPr="00FA1202" w:rsidRDefault="00CD5AA1" w:rsidP="00CD5AA1">
      <w:pPr>
        <w:spacing w:after="0" w:line="240" w:lineRule="auto"/>
        <w:jc w:val="both"/>
        <w:rPr>
          <w:rFonts w:ascii="Arial" w:hAnsi="Arial" w:cs="Arial"/>
        </w:rPr>
      </w:pPr>
    </w:p>
    <w:p w14:paraId="6F95AC88" w14:textId="77777777" w:rsidR="00CD5AA1" w:rsidRPr="00FA1202" w:rsidRDefault="00CD5AA1" w:rsidP="00CD5AA1">
      <w:pPr>
        <w:jc w:val="both"/>
        <w:rPr>
          <w:rFonts w:ascii="Arial" w:hAnsi="Arial" w:cs="Arial"/>
        </w:rPr>
      </w:pPr>
      <w:r w:rsidRPr="00FA1202">
        <w:rPr>
          <w:rFonts w:ascii="Arial" w:hAnsi="Arial" w:cs="Arial"/>
        </w:rPr>
        <w:lastRenderedPageBreak/>
        <w:t>Los ingresos aforados a la fecha ascienden $8.659 millones, por la incorporación $1.500 millones producto del convenio interadministrativo N° 319 de 2018, suscrito con el Ministerio de Minas y Energía y aprobado mediante el Acuerdo 001 del 16 de febrero de 2018.</w:t>
      </w:r>
    </w:p>
    <w:p w14:paraId="5C08C0AF" w14:textId="32CF88C0" w:rsidR="00CD5AA1" w:rsidRPr="00FA1202" w:rsidRDefault="00CD5AA1" w:rsidP="00CD5AA1">
      <w:pPr>
        <w:jc w:val="both"/>
        <w:rPr>
          <w:rFonts w:ascii="Arial" w:hAnsi="Arial" w:cs="Arial"/>
        </w:rPr>
      </w:pPr>
      <w:r w:rsidRPr="00FA1202">
        <w:rPr>
          <w:rFonts w:ascii="Arial" w:hAnsi="Arial" w:cs="Arial"/>
        </w:rPr>
        <w:t xml:space="preserve">La ejecución de las reservas presupuestales va en </w:t>
      </w:r>
      <w:r w:rsidR="00D41D3A" w:rsidRPr="00FA1202">
        <w:rPr>
          <w:rFonts w:ascii="Arial" w:hAnsi="Arial" w:cs="Arial"/>
        </w:rPr>
        <w:t>un 69.17</w:t>
      </w:r>
      <w:r w:rsidRPr="00FA1202">
        <w:rPr>
          <w:rFonts w:ascii="Arial" w:hAnsi="Arial" w:cs="Arial"/>
        </w:rPr>
        <w:t>% y las cuentas por pagar fueron canceladas en su total.</w:t>
      </w:r>
    </w:p>
    <w:p w14:paraId="56D4ED56" w14:textId="7EA20DB9" w:rsidR="00CD5AA1" w:rsidRDefault="00CD5AA1" w:rsidP="00CD5AA1">
      <w:pPr>
        <w:pStyle w:val="Sinespaciado"/>
        <w:jc w:val="both"/>
        <w:rPr>
          <w:rFonts w:ascii="Arial" w:hAnsi="Arial" w:cs="Arial"/>
        </w:rPr>
      </w:pPr>
      <w:r w:rsidRPr="00FA1202">
        <w:rPr>
          <w:rFonts w:ascii="Arial" w:hAnsi="Arial" w:cs="Arial"/>
        </w:rPr>
        <w:t>La Entidad maneja nueve (9) proyectos, que tienen los siguientes objetivos: consolidar las capacidades científicas y tecnológicas de las aplicaciones nucleares y radiactivas, fortalecer la investigación, monitoreo y evaluación de amenazas de origen geológico a nivel nacional, conocer el potencial mineral del territorio colombiano, fortalecer la generación y transferencia de conocimiento geocientífico del territorio colombiano, fortalecer la infraestructura tecnológica como soporte a la gestión de información para garantizar la estabilidad, confiabilidad y disponibilidad de los sistemas informáticos necesarios para el intercambio de productos de información del Servicio Geológico Colombiano, algunos de estos proyectos están financiados con recursos Nación y recursos propios provenientes de incorporaciones de convenios interadministrativos.</w:t>
      </w:r>
    </w:p>
    <w:p w14:paraId="29F56EC7" w14:textId="17F04280" w:rsidR="009E5C47" w:rsidRDefault="009E5C47" w:rsidP="00CD5AA1">
      <w:pPr>
        <w:pStyle w:val="Sinespaciado"/>
        <w:jc w:val="both"/>
        <w:rPr>
          <w:rFonts w:ascii="Arial" w:hAnsi="Arial" w:cs="Arial"/>
        </w:rPr>
      </w:pPr>
    </w:p>
    <w:p w14:paraId="7733E6B0" w14:textId="580556B9" w:rsidR="009E5C47" w:rsidRDefault="009E5C47" w:rsidP="00CD5AA1">
      <w:pPr>
        <w:pStyle w:val="Sinespaciado"/>
        <w:jc w:val="both"/>
        <w:rPr>
          <w:rFonts w:ascii="Arial" w:hAnsi="Arial" w:cs="Arial"/>
        </w:rPr>
      </w:pPr>
    </w:p>
    <w:p w14:paraId="1B9CCD3E" w14:textId="77777777" w:rsidR="00C02282" w:rsidRPr="0017602D" w:rsidRDefault="00C02282" w:rsidP="00C02282">
      <w:pPr>
        <w:pStyle w:val="Ttulo1"/>
        <w:ind w:left="426"/>
        <w:rPr>
          <w:rFonts w:ascii="Arial" w:eastAsia="Arial" w:hAnsi="Arial" w:cs="Arial"/>
          <w:b/>
          <w:color w:val="auto"/>
          <w:sz w:val="22"/>
          <w:szCs w:val="22"/>
          <w:lang w:eastAsia="es-CO"/>
        </w:rPr>
      </w:pPr>
      <w:bookmarkStart w:id="224" w:name="_Toc525652061"/>
      <w:r w:rsidRPr="0017602D">
        <w:rPr>
          <w:rFonts w:ascii="Arial" w:eastAsia="Arial" w:hAnsi="Arial" w:cs="Arial"/>
          <w:b/>
          <w:color w:val="auto"/>
          <w:sz w:val="22"/>
          <w:szCs w:val="22"/>
          <w:lang w:eastAsia="es-CO"/>
        </w:rPr>
        <w:t>E. AGENCIA NACIONAL MINERA- ANM</w:t>
      </w:r>
      <w:bookmarkEnd w:id="224"/>
    </w:p>
    <w:p w14:paraId="697A7B31" w14:textId="77777777" w:rsidR="00C02282" w:rsidRPr="0017602D" w:rsidRDefault="00C02282" w:rsidP="00C02282">
      <w:pPr>
        <w:pStyle w:val="Sinespaciado"/>
        <w:jc w:val="both"/>
        <w:rPr>
          <w:rFonts w:ascii="Arial" w:hAnsi="Arial" w:cs="Arial"/>
        </w:rPr>
      </w:pPr>
    </w:p>
    <w:p w14:paraId="1AD5056F" w14:textId="77777777" w:rsidR="00C02282" w:rsidRPr="0017602D" w:rsidRDefault="00C02282" w:rsidP="00055F7C">
      <w:pPr>
        <w:pStyle w:val="Ttulo1"/>
        <w:numPr>
          <w:ilvl w:val="0"/>
          <w:numId w:val="13"/>
        </w:numPr>
        <w:rPr>
          <w:rFonts w:ascii="Arial" w:eastAsia="Calibri" w:hAnsi="Arial" w:cs="Arial"/>
          <w:color w:val="auto"/>
          <w:sz w:val="22"/>
          <w:szCs w:val="22"/>
        </w:rPr>
      </w:pPr>
      <w:bookmarkStart w:id="225" w:name="_Toc515525850"/>
      <w:bookmarkStart w:id="226" w:name="_Toc525652062"/>
      <w:r w:rsidRPr="0017602D">
        <w:rPr>
          <w:rFonts w:ascii="Arial" w:eastAsia="Arial" w:hAnsi="Arial" w:cs="Arial"/>
          <w:b/>
          <w:color w:val="auto"/>
          <w:sz w:val="22"/>
          <w:szCs w:val="22"/>
          <w:lang w:eastAsia="es-CO"/>
        </w:rPr>
        <w:t>COMPOSICIÓN DEL PRESUPUESTO DE</w:t>
      </w:r>
      <w:r w:rsidRPr="0017602D">
        <w:rPr>
          <w:rFonts w:ascii="Arial" w:hAnsi="Arial" w:cs="Arial"/>
          <w:b/>
          <w:color w:val="auto"/>
          <w:sz w:val="22"/>
          <w:szCs w:val="22"/>
          <w:lang w:eastAsia="es-CO"/>
        </w:rPr>
        <w:t xml:space="preserve"> </w:t>
      </w:r>
      <w:r w:rsidRPr="0017602D">
        <w:rPr>
          <w:rFonts w:ascii="Arial" w:eastAsia="Arial" w:hAnsi="Arial" w:cs="Arial"/>
          <w:b/>
          <w:color w:val="auto"/>
          <w:sz w:val="22"/>
          <w:szCs w:val="22"/>
          <w:lang w:eastAsia="es-CO"/>
        </w:rPr>
        <w:t>L</w:t>
      </w:r>
      <w:r w:rsidRPr="0017602D">
        <w:rPr>
          <w:rFonts w:ascii="Arial" w:hAnsi="Arial" w:cs="Arial"/>
          <w:b/>
          <w:color w:val="auto"/>
          <w:sz w:val="22"/>
          <w:szCs w:val="22"/>
          <w:lang w:eastAsia="es-CO"/>
        </w:rPr>
        <w:t>A ANM</w:t>
      </w:r>
      <w:bookmarkEnd w:id="225"/>
      <w:bookmarkEnd w:id="226"/>
    </w:p>
    <w:p w14:paraId="793E25BF" w14:textId="77777777" w:rsidR="00C02282" w:rsidRPr="006A67B4" w:rsidRDefault="00C02282" w:rsidP="00C02282">
      <w:pPr>
        <w:spacing w:after="0" w:line="240" w:lineRule="auto"/>
        <w:jc w:val="center"/>
        <w:rPr>
          <w:rFonts w:ascii="Arial" w:eastAsia="Calibri" w:hAnsi="Arial" w:cs="Arial"/>
          <w:highlight w:val="yellow"/>
        </w:rPr>
      </w:pPr>
    </w:p>
    <w:p w14:paraId="603B19F4" w14:textId="77777777" w:rsidR="00C02282" w:rsidRPr="006A67B4" w:rsidRDefault="00C02282" w:rsidP="00C02282">
      <w:pPr>
        <w:spacing w:after="0" w:line="240" w:lineRule="auto"/>
        <w:jc w:val="both"/>
        <w:rPr>
          <w:rFonts w:ascii="Arial" w:hAnsi="Arial" w:cs="Arial"/>
          <w:highlight w:val="yellow"/>
          <w:lang w:eastAsia="es-ES"/>
        </w:rPr>
      </w:pPr>
    </w:p>
    <w:p w14:paraId="565F925C" w14:textId="5CD2EE2A" w:rsidR="00C02282" w:rsidRPr="0017602D" w:rsidRDefault="00C02282" w:rsidP="00C02282">
      <w:pPr>
        <w:pStyle w:val="Descripcin"/>
        <w:keepNext/>
        <w:jc w:val="center"/>
      </w:pPr>
      <w:bookmarkStart w:id="227" w:name="_Toc525652432"/>
      <w:r w:rsidRPr="0017602D">
        <w:t xml:space="preserve">Gráfica </w:t>
      </w:r>
      <w:r w:rsidR="00B6251B">
        <w:fldChar w:fldCharType="begin"/>
      </w:r>
      <w:r w:rsidR="00B6251B">
        <w:instrText xml:space="preserve"> SEQ Gráfica \* ARABIC </w:instrText>
      </w:r>
      <w:r w:rsidR="00B6251B">
        <w:fldChar w:fldCharType="separate"/>
      </w:r>
      <w:r w:rsidR="00B6251B">
        <w:rPr>
          <w:noProof/>
        </w:rPr>
        <w:t>19</w:t>
      </w:r>
      <w:r w:rsidR="00B6251B">
        <w:fldChar w:fldCharType="end"/>
      </w:r>
      <w:r w:rsidR="0017602D">
        <w:t xml:space="preserve"> </w:t>
      </w:r>
      <w:r w:rsidRPr="0017602D">
        <w:t>Distribución Presupuesto de la entidad - vigencia 2018 ANM</w:t>
      </w:r>
      <w:bookmarkEnd w:id="227"/>
    </w:p>
    <w:p w14:paraId="2B7EC2C4" w14:textId="77777777" w:rsidR="00C02282" w:rsidRPr="0017602D" w:rsidRDefault="00C02282" w:rsidP="00C02282">
      <w:pPr>
        <w:spacing w:after="0" w:line="240" w:lineRule="auto"/>
        <w:jc w:val="center"/>
        <w:rPr>
          <w:rFonts w:ascii="Arial" w:eastAsia="Calibri" w:hAnsi="Arial" w:cs="Arial"/>
          <w:sz w:val="16"/>
          <w:szCs w:val="16"/>
        </w:rPr>
      </w:pPr>
      <w:r w:rsidRPr="0017602D">
        <w:rPr>
          <w:rFonts w:ascii="Arial" w:hAnsi="Arial" w:cs="Arial"/>
          <w:noProof/>
          <w:lang w:eastAsia="es-CO"/>
        </w:rPr>
        <w:drawing>
          <wp:inline distT="0" distB="0" distL="0" distR="0" wp14:anchorId="4352BD33" wp14:editId="07B2B0AE">
            <wp:extent cx="3982969" cy="23848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2514" cy="2390528"/>
                    </a:xfrm>
                    <a:prstGeom prst="rect">
                      <a:avLst/>
                    </a:prstGeom>
                    <a:noFill/>
                    <a:ln>
                      <a:noFill/>
                    </a:ln>
                  </pic:spPr>
                </pic:pic>
              </a:graphicData>
            </a:graphic>
          </wp:inline>
        </w:drawing>
      </w:r>
    </w:p>
    <w:p w14:paraId="3902AFE5" w14:textId="77777777" w:rsidR="00C02282" w:rsidRPr="0017602D" w:rsidRDefault="00C02282" w:rsidP="00C02282">
      <w:pPr>
        <w:spacing w:after="0" w:line="240" w:lineRule="auto"/>
        <w:rPr>
          <w:rFonts w:ascii="Arial" w:eastAsia="Calibri" w:hAnsi="Arial" w:cs="Arial"/>
          <w:sz w:val="16"/>
          <w:szCs w:val="16"/>
        </w:rPr>
      </w:pPr>
    </w:p>
    <w:p w14:paraId="3722C41A" w14:textId="77777777" w:rsidR="00C02282" w:rsidRPr="0017602D" w:rsidRDefault="00C02282" w:rsidP="00C02282">
      <w:pPr>
        <w:spacing w:after="0" w:line="240" w:lineRule="auto"/>
        <w:jc w:val="center"/>
        <w:rPr>
          <w:rFonts w:ascii="Arial" w:eastAsia="Calibri" w:hAnsi="Arial" w:cs="Arial"/>
          <w:sz w:val="12"/>
          <w:szCs w:val="12"/>
        </w:rPr>
      </w:pPr>
      <w:r w:rsidRPr="0017602D">
        <w:rPr>
          <w:rFonts w:ascii="Arial" w:eastAsia="Calibri" w:hAnsi="Arial" w:cs="Arial"/>
          <w:sz w:val="16"/>
          <w:szCs w:val="16"/>
        </w:rPr>
        <w:t>Fuente:</w:t>
      </w:r>
      <w:r w:rsidRPr="0017602D">
        <w:rPr>
          <w:rFonts w:ascii="Arial" w:eastAsia="Calibri" w:hAnsi="Arial" w:cs="Arial"/>
          <w:sz w:val="12"/>
          <w:szCs w:val="12"/>
        </w:rPr>
        <w:t xml:space="preserve"> SIIF NACION</w:t>
      </w:r>
    </w:p>
    <w:p w14:paraId="4BC9E01A" w14:textId="77777777" w:rsidR="00C02282" w:rsidRPr="006A67B4" w:rsidRDefault="00C02282" w:rsidP="00C02282">
      <w:pPr>
        <w:spacing w:after="0" w:line="240" w:lineRule="auto"/>
        <w:jc w:val="both"/>
        <w:rPr>
          <w:rFonts w:ascii="Arial" w:hAnsi="Arial" w:cs="Arial"/>
          <w:highlight w:val="yellow"/>
          <w:lang w:eastAsia="es-ES"/>
        </w:rPr>
      </w:pPr>
    </w:p>
    <w:p w14:paraId="1AA72A4D" w14:textId="584A291C" w:rsidR="00C02282" w:rsidRPr="0017602D" w:rsidRDefault="0017602D" w:rsidP="008B4625">
      <w:pPr>
        <w:pStyle w:val="Ttulo2"/>
        <w:numPr>
          <w:ilvl w:val="1"/>
          <w:numId w:val="53"/>
        </w:numPr>
        <w:rPr>
          <w:rFonts w:ascii="Arial" w:eastAsia="Calibri" w:hAnsi="Arial" w:cs="Arial"/>
          <w:color w:val="auto"/>
          <w:sz w:val="22"/>
          <w:szCs w:val="22"/>
        </w:rPr>
      </w:pPr>
      <w:bookmarkStart w:id="228" w:name="_Toc515525851"/>
      <w:bookmarkStart w:id="229" w:name="_Toc525652063"/>
      <w:r w:rsidRPr="0017602D">
        <w:rPr>
          <w:rFonts w:ascii="Arial" w:eastAsia="Calibri" w:hAnsi="Arial" w:cs="Arial"/>
          <w:color w:val="auto"/>
          <w:sz w:val="22"/>
          <w:szCs w:val="22"/>
        </w:rPr>
        <w:lastRenderedPageBreak/>
        <w:t>Composición</w:t>
      </w:r>
      <w:r w:rsidR="00C02282" w:rsidRPr="0017602D">
        <w:rPr>
          <w:rFonts w:ascii="Arial" w:eastAsia="Calibri" w:hAnsi="Arial" w:cs="Arial"/>
          <w:color w:val="auto"/>
          <w:sz w:val="22"/>
          <w:szCs w:val="22"/>
        </w:rPr>
        <w:t xml:space="preserve"> del Presupuesto de Funcionamiento de la ANM</w:t>
      </w:r>
      <w:bookmarkEnd w:id="228"/>
      <w:bookmarkEnd w:id="229"/>
    </w:p>
    <w:p w14:paraId="027B892D" w14:textId="77777777" w:rsidR="0017602D" w:rsidRPr="0017602D" w:rsidRDefault="0017602D" w:rsidP="0017602D">
      <w:pPr>
        <w:pStyle w:val="Prrafodelista"/>
        <w:ind w:left="360"/>
      </w:pPr>
    </w:p>
    <w:p w14:paraId="1A0E922F" w14:textId="77777777" w:rsidR="00C02282" w:rsidRPr="0017602D" w:rsidRDefault="00C02282" w:rsidP="00C02282">
      <w:pPr>
        <w:spacing w:after="0" w:line="240" w:lineRule="auto"/>
        <w:jc w:val="both"/>
        <w:rPr>
          <w:rFonts w:ascii="Arial" w:eastAsia="Calibri" w:hAnsi="Arial" w:cs="Arial"/>
        </w:rPr>
      </w:pPr>
      <w:r w:rsidRPr="0017602D">
        <w:rPr>
          <w:rFonts w:ascii="Arial" w:eastAsia="Calibri" w:hAnsi="Arial" w:cs="Arial"/>
        </w:rPr>
        <w:t>La entidad presenta un presupuesto total para funcionamiento de $98.100 millones distribuido de la siguiente manera:</w:t>
      </w:r>
    </w:p>
    <w:p w14:paraId="3C0AD01E" w14:textId="77777777" w:rsidR="00C02282" w:rsidRPr="006A67B4" w:rsidRDefault="00C02282" w:rsidP="00C02282">
      <w:pPr>
        <w:spacing w:after="0" w:line="240" w:lineRule="auto"/>
        <w:rPr>
          <w:rFonts w:ascii="Arial" w:hAnsi="Arial" w:cs="Arial"/>
          <w:highlight w:val="yellow"/>
          <w:lang w:eastAsia="es-ES"/>
        </w:rPr>
      </w:pPr>
    </w:p>
    <w:p w14:paraId="05DEEDD6" w14:textId="77777777" w:rsidR="00C02282" w:rsidRPr="006A67B4" w:rsidRDefault="00C02282" w:rsidP="00C02282">
      <w:pPr>
        <w:spacing w:after="0" w:line="240" w:lineRule="auto"/>
        <w:jc w:val="center"/>
        <w:rPr>
          <w:rFonts w:ascii="Arial" w:hAnsi="Arial" w:cs="Arial"/>
          <w:highlight w:val="yellow"/>
          <w:lang w:eastAsia="es-ES"/>
        </w:rPr>
      </w:pPr>
    </w:p>
    <w:p w14:paraId="5456E389" w14:textId="19190431" w:rsidR="00C02282" w:rsidRPr="0017602D" w:rsidRDefault="00C02282" w:rsidP="00C02282">
      <w:pPr>
        <w:pStyle w:val="Descripcin"/>
        <w:keepNext/>
        <w:jc w:val="center"/>
      </w:pPr>
      <w:bookmarkStart w:id="230" w:name="_Toc525652550"/>
      <w:r w:rsidRPr="0017602D">
        <w:t xml:space="preserve">Tabla </w:t>
      </w:r>
      <w:r w:rsidRPr="0017602D">
        <w:fldChar w:fldCharType="begin"/>
      </w:r>
      <w:r w:rsidRPr="0017602D">
        <w:instrText xml:space="preserve"> SEQ Tabla \* ARABIC </w:instrText>
      </w:r>
      <w:r w:rsidRPr="0017602D">
        <w:fldChar w:fldCharType="separate"/>
      </w:r>
      <w:r w:rsidR="008B4625">
        <w:rPr>
          <w:noProof/>
        </w:rPr>
        <w:t>105</w:t>
      </w:r>
      <w:r w:rsidRPr="0017602D">
        <w:fldChar w:fldCharType="end"/>
      </w:r>
      <w:r w:rsidR="0017602D">
        <w:t xml:space="preserve"> </w:t>
      </w:r>
      <w:r w:rsidRPr="0017602D">
        <w:t>Distribución Presupuesto Funcionamiento - vigencia 2018ANM</w:t>
      </w:r>
      <w:bookmarkEnd w:id="230"/>
    </w:p>
    <w:p w14:paraId="2463F2D6" w14:textId="77777777" w:rsidR="00C02282" w:rsidRPr="0017602D" w:rsidRDefault="00C02282" w:rsidP="00C02282">
      <w:pPr>
        <w:spacing w:after="0" w:line="240" w:lineRule="auto"/>
        <w:jc w:val="center"/>
        <w:rPr>
          <w:rFonts w:ascii="Arial" w:eastAsia="Calibri" w:hAnsi="Arial" w:cs="Arial"/>
          <w:sz w:val="16"/>
          <w:szCs w:val="16"/>
        </w:rPr>
      </w:pPr>
      <w:r w:rsidRPr="0017602D">
        <w:rPr>
          <w:rFonts w:ascii="Arial" w:hAnsi="Arial" w:cs="Arial"/>
          <w:noProof/>
          <w:lang w:eastAsia="es-CO"/>
        </w:rPr>
        <w:drawing>
          <wp:inline distT="0" distB="0" distL="0" distR="0" wp14:anchorId="70FF4FF9" wp14:editId="0DABF547">
            <wp:extent cx="5972175" cy="154224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11481"/>
                    <a:stretch/>
                  </pic:blipFill>
                  <pic:spPr bwMode="auto">
                    <a:xfrm>
                      <a:off x="0" y="0"/>
                      <a:ext cx="5972175" cy="1542248"/>
                    </a:xfrm>
                    <a:prstGeom prst="rect">
                      <a:avLst/>
                    </a:prstGeom>
                    <a:noFill/>
                    <a:ln>
                      <a:noFill/>
                    </a:ln>
                    <a:extLst>
                      <a:ext uri="{53640926-AAD7-44D8-BBD7-CCE9431645EC}">
                        <a14:shadowObscured xmlns:a14="http://schemas.microsoft.com/office/drawing/2010/main"/>
                      </a:ext>
                    </a:extLst>
                  </pic:spPr>
                </pic:pic>
              </a:graphicData>
            </a:graphic>
          </wp:inline>
        </w:drawing>
      </w:r>
      <w:r w:rsidRPr="0017602D">
        <w:rPr>
          <w:rFonts w:ascii="Arial" w:hAnsi="Arial" w:cs="Arial"/>
          <w:sz w:val="16"/>
          <w:szCs w:val="16"/>
          <w:lang w:eastAsia="es-ES"/>
        </w:rPr>
        <w:t xml:space="preserve"> Millones de pesos</w:t>
      </w:r>
    </w:p>
    <w:p w14:paraId="2967BD15" w14:textId="77777777" w:rsidR="00C02282" w:rsidRPr="0017602D" w:rsidRDefault="00C02282" w:rsidP="00C02282">
      <w:pPr>
        <w:jc w:val="center"/>
        <w:rPr>
          <w:rFonts w:ascii="Arial" w:eastAsia="Calibri" w:hAnsi="Arial" w:cs="Arial"/>
          <w:sz w:val="16"/>
          <w:szCs w:val="16"/>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6843FD9D" w14:textId="77777777" w:rsidR="00C02282" w:rsidRPr="0017602D" w:rsidRDefault="00C02282" w:rsidP="00C02282">
      <w:pPr>
        <w:pStyle w:val="Ttulo2"/>
        <w:rPr>
          <w:rFonts w:ascii="Arial" w:eastAsia="Calibri" w:hAnsi="Arial" w:cs="Arial"/>
        </w:rPr>
      </w:pPr>
      <w:bookmarkStart w:id="231" w:name="_Toc515525852"/>
      <w:bookmarkStart w:id="232" w:name="_Toc525652064"/>
      <w:r w:rsidRPr="0017602D">
        <w:rPr>
          <w:rFonts w:ascii="Arial" w:eastAsia="Calibri" w:hAnsi="Arial" w:cs="Arial"/>
          <w:color w:val="auto"/>
          <w:sz w:val="22"/>
          <w:szCs w:val="22"/>
        </w:rPr>
        <w:t>1.2. Composición del Presupuesto de Inversión de la ANM</w:t>
      </w:r>
      <w:bookmarkEnd w:id="231"/>
      <w:bookmarkEnd w:id="232"/>
    </w:p>
    <w:p w14:paraId="13655D35" w14:textId="77777777" w:rsidR="00C02282" w:rsidRPr="0017602D" w:rsidRDefault="00C02282" w:rsidP="00C02282">
      <w:pPr>
        <w:pStyle w:val="Prrafodelista"/>
        <w:spacing w:after="0" w:line="240" w:lineRule="auto"/>
        <w:ind w:left="709"/>
        <w:jc w:val="both"/>
        <w:rPr>
          <w:rFonts w:eastAsia="Calibri" w:cs="Arial"/>
        </w:rPr>
      </w:pPr>
    </w:p>
    <w:p w14:paraId="32B586AF" w14:textId="77777777" w:rsidR="00C02282" w:rsidRPr="0017602D" w:rsidRDefault="00C02282" w:rsidP="00C02282">
      <w:pPr>
        <w:spacing w:after="0" w:line="240" w:lineRule="auto"/>
        <w:jc w:val="both"/>
        <w:rPr>
          <w:rFonts w:ascii="Arial" w:eastAsia="Calibri" w:hAnsi="Arial" w:cs="Arial"/>
        </w:rPr>
      </w:pPr>
      <w:r w:rsidRPr="0017602D">
        <w:rPr>
          <w:rFonts w:ascii="Arial" w:eastAsia="Calibri" w:hAnsi="Arial" w:cs="Arial"/>
        </w:rPr>
        <w:t>La entidad cuenta con un presupuesto total para inversión de $13.513.6 millones distribuido de la siguiente manera:</w:t>
      </w:r>
    </w:p>
    <w:p w14:paraId="78FCA589" w14:textId="77777777" w:rsidR="00C02282" w:rsidRPr="0017602D" w:rsidRDefault="00C02282" w:rsidP="00C02282">
      <w:pPr>
        <w:spacing w:after="0" w:line="240" w:lineRule="auto"/>
        <w:ind w:left="7788"/>
        <w:jc w:val="center"/>
        <w:rPr>
          <w:rFonts w:ascii="Arial" w:hAnsi="Arial" w:cs="Arial"/>
          <w:sz w:val="20"/>
          <w:szCs w:val="20"/>
          <w:lang w:eastAsia="es-ES"/>
        </w:rPr>
      </w:pPr>
    </w:p>
    <w:p w14:paraId="0F67814B" w14:textId="6FC28DBC" w:rsidR="00C02282" w:rsidRPr="0017602D" w:rsidRDefault="00C02282" w:rsidP="00C02282">
      <w:pPr>
        <w:pStyle w:val="Descripcin"/>
        <w:keepNext/>
        <w:jc w:val="center"/>
      </w:pPr>
      <w:bookmarkStart w:id="233" w:name="_Toc525652551"/>
      <w:r w:rsidRPr="0017602D">
        <w:t xml:space="preserve">Tabla </w:t>
      </w:r>
      <w:r w:rsidRPr="0017602D">
        <w:fldChar w:fldCharType="begin"/>
      </w:r>
      <w:r w:rsidRPr="0017602D">
        <w:instrText xml:space="preserve"> SEQ Tabla \* ARABIC </w:instrText>
      </w:r>
      <w:r w:rsidRPr="0017602D">
        <w:fldChar w:fldCharType="separate"/>
      </w:r>
      <w:r w:rsidR="008B4625">
        <w:rPr>
          <w:noProof/>
        </w:rPr>
        <w:t>106</w:t>
      </w:r>
      <w:r w:rsidRPr="0017602D">
        <w:fldChar w:fldCharType="end"/>
      </w:r>
      <w:r w:rsidR="0017602D" w:rsidRPr="0017602D">
        <w:t xml:space="preserve"> </w:t>
      </w:r>
      <w:r w:rsidRPr="0017602D">
        <w:t>Distribución Presupuesto de Inversión - vigencia 2018 ANM</w:t>
      </w:r>
      <w:bookmarkEnd w:id="233"/>
    </w:p>
    <w:p w14:paraId="10D7CBC7" w14:textId="77777777" w:rsidR="00C02282" w:rsidRPr="0017602D" w:rsidRDefault="00C02282" w:rsidP="00C02282">
      <w:pPr>
        <w:spacing w:after="0" w:line="240" w:lineRule="auto"/>
        <w:jc w:val="center"/>
        <w:rPr>
          <w:rFonts w:ascii="Arial" w:eastAsia="Calibri" w:hAnsi="Arial" w:cs="Arial"/>
          <w:sz w:val="16"/>
          <w:szCs w:val="16"/>
        </w:rPr>
      </w:pPr>
      <w:r w:rsidRPr="0017602D">
        <w:rPr>
          <w:rFonts w:ascii="Arial" w:hAnsi="Arial" w:cs="Arial"/>
          <w:noProof/>
          <w:lang w:eastAsia="es-CO"/>
        </w:rPr>
        <w:drawing>
          <wp:inline distT="0" distB="0" distL="0" distR="0" wp14:anchorId="18ED54F9" wp14:editId="63E1A66D">
            <wp:extent cx="5972175" cy="18518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2175" cy="1851837"/>
                    </a:xfrm>
                    <a:prstGeom prst="rect">
                      <a:avLst/>
                    </a:prstGeom>
                    <a:noFill/>
                    <a:ln>
                      <a:noFill/>
                    </a:ln>
                  </pic:spPr>
                </pic:pic>
              </a:graphicData>
            </a:graphic>
          </wp:inline>
        </w:drawing>
      </w:r>
      <w:r w:rsidRPr="0017602D">
        <w:rPr>
          <w:rFonts w:ascii="Arial" w:hAnsi="Arial" w:cs="Arial"/>
          <w:sz w:val="16"/>
          <w:szCs w:val="16"/>
          <w:lang w:eastAsia="es-ES"/>
        </w:rPr>
        <w:t xml:space="preserve"> Millones de pesos</w:t>
      </w:r>
    </w:p>
    <w:p w14:paraId="41B1473E" w14:textId="66ADA269" w:rsidR="00C02282" w:rsidRDefault="00C02282" w:rsidP="00C02282">
      <w:pPr>
        <w:jc w:val="center"/>
        <w:rPr>
          <w:rFonts w:ascii="Arial" w:eastAsia="Calibri" w:hAnsi="Arial" w:cs="Arial"/>
          <w:sz w:val="16"/>
          <w:szCs w:val="16"/>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2E3C7860" w14:textId="77777777" w:rsidR="004D0449" w:rsidRDefault="004D0449" w:rsidP="00C02282">
      <w:pPr>
        <w:jc w:val="center"/>
        <w:rPr>
          <w:rFonts w:ascii="Arial" w:eastAsia="Calibri" w:hAnsi="Arial" w:cs="Arial"/>
          <w:sz w:val="16"/>
          <w:szCs w:val="16"/>
        </w:rPr>
      </w:pPr>
    </w:p>
    <w:p w14:paraId="7BE7B491" w14:textId="77777777" w:rsidR="00D41D3A" w:rsidRPr="0017602D" w:rsidRDefault="00D41D3A" w:rsidP="00C02282">
      <w:pPr>
        <w:jc w:val="center"/>
        <w:rPr>
          <w:rFonts w:ascii="Arial" w:eastAsia="Calibri" w:hAnsi="Arial" w:cs="Arial"/>
          <w:sz w:val="16"/>
          <w:szCs w:val="16"/>
        </w:rPr>
      </w:pPr>
    </w:p>
    <w:p w14:paraId="4906E6F8" w14:textId="77777777" w:rsidR="00C02282" w:rsidRPr="0017602D" w:rsidRDefault="00C02282" w:rsidP="00055F7C">
      <w:pPr>
        <w:pStyle w:val="Ttulo1"/>
        <w:numPr>
          <w:ilvl w:val="0"/>
          <w:numId w:val="13"/>
        </w:numPr>
        <w:rPr>
          <w:rFonts w:ascii="Arial" w:eastAsia="Arial" w:hAnsi="Arial" w:cs="Arial"/>
          <w:b/>
          <w:color w:val="auto"/>
          <w:sz w:val="22"/>
          <w:szCs w:val="22"/>
          <w:lang w:eastAsia="es-CO"/>
        </w:rPr>
      </w:pPr>
      <w:bookmarkStart w:id="234" w:name="_Toc515525853"/>
      <w:r w:rsidRPr="0017602D">
        <w:rPr>
          <w:rFonts w:ascii="Arial" w:eastAsia="Arial" w:hAnsi="Arial" w:cs="Arial"/>
          <w:b/>
          <w:color w:val="auto"/>
          <w:sz w:val="22"/>
          <w:szCs w:val="22"/>
          <w:lang w:eastAsia="es-CO"/>
        </w:rPr>
        <w:lastRenderedPageBreak/>
        <w:t xml:space="preserve"> </w:t>
      </w:r>
      <w:bookmarkStart w:id="235" w:name="_Toc525652065"/>
      <w:r w:rsidRPr="0017602D">
        <w:rPr>
          <w:rFonts w:ascii="Arial" w:eastAsia="Arial" w:hAnsi="Arial" w:cs="Arial"/>
          <w:b/>
          <w:color w:val="auto"/>
          <w:sz w:val="22"/>
          <w:szCs w:val="22"/>
          <w:lang w:eastAsia="es-CO"/>
        </w:rPr>
        <w:t>INGRESOS Y GASTOS DE LA ANM</w:t>
      </w:r>
      <w:bookmarkEnd w:id="234"/>
      <w:bookmarkEnd w:id="235"/>
    </w:p>
    <w:p w14:paraId="28D7A2F1" w14:textId="77777777" w:rsidR="00C02282" w:rsidRPr="0017602D" w:rsidRDefault="00C02282" w:rsidP="00C02282">
      <w:pPr>
        <w:spacing w:after="0" w:line="240" w:lineRule="auto"/>
        <w:rPr>
          <w:rFonts w:ascii="Arial" w:eastAsia="Calibri" w:hAnsi="Arial" w:cs="Arial"/>
        </w:rPr>
      </w:pPr>
    </w:p>
    <w:p w14:paraId="7392D223" w14:textId="77777777" w:rsidR="00C02282" w:rsidRPr="0017602D" w:rsidRDefault="00C02282" w:rsidP="00055F7C">
      <w:pPr>
        <w:pStyle w:val="Ttulo2"/>
        <w:numPr>
          <w:ilvl w:val="1"/>
          <w:numId w:val="13"/>
        </w:numPr>
        <w:rPr>
          <w:rFonts w:ascii="Arial" w:eastAsia="Calibri" w:hAnsi="Arial" w:cs="Arial"/>
          <w:color w:val="auto"/>
          <w:sz w:val="22"/>
          <w:szCs w:val="22"/>
        </w:rPr>
      </w:pPr>
      <w:bookmarkStart w:id="236" w:name="_Toc515525854"/>
      <w:bookmarkStart w:id="237" w:name="_Toc525652066"/>
      <w:r w:rsidRPr="0017602D">
        <w:rPr>
          <w:rFonts w:ascii="Arial" w:eastAsia="Calibri" w:hAnsi="Arial" w:cs="Arial"/>
          <w:color w:val="auto"/>
          <w:sz w:val="22"/>
          <w:szCs w:val="22"/>
        </w:rPr>
        <w:t>Ingresos</w:t>
      </w:r>
      <w:bookmarkEnd w:id="236"/>
      <w:r w:rsidRPr="0017602D">
        <w:rPr>
          <w:rFonts w:ascii="Arial" w:eastAsia="Calibri" w:hAnsi="Arial" w:cs="Arial"/>
          <w:color w:val="auto"/>
          <w:sz w:val="22"/>
          <w:szCs w:val="22"/>
        </w:rPr>
        <w:t xml:space="preserve"> ANM</w:t>
      </w:r>
      <w:bookmarkEnd w:id="237"/>
    </w:p>
    <w:p w14:paraId="750DEB4B" w14:textId="77777777" w:rsidR="00C02282" w:rsidRPr="0017602D" w:rsidRDefault="00C02282" w:rsidP="00C02282">
      <w:pPr>
        <w:pStyle w:val="Descripcin"/>
        <w:keepNext/>
        <w:jc w:val="center"/>
      </w:pPr>
      <w:bookmarkStart w:id="238" w:name="_Toc525652552"/>
      <w:r w:rsidRPr="0017602D">
        <w:t xml:space="preserve">Tabla </w:t>
      </w:r>
      <w:r w:rsidRPr="0017602D">
        <w:fldChar w:fldCharType="begin"/>
      </w:r>
      <w:r w:rsidRPr="0017602D">
        <w:instrText xml:space="preserve"> SEQ Tabla \* ARABIC </w:instrText>
      </w:r>
      <w:r w:rsidRPr="0017602D">
        <w:fldChar w:fldCharType="separate"/>
      </w:r>
      <w:r w:rsidR="008B4625">
        <w:rPr>
          <w:noProof/>
        </w:rPr>
        <w:t>107</w:t>
      </w:r>
      <w:r w:rsidRPr="0017602D">
        <w:fldChar w:fldCharType="end"/>
      </w:r>
      <w:r w:rsidRPr="0017602D">
        <w:t xml:space="preserve"> Ingresos ANM</w:t>
      </w:r>
      <w:bookmarkEnd w:id="238"/>
    </w:p>
    <w:p w14:paraId="32089495" w14:textId="77777777" w:rsidR="00C02282" w:rsidRPr="0017602D" w:rsidRDefault="00C02282" w:rsidP="00C02282">
      <w:pPr>
        <w:spacing w:after="0"/>
        <w:ind w:left="708"/>
        <w:jc w:val="center"/>
        <w:rPr>
          <w:rFonts w:ascii="Arial" w:hAnsi="Arial" w:cs="Arial"/>
        </w:rPr>
      </w:pPr>
      <w:r w:rsidRPr="0017602D">
        <w:rPr>
          <w:rFonts w:ascii="Arial" w:hAnsi="Arial" w:cs="Arial"/>
          <w:noProof/>
          <w:lang w:eastAsia="es-CO"/>
        </w:rPr>
        <w:drawing>
          <wp:inline distT="0" distB="0" distL="0" distR="0" wp14:anchorId="62BA98DC" wp14:editId="2B871407">
            <wp:extent cx="4343400" cy="24098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2409825"/>
                    </a:xfrm>
                    <a:prstGeom prst="rect">
                      <a:avLst/>
                    </a:prstGeom>
                    <a:noFill/>
                    <a:ln>
                      <a:noFill/>
                    </a:ln>
                  </pic:spPr>
                </pic:pic>
              </a:graphicData>
            </a:graphic>
          </wp:inline>
        </w:drawing>
      </w:r>
    </w:p>
    <w:p w14:paraId="0E38E708" w14:textId="77777777" w:rsidR="00C02282" w:rsidRPr="0017602D" w:rsidRDefault="00C02282" w:rsidP="00C02282">
      <w:pPr>
        <w:spacing w:after="0" w:line="240" w:lineRule="auto"/>
        <w:jc w:val="center"/>
        <w:rPr>
          <w:rFonts w:ascii="Arial" w:eastAsia="Calibri" w:hAnsi="Arial" w:cs="Arial"/>
          <w:sz w:val="16"/>
          <w:szCs w:val="16"/>
        </w:rPr>
      </w:pPr>
      <w:r w:rsidRPr="0017602D">
        <w:rPr>
          <w:rFonts w:ascii="Arial" w:hAnsi="Arial" w:cs="Arial"/>
          <w:sz w:val="16"/>
          <w:szCs w:val="16"/>
          <w:lang w:eastAsia="es-ES"/>
        </w:rPr>
        <w:t>Millones de pesos</w:t>
      </w:r>
    </w:p>
    <w:p w14:paraId="3803DBA6" w14:textId="77777777" w:rsidR="00C02282" w:rsidRDefault="00C02282" w:rsidP="00C02282">
      <w:pPr>
        <w:spacing w:after="0"/>
        <w:jc w:val="center"/>
        <w:rPr>
          <w:rFonts w:ascii="Arial" w:eastAsia="Calibri" w:hAnsi="Arial" w:cs="Arial"/>
          <w:sz w:val="16"/>
          <w:szCs w:val="16"/>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2990BB98" w14:textId="77777777" w:rsidR="0017602D" w:rsidRDefault="0017602D" w:rsidP="00C02282">
      <w:pPr>
        <w:spacing w:after="0"/>
        <w:jc w:val="center"/>
        <w:rPr>
          <w:rFonts w:ascii="Arial" w:eastAsia="Calibri" w:hAnsi="Arial" w:cs="Arial"/>
          <w:sz w:val="16"/>
          <w:szCs w:val="16"/>
        </w:rPr>
      </w:pPr>
    </w:p>
    <w:p w14:paraId="413C90C5" w14:textId="2263DB5C" w:rsidR="0017602D" w:rsidRDefault="0017602D" w:rsidP="0017602D">
      <w:pPr>
        <w:tabs>
          <w:tab w:val="left" w:pos="284"/>
        </w:tabs>
        <w:contextualSpacing/>
        <w:jc w:val="both"/>
        <w:rPr>
          <w:rFonts w:ascii="Arial" w:hAnsi="Arial" w:cs="Arial"/>
        </w:rPr>
      </w:pPr>
      <w:r w:rsidRPr="00C750E2">
        <w:rPr>
          <w:rFonts w:ascii="Arial" w:hAnsi="Arial" w:cs="Arial"/>
        </w:rPr>
        <w:t xml:space="preserve">Al cierre del </w:t>
      </w:r>
      <w:r>
        <w:rPr>
          <w:rFonts w:ascii="Arial" w:hAnsi="Arial" w:cs="Arial"/>
        </w:rPr>
        <w:t xml:space="preserve">segundo </w:t>
      </w:r>
      <w:r w:rsidRPr="00C750E2">
        <w:rPr>
          <w:rFonts w:ascii="Arial" w:hAnsi="Arial" w:cs="Arial"/>
        </w:rPr>
        <w:t>trimestre el recaudo de ingresos es del 80,7%, es decir que de los $75.845.65 millones se han recaudado la suma de $61.221,7 millones, así:</w:t>
      </w:r>
    </w:p>
    <w:p w14:paraId="75D76608" w14:textId="77777777" w:rsidR="0017602D" w:rsidRDefault="0017602D" w:rsidP="0017602D">
      <w:pPr>
        <w:tabs>
          <w:tab w:val="left" w:pos="284"/>
        </w:tabs>
        <w:contextualSpacing/>
        <w:jc w:val="both"/>
        <w:rPr>
          <w:rFonts w:ascii="Arial" w:hAnsi="Arial" w:cs="Arial"/>
        </w:rPr>
      </w:pPr>
    </w:p>
    <w:p w14:paraId="44FDF2B0" w14:textId="39955A9A" w:rsidR="0017602D" w:rsidRDefault="0017602D" w:rsidP="0017602D">
      <w:pPr>
        <w:pStyle w:val="Descripcin"/>
        <w:keepNext/>
        <w:jc w:val="center"/>
      </w:pPr>
      <w:bookmarkStart w:id="239" w:name="_Toc525652553"/>
      <w:r>
        <w:t xml:space="preserve">Tabla </w:t>
      </w:r>
      <w:r>
        <w:fldChar w:fldCharType="begin"/>
      </w:r>
      <w:r>
        <w:instrText xml:space="preserve"> SEQ Tabla \* ARABIC </w:instrText>
      </w:r>
      <w:r>
        <w:fldChar w:fldCharType="separate"/>
      </w:r>
      <w:r w:rsidR="008B4625">
        <w:rPr>
          <w:noProof/>
        </w:rPr>
        <w:t>108</w:t>
      </w:r>
      <w:r>
        <w:fldChar w:fldCharType="end"/>
      </w:r>
      <w:r>
        <w:t xml:space="preserve"> R</w:t>
      </w:r>
      <w:r w:rsidRPr="00834F81">
        <w:t xml:space="preserve">ecaudo de ingresos </w:t>
      </w:r>
      <w:r>
        <w:t>a 30 de junio de 2018</w:t>
      </w:r>
      <w:bookmarkEnd w:id="239"/>
    </w:p>
    <w:p w14:paraId="6372459A" w14:textId="31E51929" w:rsidR="0017602D" w:rsidRPr="00C750E2" w:rsidRDefault="0017602D" w:rsidP="0017602D">
      <w:pPr>
        <w:tabs>
          <w:tab w:val="left" w:pos="284"/>
        </w:tabs>
        <w:contextualSpacing/>
        <w:jc w:val="both"/>
        <w:rPr>
          <w:rFonts w:ascii="Arial" w:hAnsi="Arial" w:cs="Arial"/>
        </w:rPr>
      </w:pPr>
      <w:r w:rsidRPr="00C750E2">
        <w:rPr>
          <w:rFonts w:ascii="Arial" w:hAnsi="Arial" w:cs="Arial"/>
          <w:noProof/>
          <w:lang w:eastAsia="es-CO"/>
        </w:rPr>
        <w:drawing>
          <wp:inline distT="0" distB="0" distL="0" distR="0" wp14:anchorId="3D03092B" wp14:editId="7BB17027">
            <wp:extent cx="5971540" cy="227369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2273693"/>
                    </a:xfrm>
                    <a:prstGeom prst="rect">
                      <a:avLst/>
                    </a:prstGeom>
                    <a:noFill/>
                    <a:ln>
                      <a:noFill/>
                    </a:ln>
                  </pic:spPr>
                </pic:pic>
              </a:graphicData>
            </a:graphic>
          </wp:inline>
        </w:drawing>
      </w:r>
    </w:p>
    <w:p w14:paraId="0918A60F" w14:textId="77777777" w:rsidR="0017602D" w:rsidRPr="0017602D" w:rsidRDefault="0017602D" w:rsidP="0017602D">
      <w:pPr>
        <w:spacing w:after="0" w:line="240" w:lineRule="auto"/>
        <w:jc w:val="center"/>
        <w:rPr>
          <w:rFonts w:ascii="Arial" w:eastAsia="Calibri" w:hAnsi="Arial" w:cs="Arial"/>
          <w:sz w:val="16"/>
          <w:szCs w:val="16"/>
        </w:rPr>
      </w:pPr>
      <w:r w:rsidRPr="0017602D">
        <w:rPr>
          <w:rFonts w:ascii="Arial" w:hAnsi="Arial" w:cs="Arial"/>
          <w:sz w:val="16"/>
          <w:szCs w:val="16"/>
          <w:lang w:eastAsia="es-ES"/>
        </w:rPr>
        <w:t>Millones de pesos</w:t>
      </w:r>
    </w:p>
    <w:p w14:paraId="11A748B8" w14:textId="77777777" w:rsidR="0017602D" w:rsidRDefault="0017602D" w:rsidP="0017602D">
      <w:pPr>
        <w:spacing w:after="0"/>
        <w:jc w:val="center"/>
        <w:rPr>
          <w:rFonts w:ascii="Arial" w:eastAsia="Calibri" w:hAnsi="Arial" w:cs="Arial"/>
          <w:sz w:val="16"/>
          <w:szCs w:val="16"/>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24B26EED" w14:textId="77777777" w:rsidR="0017602D" w:rsidRDefault="0017602D" w:rsidP="0017602D">
      <w:pPr>
        <w:spacing w:after="0"/>
        <w:jc w:val="center"/>
        <w:rPr>
          <w:rFonts w:ascii="Arial" w:eastAsia="Calibri" w:hAnsi="Arial" w:cs="Arial"/>
          <w:sz w:val="16"/>
          <w:szCs w:val="16"/>
        </w:rPr>
      </w:pPr>
    </w:p>
    <w:p w14:paraId="090E87BD" w14:textId="41A36C20" w:rsidR="0017602D" w:rsidRPr="00C750E2" w:rsidRDefault="0017602D" w:rsidP="0017602D">
      <w:pPr>
        <w:tabs>
          <w:tab w:val="left" w:pos="284"/>
        </w:tabs>
        <w:contextualSpacing/>
        <w:jc w:val="both"/>
        <w:rPr>
          <w:rFonts w:ascii="Arial" w:hAnsi="Arial" w:cs="Arial"/>
        </w:rPr>
      </w:pPr>
      <w:r w:rsidRPr="00C750E2">
        <w:rPr>
          <w:rFonts w:ascii="Arial" w:hAnsi="Arial" w:cs="Arial"/>
        </w:rPr>
        <w:lastRenderedPageBreak/>
        <w:t xml:space="preserve">Por el concepto venta de bienes y servicios </w:t>
      </w:r>
      <w:r>
        <w:rPr>
          <w:rFonts w:ascii="Arial" w:hAnsi="Arial" w:cs="Arial"/>
        </w:rPr>
        <w:t>se ha recaudado $656.8 millones</w:t>
      </w:r>
      <w:r w:rsidRPr="00C750E2">
        <w:rPr>
          <w:rFonts w:ascii="Arial" w:hAnsi="Arial" w:cs="Arial"/>
        </w:rPr>
        <w:t xml:space="preserve"> que corresponde a la venta de PIN para la presentación de propuesta de contratos de concesión y l</w:t>
      </w:r>
      <w:r>
        <w:rPr>
          <w:rFonts w:ascii="Arial" w:hAnsi="Arial" w:cs="Arial"/>
        </w:rPr>
        <w:t xml:space="preserve">a venta de reportes gráficos y </w:t>
      </w:r>
      <w:r w:rsidRPr="00C750E2">
        <w:rPr>
          <w:rFonts w:ascii="Arial" w:hAnsi="Arial" w:cs="Arial"/>
        </w:rPr>
        <w:t>certificaciones de áreas libres generados de la base de datos del Catastro Minero.</w:t>
      </w:r>
    </w:p>
    <w:p w14:paraId="0D7A1722" w14:textId="77777777" w:rsidR="0017602D" w:rsidRPr="00C750E2" w:rsidRDefault="0017602D" w:rsidP="0017602D">
      <w:pPr>
        <w:tabs>
          <w:tab w:val="left" w:pos="284"/>
        </w:tabs>
        <w:contextualSpacing/>
        <w:jc w:val="both"/>
        <w:rPr>
          <w:rFonts w:ascii="Arial" w:hAnsi="Arial" w:cs="Arial"/>
        </w:rPr>
      </w:pPr>
      <w:r w:rsidRPr="00C750E2">
        <w:rPr>
          <w:rFonts w:ascii="Arial" w:hAnsi="Arial" w:cs="Arial"/>
        </w:rPr>
        <w:t>Por el concepto Tasas, multas y contribuciones se recaudó $17.699,3 millones, derivado de las contraprestaciones económicas especiales a favor de la autoridad minera de contratos de concesión en etapa de explotación.</w:t>
      </w:r>
    </w:p>
    <w:p w14:paraId="1FD6330B" w14:textId="77777777" w:rsidR="0017602D" w:rsidRPr="00C750E2" w:rsidRDefault="0017602D" w:rsidP="0017602D">
      <w:pPr>
        <w:tabs>
          <w:tab w:val="left" w:pos="284"/>
        </w:tabs>
        <w:contextualSpacing/>
        <w:jc w:val="both"/>
        <w:rPr>
          <w:rFonts w:ascii="Arial" w:hAnsi="Arial" w:cs="Arial"/>
        </w:rPr>
      </w:pPr>
      <w:r w:rsidRPr="00C750E2">
        <w:rPr>
          <w:rFonts w:ascii="Arial" w:hAnsi="Arial" w:cs="Arial"/>
        </w:rPr>
        <w:t>Por el concepto rendimientos financieros se recaudó $27.9 millones de los rendimientos que se generaron en las cuentas bancarias.</w:t>
      </w:r>
    </w:p>
    <w:p w14:paraId="7770EF9B" w14:textId="77777777" w:rsidR="0017602D" w:rsidRPr="00C750E2" w:rsidRDefault="0017602D" w:rsidP="0017602D">
      <w:pPr>
        <w:tabs>
          <w:tab w:val="left" w:pos="284"/>
        </w:tabs>
        <w:contextualSpacing/>
        <w:jc w:val="both"/>
        <w:rPr>
          <w:rFonts w:ascii="Arial" w:hAnsi="Arial" w:cs="Arial"/>
        </w:rPr>
      </w:pPr>
      <w:r w:rsidRPr="00C750E2">
        <w:rPr>
          <w:rFonts w:ascii="Arial" w:hAnsi="Arial" w:cs="Arial"/>
        </w:rPr>
        <w:t>Por el concepto Otros recursos del balance y recuperación cartera se recaudó $42.758,8 millones que corresponde a intereses moratorios de cartera y reintegro incapacidades vigencias anteriores y recuperación cartera de vigencia de años anteriores.</w:t>
      </w:r>
    </w:p>
    <w:p w14:paraId="45F5FD98" w14:textId="77777777" w:rsidR="0017602D" w:rsidRDefault="0017602D" w:rsidP="0017602D">
      <w:pPr>
        <w:spacing w:after="0"/>
        <w:jc w:val="center"/>
        <w:rPr>
          <w:rFonts w:ascii="Arial" w:eastAsia="Calibri" w:hAnsi="Arial" w:cs="Arial"/>
          <w:sz w:val="16"/>
          <w:szCs w:val="16"/>
        </w:rPr>
      </w:pPr>
    </w:p>
    <w:p w14:paraId="070E3C8F" w14:textId="09A8A3B6" w:rsidR="00C02282" w:rsidRDefault="00C02282" w:rsidP="00C02282">
      <w:pPr>
        <w:ind w:left="708"/>
        <w:jc w:val="center"/>
        <w:rPr>
          <w:rFonts w:ascii="Arial" w:hAnsi="Arial" w:cs="Arial"/>
          <w:highlight w:val="yellow"/>
        </w:rPr>
      </w:pPr>
    </w:p>
    <w:p w14:paraId="4835F7D7" w14:textId="77777777" w:rsidR="00C02282" w:rsidRPr="0017602D" w:rsidRDefault="00C02282" w:rsidP="00055F7C">
      <w:pPr>
        <w:pStyle w:val="Ttulo2"/>
        <w:numPr>
          <w:ilvl w:val="1"/>
          <w:numId w:val="13"/>
        </w:numPr>
        <w:rPr>
          <w:rFonts w:ascii="Arial" w:eastAsia="Calibri" w:hAnsi="Arial" w:cs="Arial"/>
          <w:color w:val="auto"/>
          <w:sz w:val="22"/>
          <w:szCs w:val="22"/>
        </w:rPr>
      </w:pPr>
      <w:bookmarkStart w:id="240" w:name="_Toc515525855"/>
      <w:bookmarkStart w:id="241" w:name="_Toc525652067"/>
      <w:r w:rsidRPr="0017602D">
        <w:rPr>
          <w:rFonts w:ascii="Arial" w:eastAsia="Calibri" w:hAnsi="Arial" w:cs="Arial"/>
          <w:color w:val="auto"/>
          <w:sz w:val="22"/>
          <w:szCs w:val="22"/>
        </w:rPr>
        <w:t>Gastos</w:t>
      </w:r>
      <w:bookmarkEnd w:id="240"/>
      <w:r w:rsidRPr="0017602D">
        <w:rPr>
          <w:rFonts w:ascii="Arial" w:eastAsia="Calibri" w:hAnsi="Arial" w:cs="Arial"/>
          <w:color w:val="auto"/>
          <w:sz w:val="22"/>
          <w:szCs w:val="22"/>
        </w:rPr>
        <w:t xml:space="preserve"> ANM</w:t>
      </w:r>
      <w:bookmarkEnd w:id="241"/>
    </w:p>
    <w:p w14:paraId="5971CE4B" w14:textId="77777777" w:rsidR="00C02282" w:rsidRPr="006A67B4" w:rsidRDefault="00C02282" w:rsidP="00C02282">
      <w:pPr>
        <w:rPr>
          <w:rFonts w:ascii="Arial" w:hAnsi="Arial" w:cs="Arial"/>
          <w:highlight w:val="yellow"/>
        </w:rPr>
      </w:pPr>
    </w:p>
    <w:p w14:paraId="7E03EF41" w14:textId="77777777" w:rsidR="00C02282" w:rsidRPr="0017602D" w:rsidRDefault="00C02282" w:rsidP="00C02282">
      <w:pPr>
        <w:pStyle w:val="Descripcin"/>
        <w:keepNext/>
        <w:jc w:val="center"/>
      </w:pPr>
      <w:bookmarkStart w:id="242" w:name="_Toc525652554"/>
      <w:r w:rsidRPr="0017602D">
        <w:t xml:space="preserve">Tabla </w:t>
      </w:r>
      <w:r w:rsidRPr="0017602D">
        <w:fldChar w:fldCharType="begin"/>
      </w:r>
      <w:r w:rsidRPr="0017602D">
        <w:instrText xml:space="preserve"> SEQ Tabla \* ARABIC </w:instrText>
      </w:r>
      <w:r w:rsidRPr="0017602D">
        <w:fldChar w:fldCharType="separate"/>
      </w:r>
      <w:r w:rsidR="008B4625">
        <w:rPr>
          <w:noProof/>
        </w:rPr>
        <w:t>109</w:t>
      </w:r>
      <w:r w:rsidRPr="0017602D">
        <w:fldChar w:fldCharType="end"/>
      </w:r>
      <w:r w:rsidRPr="0017602D">
        <w:t xml:space="preserve"> Gastos ANM</w:t>
      </w:r>
      <w:bookmarkEnd w:id="242"/>
    </w:p>
    <w:p w14:paraId="77FE92E9" w14:textId="304F0358" w:rsidR="00C02282" w:rsidRPr="0017602D" w:rsidRDefault="0017602D" w:rsidP="00C02282">
      <w:pPr>
        <w:spacing w:after="0"/>
        <w:jc w:val="center"/>
        <w:rPr>
          <w:rFonts w:ascii="Arial" w:hAnsi="Arial" w:cs="Arial"/>
        </w:rPr>
      </w:pPr>
      <w:r w:rsidRPr="00C750E2">
        <w:rPr>
          <w:rFonts w:ascii="Arial" w:hAnsi="Arial" w:cs="Arial"/>
          <w:noProof/>
          <w:lang w:eastAsia="es-CO"/>
        </w:rPr>
        <w:drawing>
          <wp:inline distT="0" distB="0" distL="0" distR="0" wp14:anchorId="62400AB4" wp14:editId="58AD3F3D">
            <wp:extent cx="5971540" cy="835571"/>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835571"/>
                    </a:xfrm>
                    <a:prstGeom prst="rect">
                      <a:avLst/>
                    </a:prstGeom>
                    <a:noFill/>
                    <a:ln>
                      <a:noFill/>
                    </a:ln>
                  </pic:spPr>
                </pic:pic>
              </a:graphicData>
            </a:graphic>
          </wp:inline>
        </w:drawing>
      </w:r>
      <w:r w:rsidR="00C02282" w:rsidRPr="0017602D">
        <w:rPr>
          <w:rFonts w:ascii="Arial" w:hAnsi="Arial" w:cs="Arial"/>
          <w:sz w:val="16"/>
          <w:szCs w:val="16"/>
          <w:lang w:eastAsia="es-ES"/>
        </w:rPr>
        <w:t>Millones de pesos</w:t>
      </w:r>
    </w:p>
    <w:p w14:paraId="7C56F00C" w14:textId="77777777" w:rsidR="00C02282" w:rsidRPr="0017602D" w:rsidRDefault="00C02282" w:rsidP="00C02282">
      <w:pPr>
        <w:spacing w:after="0"/>
        <w:jc w:val="center"/>
        <w:rPr>
          <w:rFonts w:ascii="Arial" w:hAnsi="Arial" w:cs="Arial"/>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2E4402DB" w14:textId="77777777" w:rsidR="00C02282" w:rsidRPr="006A67B4" w:rsidRDefault="00C02282" w:rsidP="00C02282">
      <w:pPr>
        <w:ind w:right="-93"/>
        <w:jc w:val="both"/>
        <w:rPr>
          <w:rFonts w:ascii="Arial" w:hAnsi="Arial" w:cs="Arial"/>
          <w:highlight w:val="yellow"/>
        </w:rPr>
      </w:pPr>
    </w:p>
    <w:p w14:paraId="39F84040" w14:textId="77777777" w:rsidR="0017602D" w:rsidRPr="00C750E2" w:rsidRDefault="0017602D" w:rsidP="0017602D">
      <w:pPr>
        <w:ind w:right="-93"/>
        <w:jc w:val="both"/>
        <w:rPr>
          <w:rFonts w:ascii="Arial" w:hAnsi="Arial" w:cs="Arial"/>
        </w:rPr>
      </w:pPr>
      <w:r w:rsidRPr="00C750E2">
        <w:rPr>
          <w:rFonts w:ascii="Arial" w:hAnsi="Arial" w:cs="Arial"/>
        </w:rPr>
        <w:t>Con corte a 30 de junio de 2018, la ejecución presupuestal total de la ANM, es de 29%, se ha comprometido el 42% del presupuesto asignado es decir $46.847 millones de una apropiación del $111.614 millones; se ha pagado el 29%.</w:t>
      </w:r>
    </w:p>
    <w:p w14:paraId="48D26556" w14:textId="1F357FDC" w:rsidR="00C02282" w:rsidRPr="0017602D" w:rsidRDefault="00C02282" w:rsidP="0017602D">
      <w:pPr>
        <w:pStyle w:val="Ttulo3"/>
        <w:numPr>
          <w:ilvl w:val="2"/>
          <w:numId w:val="13"/>
        </w:numPr>
        <w:rPr>
          <w:rFonts w:ascii="Arial" w:eastAsia="Calibri" w:hAnsi="Arial" w:cs="Arial"/>
          <w:color w:val="auto"/>
        </w:rPr>
      </w:pPr>
      <w:bookmarkStart w:id="243" w:name="_Toc515525856"/>
      <w:bookmarkStart w:id="244" w:name="_Toc525652068"/>
      <w:r w:rsidRPr="0017602D">
        <w:rPr>
          <w:rFonts w:ascii="Arial" w:eastAsia="Calibri" w:hAnsi="Arial" w:cs="Arial"/>
          <w:color w:val="auto"/>
        </w:rPr>
        <w:t>Ejecución presupuestal Gastos de Funcionamiento</w:t>
      </w:r>
      <w:bookmarkEnd w:id="243"/>
      <w:r w:rsidRPr="0017602D">
        <w:rPr>
          <w:rFonts w:ascii="Arial" w:eastAsia="Calibri" w:hAnsi="Arial" w:cs="Arial"/>
          <w:color w:val="auto"/>
        </w:rPr>
        <w:t xml:space="preserve"> ANM</w:t>
      </w:r>
      <w:bookmarkEnd w:id="244"/>
    </w:p>
    <w:p w14:paraId="4A868276" w14:textId="77777777" w:rsidR="00C02282" w:rsidRPr="0017602D" w:rsidRDefault="00C02282" w:rsidP="00C02282">
      <w:pPr>
        <w:pStyle w:val="Default"/>
        <w:jc w:val="both"/>
        <w:rPr>
          <w:color w:val="auto"/>
          <w:sz w:val="22"/>
          <w:szCs w:val="22"/>
        </w:rPr>
      </w:pPr>
    </w:p>
    <w:p w14:paraId="4FD1ABED" w14:textId="37577EE0" w:rsidR="0017602D" w:rsidRPr="0017602D" w:rsidRDefault="0017602D" w:rsidP="0017602D">
      <w:pPr>
        <w:pStyle w:val="Default"/>
        <w:jc w:val="both"/>
        <w:rPr>
          <w:color w:val="auto"/>
          <w:sz w:val="22"/>
          <w:szCs w:val="22"/>
        </w:rPr>
      </w:pPr>
      <w:r w:rsidRPr="0017602D">
        <w:rPr>
          <w:color w:val="auto"/>
          <w:sz w:val="22"/>
          <w:szCs w:val="22"/>
          <w:lang w:val="es-ES_tradnl"/>
        </w:rPr>
        <w:t>De una apropiación total de $98.100.2 millones para funcionamiento a junio de 2018 se</w:t>
      </w:r>
      <w:r w:rsidRPr="0017602D">
        <w:rPr>
          <w:color w:val="auto"/>
          <w:sz w:val="22"/>
          <w:szCs w:val="22"/>
        </w:rPr>
        <w:t xml:space="preserve"> comprometió un total de $37.442 millones, es decir el 38%, se ha ejecutado el 30% es decir $29.368 millones y se ha pagado el 30%.  </w:t>
      </w:r>
    </w:p>
    <w:p w14:paraId="4E21FE9F" w14:textId="77777777" w:rsidR="00C02282" w:rsidRPr="0017602D" w:rsidRDefault="00C02282" w:rsidP="00C02282">
      <w:pPr>
        <w:pStyle w:val="Default"/>
        <w:jc w:val="both"/>
        <w:rPr>
          <w:color w:val="auto"/>
          <w:sz w:val="22"/>
          <w:szCs w:val="22"/>
        </w:rPr>
      </w:pPr>
    </w:p>
    <w:p w14:paraId="0932012B" w14:textId="429F714A" w:rsidR="00C02282" w:rsidRPr="0017602D" w:rsidRDefault="00C02282" w:rsidP="00C02282">
      <w:pPr>
        <w:pStyle w:val="Descripcin"/>
        <w:keepNext/>
        <w:jc w:val="center"/>
      </w:pPr>
      <w:bookmarkStart w:id="245" w:name="_Toc525652555"/>
      <w:r w:rsidRPr="0017602D">
        <w:lastRenderedPageBreak/>
        <w:t xml:space="preserve">Tabla </w:t>
      </w:r>
      <w:r w:rsidRPr="0017602D">
        <w:fldChar w:fldCharType="begin"/>
      </w:r>
      <w:r w:rsidRPr="0017602D">
        <w:instrText xml:space="preserve"> SEQ Tabla \* ARABIC </w:instrText>
      </w:r>
      <w:r w:rsidRPr="0017602D">
        <w:fldChar w:fldCharType="separate"/>
      </w:r>
      <w:r w:rsidR="008B4625">
        <w:rPr>
          <w:noProof/>
        </w:rPr>
        <w:t>110</w:t>
      </w:r>
      <w:r w:rsidRPr="0017602D">
        <w:fldChar w:fldCharType="end"/>
      </w:r>
      <w:r w:rsidR="0017602D" w:rsidRPr="0017602D">
        <w:t xml:space="preserve"> </w:t>
      </w:r>
      <w:r w:rsidRPr="0017602D">
        <w:t>Ejecución acumulada presupuesto de funcionamiento a 3</w:t>
      </w:r>
      <w:r w:rsidR="0017602D" w:rsidRPr="0017602D">
        <w:t xml:space="preserve">0 de junio </w:t>
      </w:r>
      <w:r w:rsidRPr="0017602D">
        <w:t>de 2018 ANM</w:t>
      </w:r>
      <w:bookmarkEnd w:id="245"/>
    </w:p>
    <w:p w14:paraId="5E637535" w14:textId="42296FB7" w:rsidR="00C02282" w:rsidRPr="0017602D" w:rsidRDefault="0017602D" w:rsidP="0017602D">
      <w:pPr>
        <w:pStyle w:val="Default"/>
        <w:jc w:val="center"/>
        <w:rPr>
          <w:color w:val="auto"/>
          <w:sz w:val="22"/>
          <w:szCs w:val="22"/>
        </w:rPr>
      </w:pPr>
      <w:r w:rsidRPr="0017602D">
        <w:rPr>
          <w:noProof/>
          <w:lang w:eastAsia="es-CO"/>
        </w:rPr>
        <w:drawing>
          <wp:inline distT="0" distB="0" distL="0" distR="0" wp14:anchorId="4AAFA60F" wp14:editId="4F825A7A">
            <wp:extent cx="5265420" cy="23444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5420" cy="2344420"/>
                    </a:xfrm>
                    <a:prstGeom prst="rect">
                      <a:avLst/>
                    </a:prstGeom>
                    <a:noFill/>
                    <a:ln>
                      <a:noFill/>
                    </a:ln>
                  </pic:spPr>
                </pic:pic>
              </a:graphicData>
            </a:graphic>
          </wp:inline>
        </w:drawing>
      </w:r>
    </w:p>
    <w:p w14:paraId="28946100" w14:textId="77777777" w:rsidR="00C02282" w:rsidRPr="0017602D" w:rsidRDefault="00C02282" w:rsidP="00C02282">
      <w:pPr>
        <w:pStyle w:val="Default"/>
        <w:jc w:val="center"/>
        <w:rPr>
          <w:color w:val="auto"/>
          <w:sz w:val="18"/>
          <w:szCs w:val="18"/>
        </w:rPr>
      </w:pPr>
      <w:r w:rsidRPr="0017602D">
        <w:rPr>
          <w:color w:val="auto"/>
          <w:sz w:val="18"/>
          <w:szCs w:val="18"/>
        </w:rPr>
        <w:t>Fuente: ANM</w:t>
      </w:r>
    </w:p>
    <w:p w14:paraId="5F5A024F" w14:textId="77777777" w:rsidR="00C02282" w:rsidRPr="006A67B4" w:rsidRDefault="00C02282" w:rsidP="00C02282">
      <w:pPr>
        <w:pStyle w:val="Default"/>
        <w:jc w:val="both"/>
        <w:rPr>
          <w:color w:val="auto"/>
          <w:sz w:val="22"/>
          <w:szCs w:val="22"/>
          <w:highlight w:val="yellow"/>
        </w:rPr>
      </w:pPr>
    </w:p>
    <w:p w14:paraId="6C78E0A3" w14:textId="48DCD396" w:rsidR="00C02282" w:rsidRPr="0017602D" w:rsidRDefault="0017602D" w:rsidP="0017602D">
      <w:pPr>
        <w:jc w:val="both"/>
        <w:rPr>
          <w:rFonts w:ascii="Arial" w:hAnsi="Arial" w:cs="Arial"/>
          <w:sz w:val="20"/>
          <w:szCs w:val="20"/>
        </w:rPr>
      </w:pPr>
      <w:r w:rsidRPr="00C750E2">
        <w:rPr>
          <w:rFonts w:ascii="Arial" w:hAnsi="Arial" w:cs="Arial"/>
          <w:b/>
          <w:sz w:val="20"/>
          <w:szCs w:val="20"/>
        </w:rPr>
        <w:t>En Gastos de Personal</w:t>
      </w:r>
      <w:r w:rsidRPr="00C750E2">
        <w:rPr>
          <w:rFonts w:ascii="Arial" w:hAnsi="Arial" w:cs="Arial"/>
          <w:sz w:val="20"/>
          <w:szCs w:val="20"/>
        </w:rPr>
        <w:t>. Se presenta un incremento del 8.53% equivalente a$1.355.</w:t>
      </w:r>
      <w:r w:rsidR="009E5C47" w:rsidRPr="00C750E2">
        <w:rPr>
          <w:rFonts w:ascii="Arial" w:hAnsi="Arial" w:cs="Arial"/>
          <w:sz w:val="20"/>
          <w:szCs w:val="20"/>
        </w:rPr>
        <w:t>7 millones</w:t>
      </w:r>
      <w:r w:rsidRPr="00C750E2">
        <w:rPr>
          <w:rFonts w:ascii="Arial" w:hAnsi="Arial" w:cs="Arial"/>
          <w:sz w:val="20"/>
          <w:szCs w:val="20"/>
        </w:rPr>
        <w:t xml:space="preserve"> con respecto a la vigencia 2017 esto se da por el incremento en los sueldos que se realizó en el mes de febrero y fueron cancelados en el mes de marzo (retroactivos), el pago de vacaciones y bonificación por servicios prestados que se han causado hasta el mes de junio, así:</w:t>
      </w:r>
    </w:p>
    <w:p w14:paraId="744ECE3D" w14:textId="03FDCF16" w:rsidR="00C02282" w:rsidRPr="0017602D" w:rsidRDefault="00C02282" w:rsidP="00C02282">
      <w:pPr>
        <w:pStyle w:val="Descripcin"/>
        <w:keepNext/>
        <w:jc w:val="center"/>
      </w:pPr>
      <w:bookmarkStart w:id="246" w:name="_Toc525652556"/>
      <w:r w:rsidRPr="0017602D">
        <w:t xml:space="preserve">Tabla </w:t>
      </w:r>
      <w:r w:rsidRPr="0017602D">
        <w:fldChar w:fldCharType="begin"/>
      </w:r>
      <w:r w:rsidRPr="0017602D">
        <w:instrText xml:space="preserve"> SEQ Tabla \* ARABIC </w:instrText>
      </w:r>
      <w:r w:rsidRPr="0017602D">
        <w:fldChar w:fldCharType="separate"/>
      </w:r>
      <w:r w:rsidR="008B4625">
        <w:rPr>
          <w:noProof/>
        </w:rPr>
        <w:t>111</w:t>
      </w:r>
      <w:r w:rsidRPr="0017602D">
        <w:fldChar w:fldCharType="end"/>
      </w:r>
      <w:r w:rsidR="0017602D">
        <w:t xml:space="preserve"> </w:t>
      </w:r>
      <w:r w:rsidRPr="0017602D">
        <w:t>Gastos de Personal ANM</w:t>
      </w:r>
      <w:bookmarkEnd w:id="246"/>
    </w:p>
    <w:p w14:paraId="77E15C6C" w14:textId="77777777" w:rsidR="0017602D" w:rsidRPr="0017602D" w:rsidRDefault="0017602D" w:rsidP="0017602D">
      <w:pPr>
        <w:spacing w:after="0"/>
        <w:jc w:val="center"/>
        <w:rPr>
          <w:rFonts w:ascii="Arial" w:hAnsi="Arial" w:cs="Arial"/>
          <w:sz w:val="16"/>
          <w:szCs w:val="16"/>
          <w:lang w:eastAsia="es-ES"/>
        </w:rPr>
      </w:pPr>
      <w:r w:rsidRPr="0017602D">
        <w:rPr>
          <w:rFonts w:ascii="Arial" w:hAnsi="Arial" w:cs="Arial"/>
          <w:noProof/>
          <w:lang w:eastAsia="es-CO"/>
        </w:rPr>
        <w:drawing>
          <wp:inline distT="0" distB="0" distL="0" distR="0" wp14:anchorId="55AC7BFD" wp14:editId="06AF3D00">
            <wp:extent cx="6397530" cy="2209800"/>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6723" cy="2212975"/>
                    </a:xfrm>
                    <a:prstGeom prst="rect">
                      <a:avLst/>
                    </a:prstGeom>
                    <a:noFill/>
                    <a:ln>
                      <a:noFill/>
                    </a:ln>
                  </pic:spPr>
                </pic:pic>
              </a:graphicData>
            </a:graphic>
          </wp:inline>
        </w:drawing>
      </w:r>
      <w:r w:rsidR="00C02282" w:rsidRPr="0017602D">
        <w:rPr>
          <w:rFonts w:ascii="Arial" w:hAnsi="Arial" w:cs="Arial"/>
          <w:sz w:val="16"/>
          <w:szCs w:val="16"/>
          <w:lang w:eastAsia="es-ES"/>
        </w:rPr>
        <w:t>Millones de pesos</w:t>
      </w:r>
    </w:p>
    <w:p w14:paraId="23AE28CB" w14:textId="1BA39B97" w:rsidR="00C02282" w:rsidRPr="0017602D" w:rsidRDefault="00C02282" w:rsidP="0017602D">
      <w:pPr>
        <w:spacing w:after="0"/>
        <w:jc w:val="center"/>
        <w:rPr>
          <w:rFonts w:ascii="Arial" w:eastAsia="Calibri" w:hAnsi="Arial" w:cs="Arial"/>
          <w:sz w:val="16"/>
          <w:szCs w:val="16"/>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6B5FBB00" w14:textId="77777777" w:rsidR="00C02282" w:rsidRPr="006A67B4" w:rsidRDefault="00C02282" w:rsidP="00C02282">
      <w:pPr>
        <w:rPr>
          <w:rFonts w:ascii="Arial" w:hAnsi="Arial" w:cs="Arial"/>
          <w:highlight w:val="yellow"/>
        </w:rPr>
      </w:pPr>
    </w:p>
    <w:p w14:paraId="0CD7F967" w14:textId="68A0A6C0" w:rsidR="0017602D" w:rsidRPr="00C750E2" w:rsidRDefault="0017602D" w:rsidP="0017602D">
      <w:pPr>
        <w:jc w:val="both"/>
        <w:rPr>
          <w:rFonts w:ascii="Arial" w:hAnsi="Arial" w:cs="Arial"/>
          <w:sz w:val="20"/>
          <w:szCs w:val="20"/>
        </w:rPr>
      </w:pPr>
      <w:r w:rsidRPr="00C750E2">
        <w:rPr>
          <w:rFonts w:ascii="Arial" w:hAnsi="Arial" w:cs="Arial"/>
          <w:b/>
          <w:sz w:val="20"/>
          <w:szCs w:val="20"/>
        </w:rPr>
        <w:t>En Gastos Generales</w:t>
      </w:r>
      <w:r w:rsidRPr="00C750E2">
        <w:rPr>
          <w:rFonts w:ascii="Arial" w:hAnsi="Arial" w:cs="Arial"/>
          <w:sz w:val="20"/>
          <w:szCs w:val="20"/>
        </w:rPr>
        <w:t xml:space="preserve">. Se presenta un incremento del 14.49% equivalente a $680.2 millones con respecto a la vigencia 2017 esto se da por el incremento en las obligaciones que se realizaron en el mes de </w:t>
      </w:r>
      <w:r w:rsidR="00D41D3A" w:rsidRPr="00C750E2">
        <w:rPr>
          <w:rFonts w:ascii="Arial" w:hAnsi="Arial" w:cs="Arial"/>
          <w:sz w:val="20"/>
          <w:szCs w:val="20"/>
        </w:rPr>
        <w:t>junio de</w:t>
      </w:r>
      <w:r w:rsidRPr="00C750E2">
        <w:rPr>
          <w:rFonts w:ascii="Arial" w:hAnsi="Arial" w:cs="Arial"/>
          <w:sz w:val="20"/>
          <w:szCs w:val="20"/>
        </w:rPr>
        <w:t xml:space="preserve"> </w:t>
      </w:r>
      <w:r w:rsidRPr="00C750E2">
        <w:rPr>
          <w:rFonts w:ascii="Arial" w:hAnsi="Arial" w:cs="Arial"/>
          <w:sz w:val="20"/>
          <w:szCs w:val="20"/>
        </w:rPr>
        <w:lastRenderedPageBreak/>
        <w:t xml:space="preserve">2018 </w:t>
      </w:r>
      <w:r w:rsidR="00D41D3A" w:rsidRPr="00C750E2">
        <w:rPr>
          <w:rFonts w:ascii="Arial" w:hAnsi="Arial" w:cs="Arial"/>
          <w:sz w:val="20"/>
          <w:szCs w:val="20"/>
        </w:rPr>
        <w:t>de los</w:t>
      </w:r>
      <w:r w:rsidRPr="00C750E2">
        <w:rPr>
          <w:rFonts w:ascii="Arial" w:hAnsi="Arial" w:cs="Arial"/>
          <w:sz w:val="20"/>
          <w:szCs w:val="20"/>
        </w:rPr>
        <w:t xml:space="preserve"> rubros arrendamientos, impuesto de vehículo, servicio de correo, mantenimiento de software, seguros y viáticos entre otros</w:t>
      </w:r>
      <w:r>
        <w:rPr>
          <w:rFonts w:ascii="Arial" w:hAnsi="Arial" w:cs="Arial"/>
          <w:sz w:val="20"/>
          <w:szCs w:val="20"/>
        </w:rPr>
        <w:t xml:space="preserve">. </w:t>
      </w:r>
    </w:p>
    <w:p w14:paraId="5B8820C3" w14:textId="77777777" w:rsidR="00C02282" w:rsidRPr="0017602D" w:rsidRDefault="00C02282" w:rsidP="0017602D">
      <w:pPr>
        <w:pStyle w:val="Descripcin"/>
        <w:keepNext/>
        <w:spacing w:after="0"/>
        <w:jc w:val="center"/>
      </w:pPr>
      <w:bookmarkStart w:id="247" w:name="_Toc525652557"/>
      <w:r w:rsidRPr="0017602D">
        <w:t xml:space="preserve">Tabla </w:t>
      </w:r>
      <w:r w:rsidRPr="0017602D">
        <w:fldChar w:fldCharType="begin"/>
      </w:r>
      <w:r w:rsidRPr="0017602D">
        <w:instrText xml:space="preserve"> SEQ Tabla \* ARABIC </w:instrText>
      </w:r>
      <w:r w:rsidRPr="0017602D">
        <w:fldChar w:fldCharType="separate"/>
      </w:r>
      <w:r w:rsidR="008B4625">
        <w:rPr>
          <w:noProof/>
        </w:rPr>
        <w:t>112</w:t>
      </w:r>
      <w:r w:rsidRPr="0017602D">
        <w:fldChar w:fldCharType="end"/>
      </w:r>
      <w:r w:rsidRPr="0017602D">
        <w:t xml:space="preserve"> Gastos Generales ANM</w:t>
      </w:r>
      <w:bookmarkEnd w:id="247"/>
    </w:p>
    <w:p w14:paraId="105DBD3F" w14:textId="550C55F2" w:rsidR="00C02282" w:rsidRPr="0017602D" w:rsidRDefault="0017602D" w:rsidP="00C02282">
      <w:pPr>
        <w:spacing w:after="0"/>
        <w:rPr>
          <w:rFonts w:ascii="Arial" w:hAnsi="Arial" w:cs="Arial"/>
        </w:rPr>
      </w:pPr>
      <w:r w:rsidRPr="0017602D">
        <w:rPr>
          <w:rFonts w:ascii="Arial" w:hAnsi="Arial" w:cs="Arial"/>
          <w:noProof/>
          <w:lang w:eastAsia="es-CO"/>
        </w:rPr>
        <w:drawing>
          <wp:inline distT="0" distB="0" distL="0" distR="0" wp14:anchorId="554A1707" wp14:editId="3B6D84D2">
            <wp:extent cx="5971540" cy="4181475"/>
            <wp:effectExtent l="0" t="0" r="0" b="9525"/>
            <wp:docPr id="2060"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4181475"/>
                    </a:xfrm>
                    <a:prstGeom prst="rect">
                      <a:avLst/>
                    </a:prstGeom>
                    <a:noFill/>
                    <a:ln>
                      <a:noFill/>
                    </a:ln>
                  </pic:spPr>
                </pic:pic>
              </a:graphicData>
            </a:graphic>
          </wp:inline>
        </w:drawing>
      </w:r>
    </w:p>
    <w:p w14:paraId="7731DCA5" w14:textId="77777777" w:rsidR="00C02282" w:rsidRPr="0017602D" w:rsidRDefault="00C02282" w:rsidP="00C02282">
      <w:pPr>
        <w:spacing w:after="0" w:line="240" w:lineRule="auto"/>
        <w:jc w:val="center"/>
        <w:rPr>
          <w:rFonts w:ascii="Arial" w:eastAsia="Calibri" w:hAnsi="Arial" w:cs="Arial"/>
          <w:sz w:val="16"/>
          <w:szCs w:val="16"/>
        </w:rPr>
      </w:pPr>
      <w:r w:rsidRPr="0017602D">
        <w:rPr>
          <w:rFonts w:ascii="Arial" w:hAnsi="Arial" w:cs="Arial"/>
          <w:sz w:val="16"/>
          <w:szCs w:val="16"/>
          <w:lang w:eastAsia="es-ES"/>
        </w:rPr>
        <w:t>Millones de pesos</w:t>
      </w:r>
    </w:p>
    <w:p w14:paraId="4EEAA013" w14:textId="77777777" w:rsidR="00C02282" w:rsidRPr="0017602D" w:rsidRDefault="00C02282" w:rsidP="00C02282">
      <w:pPr>
        <w:spacing w:after="0"/>
        <w:jc w:val="center"/>
        <w:rPr>
          <w:rFonts w:ascii="Arial" w:eastAsia="Calibri" w:hAnsi="Arial" w:cs="Arial"/>
          <w:sz w:val="16"/>
          <w:szCs w:val="16"/>
        </w:rPr>
      </w:pPr>
      <w:r w:rsidRPr="0017602D">
        <w:rPr>
          <w:rFonts w:ascii="Calibri" w:hAnsi="Calibri" w:cs="Calibri"/>
          <w:sz w:val="18"/>
          <w:szCs w:val="18"/>
        </w:rPr>
        <w:t xml:space="preserve">Fuente: </w:t>
      </w:r>
      <w:r w:rsidRPr="0017602D">
        <w:rPr>
          <w:rFonts w:ascii="Arial" w:eastAsia="Calibri" w:hAnsi="Arial" w:cs="Arial"/>
          <w:sz w:val="16"/>
          <w:szCs w:val="16"/>
        </w:rPr>
        <w:t>S</w:t>
      </w:r>
      <w:r w:rsidRPr="0017602D">
        <w:rPr>
          <w:rFonts w:ascii="Arial" w:eastAsia="Calibri" w:hAnsi="Arial" w:cs="Arial"/>
          <w:sz w:val="16"/>
          <w:szCs w:val="16"/>
        </w:rPr>
        <w:tab/>
        <w:t>IIF Nación</w:t>
      </w:r>
      <w:r w:rsidRPr="0017602D">
        <w:rPr>
          <w:rFonts w:ascii="Calibri" w:hAnsi="Calibri" w:cs="Calibri"/>
          <w:sz w:val="18"/>
          <w:szCs w:val="18"/>
        </w:rPr>
        <w:t xml:space="preserve"> </w:t>
      </w:r>
      <w:r w:rsidRPr="0017602D">
        <w:rPr>
          <w:rFonts w:ascii="Arial" w:eastAsia="Calibri" w:hAnsi="Arial" w:cs="Arial"/>
          <w:sz w:val="16"/>
          <w:szCs w:val="16"/>
        </w:rPr>
        <w:t>ANM</w:t>
      </w:r>
    </w:p>
    <w:p w14:paraId="738D375E" w14:textId="77777777" w:rsidR="0017602D" w:rsidRPr="006A67B4" w:rsidRDefault="0017602D" w:rsidP="00C02282">
      <w:pPr>
        <w:spacing w:after="0"/>
        <w:jc w:val="center"/>
        <w:rPr>
          <w:rFonts w:ascii="Arial" w:eastAsia="Calibri" w:hAnsi="Arial" w:cs="Arial"/>
          <w:sz w:val="16"/>
          <w:szCs w:val="16"/>
          <w:highlight w:val="yellow"/>
        </w:rPr>
      </w:pPr>
    </w:p>
    <w:p w14:paraId="20DDA312" w14:textId="6F76A57A" w:rsidR="009D7293" w:rsidRPr="00C750E2" w:rsidRDefault="009D7293" w:rsidP="009D7293">
      <w:pPr>
        <w:jc w:val="both"/>
        <w:rPr>
          <w:rFonts w:ascii="Arial" w:hAnsi="Arial" w:cs="Arial"/>
          <w:sz w:val="20"/>
          <w:szCs w:val="20"/>
        </w:rPr>
      </w:pPr>
      <w:r w:rsidRPr="00C750E2">
        <w:rPr>
          <w:rFonts w:ascii="Arial" w:hAnsi="Arial" w:cs="Arial"/>
          <w:sz w:val="20"/>
          <w:szCs w:val="20"/>
        </w:rPr>
        <w:t xml:space="preserve">En </w:t>
      </w:r>
      <w:r w:rsidRPr="00C750E2">
        <w:rPr>
          <w:rFonts w:ascii="Arial" w:hAnsi="Arial" w:cs="Arial"/>
          <w:b/>
          <w:sz w:val="20"/>
          <w:szCs w:val="20"/>
        </w:rPr>
        <w:t xml:space="preserve">Transferencias. </w:t>
      </w:r>
      <w:r w:rsidRPr="00C750E2">
        <w:rPr>
          <w:rFonts w:ascii="Arial" w:hAnsi="Arial" w:cs="Arial"/>
          <w:sz w:val="20"/>
          <w:szCs w:val="20"/>
        </w:rPr>
        <w:t xml:space="preserve">Se presenta un incremento del 117.05% equivalente </w:t>
      </w:r>
      <w:r w:rsidR="004D0449" w:rsidRPr="00C750E2">
        <w:rPr>
          <w:rFonts w:ascii="Arial" w:hAnsi="Arial" w:cs="Arial"/>
          <w:sz w:val="20"/>
          <w:szCs w:val="20"/>
        </w:rPr>
        <w:t>a $</w:t>
      </w:r>
      <w:r w:rsidRPr="00C750E2">
        <w:rPr>
          <w:rFonts w:ascii="Arial" w:hAnsi="Arial" w:cs="Arial"/>
          <w:sz w:val="20"/>
          <w:szCs w:val="20"/>
        </w:rPr>
        <w:t xml:space="preserve">3.634.7 millones esto se debe a la transferencia que se </w:t>
      </w:r>
      <w:r w:rsidR="004D0449" w:rsidRPr="00C750E2">
        <w:rPr>
          <w:rFonts w:ascii="Arial" w:hAnsi="Arial" w:cs="Arial"/>
          <w:sz w:val="20"/>
          <w:szCs w:val="20"/>
        </w:rPr>
        <w:t>realizaron a</w:t>
      </w:r>
      <w:r w:rsidRPr="00C750E2">
        <w:rPr>
          <w:rFonts w:ascii="Arial" w:hAnsi="Arial" w:cs="Arial"/>
          <w:sz w:val="20"/>
          <w:szCs w:val="20"/>
        </w:rPr>
        <w:t xml:space="preserve"> la UPME y el pago de sentencia que se realizaron en los meses de </w:t>
      </w:r>
      <w:r w:rsidR="004D0449" w:rsidRPr="00C750E2">
        <w:rPr>
          <w:rFonts w:ascii="Arial" w:hAnsi="Arial" w:cs="Arial"/>
          <w:sz w:val="20"/>
          <w:szCs w:val="20"/>
        </w:rPr>
        <w:t>abril, mayo</w:t>
      </w:r>
      <w:r w:rsidRPr="00C750E2">
        <w:rPr>
          <w:rFonts w:ascii="Arial" w:hAnsi="Arial" w:cs="Arial"/>
          <w:sz w:val="20"/>
          <w:szCs w:val="20"/>
        </w:rPr>
        <w:t xml:space="preserve"> </w:t>
      </w:r>
      <w:r w:rsidR="004D0449">
        <w:rPr>
          <w:rFonts w:ascii="Arial" w:hAnsi="Arial" w:cs="Arial"/>
          <w:sz w:val="20"/>
          <w:szCs w:val="20"/>
        </w:rPr>
        <w:t>y</w:t>
      </w:r>
      <w:r w:rsidRPr="00C750E2">
        <w:rPr>
          <w:rFonts w:ascii="Arial" w:hAnsi="Arial" w:cs="Arial"/>
          <w:sz w:val="20"/>
          <w:szCs w:val="20"/>
        </w:rPr>
        <w:t xml:space="preserve"> junio</w:t>
      </w:r>
    </w:p>
    <w:p w14:paraId="71C5BD15" w14:textId="6C237A5A" w:rsidR="009D7293" w:rsidRDefault="009D7293" w:rsidP="009D7293">
      <w:pPr>
        <w:jc w:val="both"/>
        <w:rPr>
          <w:rFonts w:ascii="Arial" w:hAnsi="Arial" w:cs="Arial"/>
          <w:sz w:val="20"/>
          <w:szCs w:val="20"/>
        </w:rPr>
      </w:pPr>
      <w:r w:rsidRPr="00C750E2">
        <w:rPr>
          <w:rFonts w:ascii="Arial" w:hAnsi="Arial" w:cs="Arial"/>
          <w:sz w:val="20"/>
          <w:szCs w:val="20"/>
        </w:rPr>
        <w:t xml:space="preserve">En cumplimiento con lo establecido en el parágrafo del artículo 18 del Decreto 1258 de </w:t>
      </w:r>
      <w:r w:rsidR="004D0449" w:rsidRPr="00C750E2">
        <w:rPr>
          <w:rFonts w:ascii="Arial" w:hAnsi="Arial" w:cs="Arial"/>
          <w:sz w:val="20"/>
          <w:szCs w:val="20"/>
        </w:rPr>
        <w:t>2013 el</w:t>
      </w:r>
      <w:r w:rsidRPr="00C750E2">
        <w:rPr>
          <w:rFonts w:ascii="Arial" w:hAnsi="Arial" w:cs="Arial"/>
          <w:sz w:val="20"/>
          <w:szCs w:val="20"/>
        </w:rPr>
        <w:t xml:space="preserve"> presupuesto de la Unidad Administrativa Especial de Planeación Minero Energética (UPME), será sufragado “… por Ecopetrol S. A., o quien haga sus veces; por la Agencia Nacional de Minería (ANM) o quien haga sus veces; por Financiera de Desarrollo Nacional S. A., o quien haga sus veces; y, por Interconexión Eléctrica S. A., ISA S. A., o quien haga sus veces, por partes iguales. Estas entidades quedan facultadas para apropiar de sus respectivos presupuestos las partidas correspondientes”.</w:t>
      </w:r>
    </w:p>
    <w:p w14:paraId="51AB2F3F" w14:textId="24B6C58A" w:rsidR="009E5C47" w:rsidRDefault="009E5C47" w:rsidP="009D7293">
      <w:pPr>
        <w:jc w:val="both"/>
        <w:rPr>
          <w:rFonts w:ascii="Arial" w:hAnsi="Arial" w:cs="Arial"/>
          <w:sz w:val="20"/>
          <w:szCs w:val="20"/>
        </w:rPr>
      </w:pPr>
    </w:p>
    <w:p w14:paraId="12C4FBAE" w14:textId="13AC9C3A" w:rsidR="009E5C47" w:rsidRDefault="009E5C47" w:rsidP="009D7293">
      <w:pPr>
        <w:jc w:val="both"/>
        <w:rPr>
          <w:rFonts w:ascii="Arial" w:hAnsi="Arial" w:cs="Arial"/>
          <w:sz w:val="20"/>
          <w:szCs w:val="20"/>
        </w:rPr>
      </w:pPr>
    </w:p>
    <w:p w14:paraId="5FF207B4" w14:textId="77777777" w:rsidR="009E5C47" w:rsidRPr="00C750E2" w:rsidRDefault="009E5C47" w:rsidP="009D7293">
      <w:pPr>
        <w:jc w:val="both"/>
        <w:rPr>
          <w:rFonts w:ascii="Arial" w:hAnsi="Arial" w:cs="Arial"/>
          <w:sz w:val="20"/>
          <w:szCs w:val="20"/>
        </w:rPr>
      </w:pPr>
    </w:p>
    <w:p w14:paraId="49F3BCC6" w14:textId="2688D804" w:rsidR="009D7293" w:rsidRPr="00C750E2" w:rsidRDefault="009D7293" w:rsidP="009D7293">
      <w:pPr>
        <w:jc w:val="both"/>
        <w:rPr>
          <w:rFonts w:ascii="Arial" w:hAnsi="Arial" w:cs="Arial"/>
          <w:sz w:val="20"/>
          <w:szCs w:val="20"/>
        </w:rPr>
      </w:pPr>
      <w:r w:rsidRPr="00C750E2">
        <w:rPr>
          <w:rFonts w:ascii="Arial" w:hAnsi="Arial" w:cs="Arial"/>
          <w:sz w:val="20"/>
          <w:szCs w:val="20"/>
        </w:rPr>
        <w:t xml:space="preserve">A </w:t>
      </w:r>
      <w:r w:rsidR="004D0449" w:rsidRPr="00C750E2">
        <w:rPr>
          <w:rFonts w:ascii="Arial" w:hAnsi="Arial" w:cs="Arial"/>
          <w:sz w:val="20"/>
          <w:szCs w:val="20"/>
        </w:rPr>
        <w:t>continuación,</w:t>
      </w:r>
      <w:r w:rsidRPr="00C750E2">
        <w:rPr>
          <w:rFonts w:ascii="Arial" w:hAnsi="Arial" w:cs="Arial"/>
          <w:sz w:val="20"/>
          <w:szCs w:val="20"/>
        </w:rPr>
        <w:t xml:space="preserve"> se informa las obligaciones generad</w:t>
      </w:r>
      <w:r>
        <w:rPr>
          <w:rFonts w:ascii="Arial" w:hAnsi="Arial" w:cs="Arial"/>
          <w:sz w:val="20"/>
          <w:szCs w:val="20"/>
        </w:rPr>
        <w:t xml:space="preserve">as a la UPME con corte a junio </w:t>
      </w:r>
      <w:r w:rsidRPr="00C750E2">
        <w:rPr>
          <w:rFonts w:ascii="Arial" w:hAnsi="Arial" w:cs="Arial"/>
          <w:sz w:val="20"/>
          <w:szCs w:val="20"/>
        </w:rPr>
        <w:t xml:space="preserve">de 2017 </w:t>
      </w:r>
      <w:r w:rsidR="00D41D3A" w:rsidRPr="00C750E2">
        <w:rPr>
          <w:rFonts w:ascii="Arial" w:hAnsi="Arial" w:cs="Arial"/>
          <w:sz w:val="20"/>
          <w:szCs w:val="20"/>
        </w:rPr>
        <w:t>y 2018</w:t>
      </w:r>
      <w:r w:rsidRPr="00C750E2">
        <w:rPr>
          <w:rFonts w:ascii="Arial" w:hAnsi="Arial" w:cs="Arial"/>
          <w:sz w:val="20"/>
          <w:szCs w:val="20"/>
        </w:rPr>
        <w:t>:</w:t>
      </w:r>
    </w:p>
    <w:p w14:paraId="2CFAB105" w14:textId="0B9E5E67" w:rsidR="00C02282" w:rsidRPr="009D7293" w:rsidRDefault="00C02282" w:rsidP="009D7293">
      <w:pPr>
        <w:pStyle w:val="Descripcin"/>
        <w:keepNext/>
        <w:spacing w:after="0"/>
        <w:jc w:val="center"/>
      </w:pPr>
      <w:bookmarkStart w:id="248" w:name="_Toc525652558"/>
      <w:r w:rsidRPr="009D7293">
        <w:t xml:space="preserve">Tabla </w:t>
      </w:r>
      <w:r w:rsidRPr="009D7293">
        <w:fldChar w:fldCharType="begin"/>
      </w:r>
      <w:r w:rsidRPr="009D7293">
        <w:instrText xml:space="preserve"> SEQ Tabla \* ARABIC </w:instrText>
      </w:r>
      <w:r w:rsidRPr="009D7293">
        <w:fldChar w:fldCharType="separate"/>
      </w:r>
      <w:r w:rsidR="008B4625">
        <w:rPr>
          <w:noProof/>
        </w:rPr>
        <w:t>113</w:t>
      </w:r>
      <w:r w:rsidRPr="009D7293">
        <w:fldChar w:fldCharType="end"/>
      </w:r>
      <w:r w:rsidRPr="009D7293">
        <w:t xml:space="preserve"> Las obligaciones generadas a la UPME con corte a  </w:t>
      </w:r>
      <w:r w:rsidR="009D7293" w:rsidRPr="009D7293">
        <w:t xml:space="preserve">junio de </w:t>
      </w:r>
      <w:r w:rsidRPr="009D7293">
        <w:t xml:space="preserve"> 2017 y  2018 ANM</w:t>
      </w:r>
      <w:bookmarkEnd w:id="248"/>
    </w:p>
    <w:p w14:paraId="2865C5D7" w14:textId="2B5BCAB3" w:rsidR="00C02282" w:rsidRPr="009D7293" w:rsidRDefault="009D7293" w:rsidP="009D7293">
      <w:pPr>
        <w:spacing w:after="0"/>
        <w:jc w:val="both"/>
        <w:rPr>
          <w:rFonts w:ascii="Arial" w:hAnsi="Arial" w:cs="Arial"/>
          <w:sz w:val="20"/>
          <w:szCs w:val="20"/>
        </w:rPr>
      </w:pPr>
      <w:r w:rsidRPr="009D7293">
        <w:rPr>
          <w:rFonts w:ascii="Arial" w:hAnsi="Arial" w:cs="Arial"/>
          <w:noProof/>
          <w:lang w:eastAsia="es-CO"/>
        </w:rPr>
        <w:drawing>
          <wp:inline distT="0" distB="0" distL="0" distR="0" wp14:anchorId="7B7BF6D0" wp14:editId="13F02063">
            <wp:extent cx="5971540" cy="125145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1251452"/>
                    </a:xfrm>
                    <a:prstGeom prst="rect">
                      <a:avLst/>
                    </a:prstGeom>
                    <a:noFill/>
                    <a:ln>
                      <a:noFill/>
                    </a:ln>
                  </pic:spPr>
                </pic:pic>
              </a:graphicData>
            </a:graphic>
          </wp:inline>
        </w:drawing>
      </w:r>
    </w:p>
    <w:p w14:paraId="63638559" w14:textId="77777777" w:rsidR="00C02282" w:rsidRPr="009D7293" w:rsidRDefault="00C02282" w:rsidP="009D7293">
      <w:pPr>
        <w:spacing w:after="0" w:line="240" w:lineRule="auto"/>
        <w:jc w:val="center"/>
        <w:rPr>
          <w:rFonts w:ascii="Arial" w:eastAsia="Calibri" w:hAnsi="Arial" w:cs="Arial"/>
          <w:sz w:val="16"/>
          <w:szCs w:val="16"/>
        </w:rPr>
      </w:pPr>
      <w:r w:rsidRPr="009D7293">
        <w:rPr>
          <w:rFonts w:ascii="Arial" w:hAnsi="Arial" w:cs="Arial"/>
          <w:sz w:val="16"/>
          <w:szCs w:val="16"/>
          <w:lang w:eastAsia="es-ES"/>
        </w:rPr>
        <w:t>Millones de pesos</w:t>
      </w:r>
    </w:p>
    <w:p w14:paraId="7BFF82AB" w14:textId="77777777" w:rsidR="00C02282" w:rsidRPr="009D7293" w:rsidRDefault="00C02282" w:rsidP="009D7293">
      <w:pPr>
        <w:spacing w:after="0"/>
        <w:jc w:val="center"/>
        <w:rPr>
          <w:rFonts w:ascii="Arial" w:eastAsia="Calibri" w:hAnsi="Arial" w:cs="Arial"/>
          <w:sz w:val="16"/>
          <w:szCs w:val="16"/>
        </w:rPr>
      </w:pPr>
      <w:r w:rsidRPr="009D7293">
        <w:rPr>
          <w:rFonts w:ascii="Calibri" w:hAnsi="Calibri" w:cs="Calibri"/>
          <w:sz w:val="18"/>
          <w:szCs w:val="18"/>
        </w:rPr>
        <w:t xml:space="preserve">Fuente: </w:t>
      </w:r>
      <w:r w:rsidRPr="009D7293">
        <w:rPr>
          <w:rFonts w:ascii="Arial" w:eastAsia="Calibri" w:hAnsi="Arial" w:cs="Arial"/>
          <w:sz w:val="16"/>
          <w:szCs w:val="16"/>
        </w:rPr>
        <w:t>S</w:t>
      </w:r>
      <w:r w:rsidRPr="009D7293">
        <w:rPr>
          <w:rFonts w:ascii="Arial" w:eastAsia="Calibri" w:hAnsi="Arial" w:cs="Arial"/>
          <w:sz w:val="16"/>
          <w:szCs w:val="16"/>
        </w:rPr>
        <w:tab/>
        <w:t>IIF Nación</w:t>
      </w:r>
      <w:r w:rsidRPr="009D7293">
        <w:rPr>
          <w:rFonts w:ascii="Calibri" w:hAnsi="Calibri" w:cs="Calibri"/>
          <w:sz w:val="18"/>
          <w:szCs w:val="18"/>
        </w:rPr>
        <w:t xml:space="preserve"> </w:t>
      </w:r>
      <w:r w:rsidRPr="009D7293">
        <w:rPr>
          <w:rFonts w:ascii="Arial" w:eastAsia="Calibri" w:hAnsi="Arial" w:cs="Arial"/>
          <w:sz w:val="16"/>
          <w:szCs w:val="16"/>
        </w:rPr>
        <w:t>ANM</w:t>
      </w:r>
    </w:p>
    <w:p w14:paraId="1444C413" w14:textId="77777777" w:rsidR="00C02282" w:rsidRPr="006A67B4" w:rsidRDefault="00C02282" w:rsidP="00C02282">
      <w:pPr>
        <w:jc w:val="both"/>
        <w:rPr>
          <w:rFonts w:ascii="Arial" w:hAnsi="Arial" w:cs="Arial"/>
          <w:sz w:val="20"/>
          <w:szCs w:val="20"/>
          <w:highlight w:val="yellow"/>
        </w:rPr>
      </w:pPr>
    </w:p>
    <w:p w14:paraId="2D22BA3C" w14:textId="77777777" w:rsidR="00C02282" w:rsidRPr="009D7293" w:rsidRDefault="00C02282" w:rsidP="00055F7C">
      <w:pPr>
        <w:pStyle w:val="Ttulo3"/>
        <w:numPr>
          <w:ilvl w:val="2"/>
          <w:numId w:val="13"/>
        </w:numPr>
        <w:rPr>
          <w:rFonts w:ascii="Arial" w:eastAsia="Calibri" w:hAnsi="Arial" w:cs="Arial"/>
          <w:color w:val="auto"/>
        </w:rPr>
      </w:pPr>
      <w:bookmarkStart w:id="249" w:name="_Toc515525857"/>
      <w:bookmarkStart w:id="250" w:name="_Toc525652069"/>
      <w:r w:rsidRPr="009D7293">
        <w:rPr>
          <w:rFonts w:ascii="Arial" w:eastAsia="Calibri" w:hAnsi="Arial" w:cs="Arial"/>
          <w:color w:val="auto"/>
        </w:rPr>
        <w:t>Ejecución presupuestal Gastos de Inversión</w:t>
      </w:r>
      <w:bookmarkEnd w:id="249"/>
      <w:r w:rsidRPr="009D7293">
        <w:rPr>
          <w:rFonts w:ascii="Arial" w:eastAsia="Calibri" w:hAnsi="Arial" w:cs="Arial"/>
          <w:color w:val="auto"/>
        </w:rPr>
        <w:t xml:space="preserve"> ANM</w:t>
      </w:r>
      <w:bookmarkEnd w:id="250"/>
    </w:p>
    <w:p w14:paraId="284F6584" w14:textId="77777777" w:rsidR="00C02282" w:rsidRPr="009D7293" w:rsidRDefault="00C02282" w:rsidP="00C02282">
      <w:pPr>
        <w:spacing w:after="0" w:line="240" w:lineRule="auto"/>
        <w:ind w:left="360"/>
        <w:rPr>
          <w:rFonts w:ascii="Arial" w:eastAsia="Calibri" w:hAnsi="Arial" w:cs="Arial"/>
        </w:rPr>
      </w:pPr>
    </w:p>
    <w:p w14:paraId="7C7FF760" w14:textId="2BDF8836" w:rsidR="009D7293" w:rsidRPr="009D7293" w:rsidRDefault="009D7293" w:rsidP="009D7293">
      <w:pPr>
        <w:jc w:val="both"/>
        <w:rPr>
          <w:rFonts w:ascii="Arial" w:eastAsia="Calibri" w:hAnsi="Arial" w:cs="Arial"/>
          <w:sz w:val="20"/>
          <w:szCs w:val="20"/>
        </w:rPr>
      </w:pPr>
      <w:r w:rsidRPr="009D7293">
        <w:rPr>
          <w:rFonts w:ascii="Arial" w:eastAsia="Calibri" w:hAnsi="Arial" w:cs="Arial"/>
          <w:sz w:val="20"/>
          <w:szCs w:val="20"/>
        </w:rPr>
        <w:t xml:space="preserve">Se presenta una disminución del 3.18% con respecto a </w:t>
      </w:r>
      <w:r w:rsidR="009E5C47" w:rsidRPr="009D7293">
        <w:rPr>
          <w:rFonts w:ascii="Arial" w:eastAsia="Calibri" w:hAnsi="Arial" w:cs="Arial"/>
          <w:sz w:val="20"/>
          <w:szCs w:val="20"/>
        </w:rPr>
        <w:t>mayo de</w:t>
      </w:r>
      <w:r w:rsidRPr="009D7293">
        <w:rPr>
          <w:rFonts w:ascii="Arial" w:eastAsia="Calibri" w:hAnsi="Arial" w:cs="Arial"/>
          <w:sz w:val="20"/>
          <w:szCs w:val="20"/>
        </w:rPr>
        <w:t xml:space="preserve"> la vigencia </w:t>
      </w:r>
      <w:r w:rsidR="009E5C47" w:rsidRPr="009D7293">
        <w:rPr>
          <w:rFonts w:ascii="Arial" w:eastAsia="Calibri" w:hAnsi="Arial" w:cs="Arial"/>
          <w:sz w:val="20"/>
          <w:szCs w:val="20"/>
        </w:rPr>
        <w:t>2017,</w:t>
      </w:r>
      <w:r w:rsidRPr="009D7293">
        <w:rPr>
          <w:rFonts w:ascii="Arial" w:eastAsia="Calibri" w:hAnsi="Arial" w:cs="Arial"/>
          <w:sz w:val="20"/>
          <w:szCs w:val="20"/>
        </w:rPr>
        <w:t xml:space="preserve"> esto se debe </w:t>
      </w:r>
      <w:r w:rsidR="009E5C47" w:rsidRPr="009D7293">
        <w:rPr>
          <w:rFonts w:ascii="Arial" w:eastAsia="Calibri" w:hAnsi="Arial" w:cs="Arial"/>
          <w:sz w:val="20"/>
          <w:szCs w:val="20"/>
        </w:rPr>
        <w:t>al decrecimiento</w:t>
      </w:r>
      <w:r w:rsidRPr="009D7293">
        <w:rPr>
          <w:rFonts w:ascii="Arial" w:eastAsia="Calibri" w:hAnsi="Arial" w:cs="Arial"/>
          <w:sz w:val="20"/>
          <w:szCs w:val="20"/>
        </w:rPr>
        <w:t xml:space="preserve"> de la ejecución se dio en </w:t>
      </w:r>
      <w:r w:rsidR="009E5C47" w:rsidRPr="009D7293">
        <w:rPr>
          <w:rFonts w:ascii="Arial" w:eastAsia="Calibri" w:hAnsi="Arial" w:cs="Arial"/>
          <w:sz w:val="20"/>
          <w:szCs w:val="20"/>
        </w:rPr>
        <w:t>la ejecución</w:t>
      </w:r>
      <w:r w:rsidRPr="009D7293">
        <w:rPr>
          <w:rFonts w:ascii="Arial" w:eastAsia="Calibri" w:hAnsi="Arial" w:cs="Arial"/>
          <w:sz w:val="20"/>
          <w:szCs w:val="20"/>
        </w:rPr>
        <w:t xml:space="preserve"> del proyecto de ADMINISTRACIÓN DE LA CONTRATACIÓN Y TITULACIÓN </w:t>
      </w:r>
      <w:r w:rsidR="009E5C47" w:rsidRPr="009D7293">
        <w:rPr>
          <w:rFonts w:ascii="Arial" w:eastAsia="Calibri" w:hAnsi="Arial" w:cs="Arial"/>
          <w:sz w:val="20"/>
          <w:szCs w:val="20"/>
        </w:rPr>
        <w:t>MINERA EN</w:t>
      </w:r>
      <w:r w:rsidRPr="009D7293">
        <w:rPr>
          <w:rFonts w:ascii="Arial" w:eastAsia="Calibri" w:hAnsi="Arial" w:cs="Arial"/>
          <w:sz w:val="20"/>
          <w:szCs w:val="20"/>
        </w:rPr>
        <w:t xml:space="preserve"> EL TERRITORIO NACIONAL ANM y FORTALECIMIENTO DE LA PEQUEÑA Y MEDIANA MINERÍA A NIVEL NACIONAL</w:t>
      </w:r>
    </w:p>
    <w:p w14:paraId="6BA814DE" w14:textId="77777777" w:rsidR="00C02282" w:rsidRPr="009D7293" w:rsidRDefault="00C02282" w:rsidP="00C02282">
      <w:pPr>
        <w:pStyle w:val="Descripcin"/>
        <w:keepNext/>
        <w:jc w:val="center"/>
      </w:pPr>
      <w:bookmarkStart w:id="251" w:name="_Toc525652559"/>
      <w:r w:rsidRPr="009D7293">
        <w:t xml:space="preserve">Tabla </w:t>
      </w:r>
      <w:r w:rsidRPr="009D7293">
        <w:fldChar w:fldCharType="begin"/>
      </w:r>
      <w:r w:rsidRPr="009D7293">
        <w:instrText xml:space="preserve"> SEQ Tabla \* ARABIC </w:instrText>
      </w:r>
      <w:r w:rsidRPr="009D7293">
        <w:fldChar w:fldCharType="separate"/>
      </w:r>
      <w:r w:rsidR="008B4625">
        <w:rPr>
          <w:noProof/>
        </w:rPr>
        <w:t>114</w:t>
      </w:r>
      <w:r w:rsidRPr="009D7293">
        <w:fldChar w:fldCharType="end"/>
      </w:r>
      <w:r w:rsidRPr="009D7293">
        <w:t xml:space="preserve"> Ejecución presupuestal Gastos de Inversión ANM</w:t>
      </w:r>
      <w:bookmarkEnd w:id="251"/>
    </w:p>
    <w:p w14:paraId="2A3568A2" w14:textId="4CD3FAE7" w:rsidR="00C02282" w:rsidRPr="009D7293" w:rsidRDefault="009D7293" w:rsidP="009D7293">
      <w:pPr>
        <w:spacing w:after="0" w:line="240" w:lineRule="auto"/>
        <w:ind w:left="360"/>
        <w:jc w:val="center"/>
        <w:rPr>
          <w:rFonts w:ascii="Arial" w:eastAsia="Calibri" w:hAnsi="Arial" w:cs="Arial"/>
        </w:rPr>
      </w:pPr>
      <w:r w:rsidRPr="009D7293">
        <w:rPr>
          <w:rFonts w:ascii="Arial" w:hAnsi="Arial" w:cs="Arial"/>
          <w:noProof/>
          <w:lang w:eastAsia="es-CO"/>
        </w:rPr>
        <w:drawing>
          <wp:inline distT="0" distB="0" distL="0" distR="0" wp14:anchorId="7B4D5BD0" wp14:editId="514098C9">
            <wp:extent cx="6485045" cy="1943100"/>
            <wp:effectExtent l="0" t="0" r="0" b="0"/>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84355" cy="1942893"/>
                    </a:xfrm>
                    <a:prstGeom prst="rect">
                      <a:avLst/>
                    </a:prstGeom>
                    <a:noFill/>
                    <a:ln>
                      <a:noFill/>
                    </a:ln>
                  </pic:spPr>
                </pic:pic>
              </a:graphicData>
            </a:graphic>
          </wp:inline>
        </w:drawing>
      </w:r>
    </w:p>
    <w:p w14:paraId="5DFBDC8D" w14:textId="77777777" w:rsidR="00C02282" w:rsidRPr="009D7293" w:rsidRDefault="00C02282" w:rsidP="00C02282">
      <w:pPr>
        <w:tabs>
          <w:tab w:val="left" w:pos="3900"/>
          <w:tab w:val="center" w:pos="4702"/>
        </w:tabs>
        <w:spacing w:after="0" w:line="240" w:lineRule="auto"/>
        <w:rPr>
          <w:rFonts w:ascii="Arial" w:eastAsia="Calibri" w:hAnsi="Arial" w:cs="Arial"/>
          <w:sz w:val="16"/>
          <w:szCs w:val="16"/>
        </w:rPr>
      </w:pPr>
      <w:r w:rsidRPr="009D7293">
        <w:rPr>
          <w:rFonts w:ascii="Arial" w:hAnsi="Arial" w:cs="Arial"/>
          <w:sz w:val="16"/>
          <w:szCs w:val="16"/>
          <w:lang w:eastAsia="es-ES"/>
        </w:rPr>
        <w:tab/>
      </w:r>
      <w:r w:rsidRPr="009D7293">
        <w:rPr>
          <w:rFonts w:ascii="Arial" w:hAnsi="Arial" w:cs="Arial"/>
          <w:sz w:val="16"/>
          <w:szCs w:val="16"/>
          <w:lang w:eastAsia="es-ES"/>
        </w:rPr>
        <w:tab/>
        <w:t>Millones de pesos</w:t>
      </w:r>
    </w:p>
    <w:p w14:paraId="2248F4ED" w14:textId="77777777" w:rsidR="00C02282" w:rsidRPr="009D7293" w:rsidRDefault="00C02282" w:rsidP="00C02282">
      <w:pPr>
        <w:jc w:val="center"/>
        <w:rPr>
          <w:rFonts w:ascii="Arial" w:eastAsia="Calibri" w:hAnsi="Arial" w:cs="Arial"/>
          <w:sz w:val="16"/>
          <w:szCs w:val="16"/>
        </w:rPr>
      </w:pPr>
      <w:r w:rsidRPr="009D7293">
        <w:rPr>
          <w:rFonts w:ascii="Calibri" w:hAnsi="Calibri" w:cs="Calibri"/>
          <w:sz w:val="18"/>
          <w:szCs w:val="18"/>
        </w:rPr>
        <w:t xml:space="preserve">Fuente: </w:t>
      </w:r>
      <w:r w:rsidRPr="009D7293">
        <w:rPr>
          <w:rFonts w:ascii="Arial" w:eastAsia="Calibri" w:hAnsi="Arial" w:cs="Arial"/>
          <w:sz w:val="16"/>
          <w:szCs w:val="16"/>
        </w:rPr>
        <w:t>S</w:t>
      </w:r>
      <w:r w:rsidRPr="009D7293">
        <w:rPr>
          <w:rFonts w:ascii="Arial" w:eastAsia="Calibri" w:hAnsi="Arial" w:cs="Arial"/>
          <w:sz w:val="16"/>
          <w:szCs w:val="16"/>
        </w:rPr>
        <w:tab/>
        <w:t>IIF Nación</w:t>
      </w:r>
      <w:r w:rsidRPr="009D7293">
        <w:rPr>
          <w:rFonts w:ascii="Calibri" w:hAnsi="Calibri" w:cs="Calibri"/>
          <w:sz w:val="18"/>
          <w:szCs w:val="18"/>
        </w:rPr>
        <w:t xml:space="preserve"> </w:t>
      </w:r>
      <w:r w:rsidRPr="009D7293">
        <w:rPr>
          <w:rFonts w:ascii="Arial" w:eastAsia="Calibri" w:hAnsi="Arial" w:cs="Arial"/>
          <w:sz w:val="16"/>
          <w:szCs w:val="16"/>
        </w:rPr>
        <w:t>ANM</w:t>
      </w:r>
    </w:p>
    <w:p w14:paraId="63E8EA8F" w14:textId="77777777" w:rsidR="00C02282" w:rsidRDefault="00C02282" w:rsidP="00C02282">
      <w:pPr>
        <w:spacing w:after="0" w:line="240" w:lineRule="auto"/>
        <w:ind w:left="360"/>
        <w:rPr>
          <w:rFonts w:ascii="Arial" w:eastAsia="Calibri" w:hAnsi="Arial" w:cs="Arial"/>
          <w:highlight w:val="yellow"/>
        </w:rPr>
      </w:pPr>
    </w:p>
    <w:p w14:paraId="38513FCC" w14:textId="77777777" w:rsidR="009D7293" w:rsidRPr="00C750E2" w:rsidRDefault="009D7293" w:rsidP="009D7293">
      <w:pPr>
        <w:jc w:val="both"/>
        <w:rPr>
          <w:rFonts w:ascii="Arial" w:hAnsi="Arial" w:cs="Arial"/>
          <w:sz w:val="20"/>
          <w:szCs w:val="20"/>
        </w:rPr>
      </w:pPr>
      <w:r w:rsidRPr="00C750E2">
        <w:rPr>
          <w:rFonts w:ascii="Arial" w:hAnsi="Arial" w:cs="Arial"/>
          <w:b/>
          <w:bCs/>
          <w:sz w:val="20"/>
          <w:szCs w:val="20"/>
        </w:rPr>
        <w:t>C-2104-1900-1 ADMINISTRACIÓN DE LA CONTRATACIÓN Y TITULACIÓN MINERA EN EL TERRITORIO NACIONAL ANM</w:t>
      </w:r>
    </w:p>
    <w:p w14:paraId="200936AD" w14:textId="77777777" w:rsidR="009D7293" w:rsidRPr="00C750E2" w:rsidRDefault="009D7293" w:rsidP="009D7293">
      <w:pPr>
        <w:autoSpaceDE w:val="0"/>
        <w:autoSpaceDN w:val="0"/>
        <w:adjustRightInd w:val="0"/>
        <w:jc w:val="both"/>
        <w:rPr>
          <w:rFonts w:ascii="Arial" w:hAnsi="Arial" w:cs="Arial"/>
          <w:sz w:val="20"/>
          <w:szCs w:val="20"/>
        </w:rPr>
      </w:pPr>
      <w:r w:rsidRPr="00C750E2">
        <w:rPr>
          <w:rFonts w:ascii="Arial" w:hAnsi="Arial" w:cs="Arial"/>
          <w:sz w:val="20"/>
          <w:szCs w:val="20"/>
        </w:rPr>
        <w:t xml:space="preserve">El propósito de la administración de la contratación y titulación es cumplir en los términos establecidos de la legislación minera el otorgamiento de contratos de concesión y autorizaciones temporales; para ello debe realizar los trámites necesarios para atender las solicitudes de contratos de concesión presentadas a la </w:t>
      </w:r>
      <w:r w:rsidRPr="00C750E2">
        <w:rPr>
          <w:rFonts w:ascii="Arial" w:hAnsi="Arial" w:cs="Arial"/>
          <w:sz w:val="20"/>
          <w:szCs w:val="20"/>
        </w:rPr>
        <w:lastRenderedPageBreak/>
        <w:t>Agencia Nacional de Minería a través de Propuestas de Contratos de Concesión, solicitudes de legalización y Formalización Minera, Autorizaciones Temporales y solicitudes de Modificación de Títulos, aplicando la Legislación Minera actual y cumpliendo con el debido proceso gubernativo. Así mismo continuar atendiendo el cúmulo de solicitudes que presenta la Agencia en el año 2015, puesto que el proyecto se comenzó a ejecutar a partir de septiembre de dicho año.</w:t>
      </w:r>
    </w:p>
    <w:p w14:paraId="1C833BDA" w14:textId="77777777" w:rsidR="009D7293" w:rsidRPr="00C750E2" w:rsidRDefault="009D7293" w:rsidP="009D7293">
      <w:pPr>
        <w:jc w:val="both"/>
        <w:rPr>
          <w:rFonts w:ascii="Arial" w:eastAsia="Times New Roman" w:hAnsi="Arial" w:cs="Arial"/>
          <w:sz w:val="20"/>
          <w:szCs w:val="20"/>
          <w:lang w:eastAsia="es-CO"/>
        </w:rPr>
      </w:pPr>
      <w:r w:rsidRPr="00C750E2">
        <w:rPr>
          <w:rFonts w:ascii="Arial" w:eastAsia="Times New Roman" w:hAnsi="Arial" w:cs="Arial"/>
          <w:sz w:val="20"/>
          <w:szCs w:val="20"/>
          <w:lang w:eastAsia="es-CO"/>
        </w:rPr>
        <w:t>Para la vigencia fiscal 2018, fueron asignados para este proyecto $5.235.5 millones de los cuales con corte a abril se ha comprometido el 85% es decir de una apropiación de $5.235.5 millones se han comprometido $4.260.6 millones.</w:t>
      </w:r>
    </w:p>
    <w:p w14:paraId="719BEC17" w14:textId="77777777" w:rsidR="009D7293" w:rsidRPr="00C750E2" w:rsidRDefault="009D7293" w:rsidP="009D7293">
      <w:pPr>
        <w:jc w:val="both"/>
        <w:rPr>
          <w:rFonts w:ascii="Arial" w:eastAsia="Times New Roman" w:hAnsi="Arial" w:cs="Arial"/>
          <w:b/>
          <w:sz w:val="20"/>
          <w:szCs w:val="20"/>
          <w:lang w:eastAsia="es-CO"/>
        </w:rPr>
      </w:pPr>
      <w:r w:rsidRPr="00C750E2">
        <w:rPr>
          <w:rFonts w:ascii="Arial" w:eastAsia="Times New Roman" w:hAnsi="Arial" w:cs="Arial"/>
          <w:b/>
          <w:sz w:val="20"/>
          <w:szCs w:val="20"/>
          <w:lang w:eastAsia="es-CO"/>
        </w:rPr>
        <w:t>PROYECTO C-2104-1900-2 MEJORAMIENTO DE LAS CONDICIONES DE SEGURIDAD Y SALVAMENTO EN LA ACTIVIDAD MINERA EN EL TERRITORIO NACIONAL</w:t>
      </w:r>
    </w:p>
    <w:p w14:paraId="05BD1CA7" w14:textId="77777777" w:rsidR="009D7293" w:rsidRPr="00C750E2" w:rsidRDefault="009D7293" w:rsidP="009D7293">
      <w:pPr>
        <w:autoSpaceDE w:val="0"/>
        <w:autoSpaceDN w:val="0"/>
        <w:adjustRightInd w:val="0"/>
        <w:jc w:val="both"/>
        <w:rPr>
          <w:rFonts w:ascii="Arial" w:hAnsi="Arial" w:cs="Arial"/>
          <w:sz w:val="20"/>
          <w:szCs w:val="20"/>
        </w:rPr>
      </w:pPr>
      <w:r w:rsidRPr="00C750E2">
        <w:rPr>
          <w:rFonts w:ascii="Arial" w:hAnsi="Arial" w:cs="Arial"/>
          <w:sz w:val="20"/>
          <w:szCs w:val="20"/>
        </w:rPr>
        <w:t>El propósito de este proyecto es Contribuir al mejoramiento de las condiciones de seguridad y salvamento en la actividad minera en el territorio nacional. El aumento de las explotaciones mineras en los últimos años aunados a las políticas de estado, así como el interés de los inversionistas en la actividad, representa un aumento significativo en las unidades productivas dedicadas a la extracción de minerales, en la producción minera y de los trabajadores expuestos a los riesgos propios de esta actividad. Esta situación hace necesaria la implementación de mecanismos que contribuyan a la prevención de accidentes y a la atención inmediata de las mismas, con personal suficientemente capacitado; así mismo se trabajará en el mejoramiento de las condiciones de seguridad de las explotaciones mineras y la prevención de accidentes.</w:t>
      </w:r>
    </w:p>
    <w:p w14:paraId="16B1D249" w14:textId="77777777" w:rsidR="009D7293" w:rsidRPr="00C750E2" w:rsidRDefault="009D7293" w:rsidP="009D7293">
      <w:pPr>
        <w:jc w:val="both"/>
        <w:rPr>
          <w:rFonts w:ascii="Arial" w:hAnsi="Arial" w:cs="Arial"/>
          <w:b/>
          <w:bCs/>
          <w:sz w:val="20"/>
          <w:szCs w:val="20"/>
        </w:rPr>
      </w:pPr>
      <w:r w:rsidRPr="00C750E2">
        <w:rPr>
          <w:rFonts w:ascii="Arial" w:hAnsi="Arial" w:cs="Arial"/>
          <w:b/>
          <w:bCs/>
          <w:sz w:val="20"/>
          <w:szCs w:val="20"/>
        </w:rPr>
        <w:t>C-2104-1900-3 FORTALECIMIENTO DE LA PEQUEÑA Y MEDIANA MINERÍA A NIVEL NACIONAL</w:t>
      </w:r>
    </w:p>
    <w:p w14:paraId="3EDCFBEF" w14:textId="77777777" w:rsidR="009D7293" w:rsidRPr="00C750E2" w:rsidRDefault="009D7293" w:rsidP="009D7293">
      <w:pPr>
        <w:autoSpaceDE w:val="0"/>
        <w:autoSpaceDN w:val="0"/>
        <w:adjustRightInd w:val="0"/>
        <w:jc w:val="both"/>
        <w:rPr>
          <w:rFonts w:ascii="Arial" w:eastAsia="MS Mincho" w:hAnsi="Arial" w:cs="Arial"/>
          <w:sz w:val="20"/>
          <w:szCs w:val="20"/>
          <w:lang w:val="es-ES_tradnl"/>
        </w:rPr>
      </w:pPr>
      <w:r w:rsidRPr="00C750E2">
        <w:rPr>
          <w:rFonts w:ascii="Arial" w:hAnsi="Arial" w:cs="Arial"/>
          <w:sz w:val="20"/>
          <w:szCs w:val="20"/>
        </w:rPr>
        <w:t xml:space="preserve">Este proyecto tiene como objeto Generar condiciones que contribuyan al mejoramiento de la productividad y competitividad de la actividad de pequeños y medianos mineros y comunidades étnicas desde el punto de vista técnico, empresarial y ambiental. El proyecto se orienta a mejorar las condiciones en la cuales los pequeños y medianos mineros y comunidades étnicas realizan su actividad desde el punto de vista técnico, ambiental y empresarial, mediante la realización de estudios relacionados con el reconocimiento de derechos de comunidades mineras tradicionales y de comunidades étnicas, que incluyen los estudios para la delimitación de áreas de reserva especial y zonas mineras indígenas, de comunidades negras y mixtas, así como estudios geológico-mineros para la definición de la viabilidad de proyectos mineros especiales y demás estudios relacionados y de competencia de la Agencia Nacional de Minería . De igual manera el proyecto busca generar y aplicar estrategias de asistencia técnica integrales para proyectos de pequeña y </w:t>
      </w:r>
      <w:r w:rsidRPr="00C750E2">
        <w:rPr>
          <w:rFonts w:ascii="Arial" w:eastAsia="MS Mincho" w:hAnsi="Arial" w:cs="Arial"/>
          <w:sz w:val="20"/>
          <w:szCs w:val="20"/>
          <w:lang w:val="es-ES_tradnl"/>
        </w:rPr>
        <w:t>mediana minería.</w:t>
      </w:r>
    </w:p>
    <w:p w14:paraId="17B78A45" w14:textId="77777777" w:rsidR="009E5C47" w:rsidRPr="00C750E2" w:rsidRDefault="009E5C47" w:rsidP="009D7293">
      <w:pPr>
        <w:jc w:val="both"/>
        <w:rPr>
          <w:rFonts w:ascii="Arial" w:eastAsia="Times New Roman" w:hAnsi="Arial" w:cs="Arial"/>
          <w:sz w:val="20"/>
          <w:szCs w:val="20"/>
          <w:lang w:eastAsia="es-CO"/>
        </w:rPr>
      </w:pPr>
    </w:p>
    <w:p w14:paraId="786A9CC0" w14:textId="77777777" w:rsidR="009D7293" w:rsidRPr="00C750E2" w:rsidRDefault="009D7293" w:rsidP="009D7293">
      <w:pPr>
        <w:jc w:val="both"/>
        <w:rPr>
          <w:rFonts w:ascii="Arial" w:hAnsi="Arial" w:cs="Arial"/>
          <w:b/>
          <w:bCs/>
          <w:sz w:val="20"/>
          <w:szCs w:val="20"/>
        </w:rPr>
      </w:pPr>
      <w:r w:rsidRPr="00C750E2">
        <w:rPr>
          <w:rFonts w:ascii="Arial" w:hAnsi="Arial" w:cs="Arial"/>
          <w:b/>
          <w:bCs/>
          <w:sz w:val="20"/>
          <w:szCs w:val="20"/>
        </w:rPr>
        <w:t>C-2104-1900-4 FORTALECIMIENTO DEL SECTOR MINERO A NIVEL NACIONAL E INTERNACIONAL</w:t>
      </w:r>
    </w:p>
    <w:p w14:paraId="2D0C5F4C" w14:textId="77777777" w:rsidR="009D7293" w:rsidRPr="00C750E2" w:rsidRDefault="009D7293" w:rsidP="009D7293">
      <w:pPr>
        <w:autoSpaceDE w:val="0"/>
        <w:autoSpaceDN w:val="0"/>
        <w:adjustRightInd w:val="0"/>
        <w:jc w:val="both"/>
        <w:rPr>
          <w:rFonts w:ascii="Arial" w:hAnsi="Arial" w:cs="Arial"/>
          <w:bCs/>
          <w:sz w:val="20"/>
          <w:szCs w:val="20"/>
          <w:lang w:val="es" w:eastAsia="es-ES"/>
        </w:rPr>
      </w:pPr>
      <w:r w:rsidRPr="00C750E2">
        <w:rPr>
          <w:rFonts w:ascii="Arial" w:hAnsi="Arial" w:cs="Arial"/>
          <w:bCs/>
          <w:sz w:val="20"/>
          <w:szCs w:val="20"/>
          <w:lang w:val="es" w:eastAsia="es-ES"/>
        </w:rPr>
        <w:t>Este proyecto busca promover el sector minero nacional e internacionalmente, con la realización de estudios enfocados a los procesos de selección objetiva para la adjudicación de Áreas Estratégicas Mineras (AEM) y a las estrategias de promoción de estos procesos; para ello diseñará, implementará y divulgará estrategias de promoción para la exploración y explotación de minerales en Colombia con el objetivo de incrementar la actividad minera en el país.</w:t>
      </w:r>
    </w:p>
    <w:p w14:paraId="6B4A2AAD" w14:textId="77777777" w:rsidR="009D7293" w:rsidRPr="00C750E2" w:rsidRDefault="009D7293" w:rsidP="009D7293">
      <w:pPr>
        <w:jc w:val="both"/>
        <w:rPr>
          <w:rFonts w:ascii="Arial" w:hAnsi="Arial" w:cs="Arial"/>
          <w:b/>
          <w:bCs/>
          <w:sz w:val="20"/>
          <w:szCs w:val="20"/>
        </w:rPr>
      </w:pPr>
      <w:r w:rsidRPr="00C750E2">
        <w:rPr>
          <w:rFonts w:ascii="Arial" w:hAnsi="Arial" w:cs="Arial"/>
          <w:b/>
          <w:bCs/>
          <w:sz w:val="20"/>
          <w:szCs w:val="20"/>
        </w:rPr>
        <w:lastRenderedPageBreak/>
        <w:t>C-2105-1900-1 IMPLEMENTACION DE ACCIONES QUE CONTRIBUYAN A LA CONSTRUCCION DE UNA MINERIA AMBIENTAL RESPONSABLE Y SOCIAL SOSTENIBLE DEL SECTOR MINERO NACIONAL</w:t>
      </w:r>
    </w:p>
    <w:p w14:paraId="175412E1" w14:textId="6CA510CA" w:rsidR="009D7293" w:rsidRPr="00C750E2" w:rsidRDefault="009D7293" w:rsidP="009D7293">
      <w:pPr>
        <w:autoSpaceDE w:val="0"/>
        <w:autoSpaceDN w:val="0"/>
        <w:adjustRightInd w:val="0"/>
        <w:jc w:val="both"/>
        <w:rPr>
          <w:rFonts w:ascii="Arial" w:hAnsi="Arial" w:cs="Arial"/>
          <w:bCs/>
          <w:sz w:val="20"/>
          <w:szCs w:val="20"/>
        </w:rPr>
      </w:pPr>
      <w:r w:rsidRPr="00C750E2">
        <w:rPr>
          <w:rFonts w:ascii="Arial" w:hAnsi="Arial" w:cs="Arial"/>
          <w:bCs/>
          <w:sz w:val="20"/>
          <w:szCs w:val="20"/>
        </w:rPr>
        <w:t xml:space="preserve">Este </w:t>
      </w:r>
      <w:r w:rsidR="009E5C47" w:rsidRPr="00C750E2">
        <w:rPr>
          <w:rFonts w:ascii="Arial" w:hAnsi="Arial" w:cs="Arial"/>
          <w:bCs/>
          <w:sz w:val="20"/>
          <w:szCs w:val="20"/>
        </w:rPr>
        <w:t>proyecto tiene</w:t>
      </w:r>
      <w:r w:rsidRPr="00C750E2">
        <w:rPr>
          <w:rFonts w:ascii="Arial" w:hAnsi="Arial" w:cs="Arial"/>
          <w:bCs/>
          <w:sz w:val="20"/>
          <w:szCs w:val="20"/>
        </w:rPr>
        <w:t xml:space="preserve"> como objetivo implementar estrategias de gestión social y ambiental en el sector minero que contribuyan a la construcción de una minería ambiental responsable y una inversión social pertinente y sostenible en el país. Este proyecto contribuirá en la implementación de las estrategias de gestión ambiental e inversión social definidas por la ANM en el territorio priorizado. Estará enfocado principalmente a construcción de líneas base, articulación interinstitucional con las entidades del sector nacional competentes, implementar herramientas de seguimiento y medición de impactos y generar espacios de diálogo entre las comunidades, las entidades públicas relacionadas con el sector minero y las empresas mineras.</w:t>
      </w:r>
    </w:p>
    <w:p w14:paraId="31F47010" w14:textId="77777777" w:rsidR="009D7293" w:rsidRPr="00C750E2" w:rsidRDefault="009D7293" w:rsidP="009D7293">
      <w:pPr>
        <w:jc w:val="both"/>
        <w:rPr>
          <w:rFonts w:ascii="Arial" w:eastAsia="Times New Roman" w:hAnsi="Arial" w:cs="Arial"/>
          <w:b/>
          <w:sz w:val="20"/>
          <w:szCs w:val="20"/>
          <w:lang w:eastAsia="es-CO"/>
        </w:rPr>
      </w:pPr>
      <w:r w:rsidRPr="00C750E2">
        <w:rPr>
          <w:rFonts w:ascii="Arial" w:eastAsia="Times New Roman" w:hAnsi="Arial" w:cs="Arial"/>
          <w:b/>
          <w:sz w:val="20"/>
          <w:szCs w:val="20"/>
          <w:lang w:eastAsia="es-CO"/>
        </w:rPr>
        <w:t>C-2199-1900-1 MEJORAMIENTO Y DESARROLLO DE LA GESTION INSTITUCIONAL ANM</w:t>
      </w:r>
    </w:p>
    <w:p w14:paraId="097BEC82" w14:textId="77777777" w:rsidR="009D7293" w:rsidRPr="00C750E2" w:rsidRDefault="009D7293" w:rsidP="009D7293">
      <w:pPr>
        <w:jc w:val="both"/>
        <w:rPr>
          <w:rFonts w:ascii="Arial" w:eastAsia="Times New Roman" w:hAnsi="Arial" w:cs="Arial"/>
          <w:sz w:val="20"/>
          <w:szCs w:val="20"/>
          <w:lang w:eastAsia="es-CO"/>
        </w:rPr>
      </w:pPr>
      <w:r w:rsidRPr="00C750E2">
        <w:rPr>
          <w:rFonts w:ascii="Arial" w:eastAsia="Times New Roman" w:hAnsi="Arial" w:cs="Arial"/>
          <w:sz w:val="20"/>
          <w:szCs w:val="20"/>
          <w:lang w:eastAsia="es-CO"/>
        </w:rPr>
        <w:t xml:space="preserve">Para la vigencia fiscal 2018, fueron asignados para este proyecto $500 millones de los cuales con corte a marzo se ha comprometido el 84% es decir de una apropiación de $500 millones se han comprometido $422.4 millones. </w:t>
      </w:r>
    </w:p>
    <w:p w14:paraId="6E6BCAD5" w14:textId="77777777" w:rsidR="009D7293" w:rsidRPr="006A67B4" w:rsidRDefault="009D7293" w:rsidP="00C02282">
      <w:pPr>
        <w:spacing w:after="0" w:line="240" w:lineRule="auto"/>
        <w:ind w:left="360"/>
        <w:rPr>
          <w:rFonts w:ascii="Arial" w:eastAsia="Calibri" w:hAnsi="Arial" w:cs="Arial"/>
          <w:highlight w:val="yellow"/>
        </w:rPr>
      </w:pPr>
    </w:p>
    <w:p w14:paraId="368EE281" w14:textId="77777777" w:rsidR="00C02282" w:rsidRPr="009D7293" w:rsidRDefault="00C02282" w:rsidP="00055F7C">
      <w:pPr>
        <w:pStyle w:val="Ttulo1"/>
        <w:numPr>
          <w:ilvl w:val="0"/>
          <w:numId w:val="13"/>
        </w:numPr>
        <w:rPr>
          <w:rFonts w:ascii="Arial" w:eastAsia="Arial" w:hAnsi="Arial" w:cs="Arial"/>
          <w:b/>
          <w:color w:val="auto"/>
          <w:sz w:val="22"/>
          <w:szCs w:val="22"/>
          <w:lang w:eastAsia="es-CO"/>
        </w:rPr>
      </w:pPr>
      <w:bookmarkStart w:id="252" w:name="_Toc515525858"/>
      <w:bookmarkStart w:id="253" w:name="_Toc525652070"/>
      <w:r w:rsidRPr="009D7293">
        <w:rPr>
          <w:rFonts w:ascii="Arial" w:eastAsia="Arial" w:hAnsi="Arial" w:cs="Arial"/>
          <w:b/>
          <w:color w:val="auto"/>
          <w:sz w:val="22"/>
          <w:szCs w:val="22"/>
          <w:lang w:eastAsia="es-CO"/>
        </w:rPr>
        <w:t>COMPOSICIÓN REZAGO PRESUPUESTAL DE LA ANM</w:t>
      </w:r>
      <w:bookmarkEnd w:id="252"/>
      <w:bookmarkEnd w:id="253"/>
    </w:p>
    <w:p w14:paraId="22944E2D" w14:textId="77777777" w:rsidR="00C02282" w:rsidRPr="009D7293" w:rsidRDefault="00C02282" w:rsidP="00C02282">
      <w:pPr>
        <w:rPr>
          <w:rFonts w:ascii="Arial" w:hAnsi="Arial" w:cs="Arial"/>
          <w:lang w:eastAsia="es-CO"/>
        </w:rPr>
      </w:pPr>
    </w:p>
    <w:p w14:paraId="4A68FF5A" w14:textId="1BE49AD2" w:rsidR="009D7293" w:rsidRDefault="009D7293" w:rsidP="009D7293">
      <w:r w:rsidRPr="009D7293">
        <w:rPr>
          <w:rFonts w:ascii="Arial" w:hAnsi="Arial" w:cs="Arial"/>
          <w:lang w:eastAsia="es-CO"/>
        </w:rPr>
        <w:t>Al cierre de la vigencia 2017 se constituyó rezago presupuestal por valor de $4.853.1 millones de pesos de los cuales a junio de 2018 se ha ejecutado en un 100%, así:</w:t>
      </w:r>
    </w:p>
    <w:p w14:paraId="2A4EB839" w14:textId="1BE49AD2" w:rsidR="00C02282" w:rsidRPr="009D7293" w:rsidRDefault="00C02282" w:rsidP="00C02282">
      <w:pPr>
        <w:pStyle w:val="Descripcin"/>
        <w:keepNext/>
        <w:jc w:val="center"/>
      </w:pPr>
      <w:bookmarkStart w:id="254" w:name="_Toc525652560"/>
      <w:r w:rsidRPr="009D7293">
        <w:t xml:space="preserve">Tabla </w:t>
      </w:r>
      <w:r w:rsidRPr="009D7293">
        <w:fldChar w:fldCharType="begin"/>
      </w:r>
      <w:r w:rsidRPr="009D7293">
        <w:instrText xml:space="preserve"> SEQ Tabla \* ARABIC </w:instrText>
      </w:r>
      <w:r w:rsidRPr="009D7293">
        <w:fldChar w:fldCharType="separate"/>
      </w:r>
      <w:r w:rsidR="008B4625">
        <w:rPr>
          <w:noProof/>
        </w:rPr>
        <w:t>115</w:t>
      </w:r>
      <w:r w:rsidRPr="009D7293">
        <w:fldChar w:fldCharType="end"/>
      </w:r>
      <w:r w:rsidRPr="009D7293">
        <w:t>Rezago Presupuestal ANM</w:t>
      </w:r>
      <w:bookmarkEnd w:id="254"/>
    </w:p>
    <w:p w14:paraId="28FE25EB" w14:textId="70C3BCAB" w:rsidR="00C02282" w:rsidRPr="009D7293" w:rsidRDefault="009D7293" w:rsidP="00C02282">
      <w:pPr>
        <w:tabs>
          <w:tab w:val="left" w:pos="3900"/>
          <w:tab w:val="center" w:pos="4702"/>
        </w:tabs>
        <w:spacing w:after="0" w:line="240" w:lineRule="auto"/>
        <w:rPr>
          <w:rFonts w:ascii="Arial" w:eastAsia="Calibri" w:hAnsi="Arial" w:cs="Arial"/>
          <w:sz w:val="16"/>
          <w:szCs w:val="16"/>
        </w:rPr>
      </w:pPr>
      <w:r w:rsidRPr="009D7293">
        <w:rPr>
          <w:rFonts w:ascii="Arial" w:hAnsi="Arial" w:cs="Arial"/>
          <w:noProof/>
          <w:lang w:eastAsia="es-CO"/>
        </w:rPr>
        <w:drawing>
          <wp:inline distT="0" distB="0" distL="0" distR="0" wp14:anchorId="2029D2DA" wp14:editId="7F8AA9DE">
            <wp:extent cx="5610225" cy="1695450"/>
            <wp:effectExtent l="0" t="0" r="9525" b="0"/>
            <wp:docPr id="2062" name="Imagen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225" cy="1695450"/>
                    </a:xfrm>
                    <a:prstGeom prst="rect">
                      <a:avLst/>
                    </a:prstGeom>
                    <a:noFill/>
                    <a:ln>
                      <a:noFill/>
                    </a:ln>
                  </pic:spPr>
                </pic:pic>
              </a:graphicData>
            </a:graphic>
          </wp:inline>
        </w:drawing>
      </w:r>
      <w:r w:rsidR="00C02282" w:rsidRPr="009D7293">
        <w:rPr>
          <w:rFonts w:ascii="Arial" w:hAnsi="Arial" w:cs="Arial"/>
          <w:lang w:eastAsia="es-CO"/>
        </w:rPr>
        <w:br w:type="textWrapping" w:clear="all"/>
      </w:r>
      <w:r w:rsidR="00C02282" w:rsidRPr="009D7293">
        <w:rPr>
          <w:rFonts w:ascii="Arial" w:hAnsi="Arial" w:cs="Arial"/>
          <w:sz w:val="16"/>
          <w:szCs w:val="16"/>
          <w:lang w:eastAsia="es-ES"/>
        </w:rPr>
        <w:tab/>
      </w:r>
      <w:r w:rsidR="00C02282" w:rsidRPr="009D7293">
        <w:rPr>
          <w:rFonts w:ascii="Arial" w:hAnsi="Arial" w:cs="Arial"/>
          <w:sz w:val="16"/>
          <w:szCs w:val="16"/>
          <w:lang w:eastAsia="es-ES"/>
        </w:rPr>
        <w:tab/>
        <w:t>Millones de pesos</w:t>
      </w:r>
    </w:p>
    <w:p w14:paraId="39017F97" w14:textId="77777777" w:rsidR="00C02282" w:rsidRPr="009D7293" w:rsidRDefault="00C02282" w:rsidP="00C02282">
      <w:pPr>
        <w:jc w:val="center"/>
        <w:rPr>
          <w:rFonts w:ascii="Arial" w:eastAsia="Calibri" w:hAnsi="Arial" w:cs="Arial"/>
          <w:sz w:val="16"/>
          <w:szCs w:val="16"/>
        </w:rPr>
      </w:pPr>
      <w:r w:rsidRPr="009D7293">
        <w:rPr>
          <w:rFonts w:ascii="Calibri" w:hAnsi="Calibri" w:cs="Calibri"/>
          <w:sz w:val="18"/>
          <w:szCs w:val="18"/>
        </w:rPr>
        <w:t xml:space="preserve">Fuente: </w:t>
      </w:r>
      <w:r w:rsidRPr="009D7293">
        <w:rPr>
          <w:rFonts w:ascii="Arial" w:eastAsia="Calibri" w:hAnsi="Arial" w:cs="Arial"/>
          <w:sz w:val="16"/>
          <w:szCs w:val="16"/>
        </w:rPr>
        <w:t>S</w:t>
      </w:r>
      <w:r w:rsidRPr="009D7293">
        <w:rPr>
          <w:rFonts w:ascii="Arial" w:eastAsia="Calibri" w:hAnsi="Arial" w:cs="Arial"/>
          <w:sz w:val="16"/>
          <w:szCs w:val="16"/>
        </w:rPr>
        <w:tab/>
        <w:t>IIF Nación</w:t>
      </w:r>
      <w:r w:rsidRPr="009D7293">
        <w:rPr>
          <w:rFonts w:ascii="Calibri" w:hAnsi="Calibri" w:cs="Calibri"/>
          <w:sz w:val="18"/>
          <w:szCs w:val="18"/>
        </w:rPr>
        <w:t xml:space="preserve"> </w:t>
      </w:r>
      <w:r w:rsidRPr="009D7293">
        <w:rPr>
          <w:rFonts w:ascii="Arial" w:eastAsia="Calibri" w:hAnsi="Arial" w:cs="Arial"/>
          <w:sz w:val="16"/>
          <w:szCs w:val="16"/>
        </w:rPr>
        <w:t>ANM</w:t>
      </w:r>
    </w:p>
    <w:p w14:paraId="098887D2" w14:textId="5DA6A539" w:rsidR="00C02282" w:rsidRDefault="00C02282" w:rsidP="00C02282">
      <w:pPr>
        <w:ind w:left="360"/>
        <w:rPr>
          <w:rFonts w:ascii="Arial" w:hAnsi="Arial" w:cs="Arial"/>
          <w:lang w:eastAsia="es-CO"/>
        </w:rPr>
      </w:pPr>
    </w:p>
    <w:p w14:paraId="5D1D6F78" w14:textId="77777777" w:rsidR="00576641" w:rsidRPr="009D7293" w:rsidRDefault="00576641" w:rsidP="00C02282">
      <w:pPr>
        <w:ind w:left="360"/>
        <w:rPr>
          <w:rFonts w:ascii="Arial" w:hAnsi="Arial" w:cs="Arial"/>
          <w:lang w:eastAsia="es-CO"/>
        </w:rPr>
      </w:pPr>
    </w:p>
    <w:p w14:paraId="55CF2D19" w14:textId="77777777" w:rsidR="00C02282" w:rsidRPr="009D7293" w:rsidRDefault="00C02282" w:rsidP="00055F7C">
      <w:pPr>
        <w:pStyle w:val="Ttulo2"/>
        <w:numPr>
          <w:ilvl w:val="1"/>
          <w:numId w:val="13"/>
        </w:numPr>
        <w:rPr>
          <w:rFonts w:ascii="Arial" w:eastAsia="Calibri" w:hAnsi="Arial" w:cs="Arial"/>
          <w:color w:val="auto"/>
          <w:sz w:val="22"/>
          <w:szCs w:val="22"/>
        </w:rPr>
      </w:pPr>
      <w:bookmarkStart w:id="255" w:name="_Toc515525859"/>
      <w:r w:rsidRPr="009D7293">
        <w:rPr>
          <w:rFonts w:ascii="Arial" w:eastAsia="Calibri" w:hAnsi="Arial" w:cs="Arial"/>
          <w:color w:val="auto"/>
          <w:sz w:val="22"/>
          <w:szCs w:val="22"/>
        </w:rPr>
        <w:lastRenderedPageBreak/>
        <w:t xml:space="preserve"> </w:t>
      </w:r>
      <w:bookmarkStart w:id="256" w:name="_Toc525652071"/>
      <w:r w:rsidRPr="009D7293">
        <w:rPr>
          <w:rFonts w:ascii="Arial" w:eastAsia="Calibri" w:hAnsi="Arial" w:cs="Arial"/>
          <w:color w:val="auto"/>
          <w:sz w:val="22"/>
          <w:szCs w:val="22"/>
        </w:rPr>
        <w:t>Ejecución reservas presupuestales</w:t>
      </w:r>
      <w:bookmarkEnd w:id="255"/>
      <w:r w:rsidRPr="009D7293">
        <w:rPr>
          <w:rFonts w:ascii="Arial" w:eastAsia="Calibri" w:hAnsi="Arial" w:cs="Arial"/>
          <w:color w:val="auto"/>
          <w:sz w:val="22"/>
          <w:szCs w:val="22"/>
        </w:rPr>
        <w:t xml:space="preserve"> ANM</w:t>
      </w:r>
      <w:bookmarkEnd w:id="256"/>
    </w:p>
    <w:p w14:paraId="0801FF90" w14:textId="77777777" w:rsidR="00C02282" w:rsidRPr="009D7293" w:rsidRDefault="00C02282" w:rsidP="00C02282">
      <w:pPr>
        <w:pStyle w:val="Prrafodelista"/>
        <w:tabs>
          <w:tab w:val="left" w:pos="284"/>
        </w:tabs>
        <w:ind w:left="0"/>
        <w:contextualSpacing/>
        <w:jc w:val="both"/>
        <w:rPr>
          <w:rFonts w:eastAsiaTheme="minorHAnsi" w:cs="Arial"/>
          <w:bCs/>
          <w:sz w:val="20"/>
          <w:szCs w:val="20"/>
        </w:rPr>
      </w:pPr>
    </w:p>
    <w:p w14:paraId="101A0346" w14:textId="3BDD64AB" w:rsidR="00C02282" w:rsidRPr="009D7293" w:rsidRDefault="009D7293" w:rsidP="00C02282">
      <w:pPr>
        <w:pStyle w:val="Prrafodelista"/>
        <w:tabs>
          <w:tab w:val="left" w:pos="284"/>
        </w:tabs>
        <w:ind w:left="0"/>
        <w:contextualSpacing/>
        <w:jc w:val="both"/>
      </w:pPr>
      <w:r w:rsidRPr="009D7293">
        <w:rPr>
          <w:rFonts w:eastAsiaTheme="minorHAnsi" w:cs="Arial"/>
          <w:bCs/>
          <w:sz w:val="20"/>
          <w:szCs w:val="20"/>
        </w:rPr>
        <w:t>Con corte a junio de 2018, se ejecutaron reservas presupuestales por $124.0 millones, es decir una ejecución del 100%, así:</w:t>
      </w:r>
      <w:r w:rsidR="00C02282" w:rsidRPr="009D7293">
        <w:rPr>
          <w:rFonts w:cs="Arial"/>
        </w:rPr>
        <w:tab/>
      </w:r>
    </w:p>
    <w:p w14:paraId="50FC5A1D" w14:textId="77777777" w:rsidR="00C02282" w:rsidRPr="009D7293" w:rsidRDefault="00C02282" w:rsidP="00C02282">
      <w:pPr>
        <w:pStyle w:val="Descripcin"/>
        <w:keepNext/>
        <w:jc w:val="center"/>
      </w:pPr>
      <w:bookmarkStart w:id="257" w:name="_Toc525652561"/>
      <w:r w:rsidRPr="009D7293">
        <w:t xml:space="preserve">Tabla </w:t>
      </w:r>
      <w:r w:rsidRPr="009D7293">
        <w:fldChar w:fldCharType="begin"/>
      </w:r>
      <w:r w:rsidRPr="009D7293">
        <w:instrText xml:space="preserve"> SEQ Tabla \* ARABIC </w:instrText>
      </w:r>
      <w:r w:rsidRPr="009D7293">
        <w:fldChar w:fldCharType="separate"/>
      </w:r>
      <w:r w:rsidR="008B4625">
        <w:rPr>
          <w:noProof/>
        </w:rPr>
        <w:t>116</w:t>
      </w:r>
      <w:r w:rsidRPr="009D7293">
        <w:fldChar w:fldCharType="end"/>
      </w:r>
      <w:r w:rsidRPr="009D7293">
        <w:t xml:space="preserve"> Ejecutaron reservas presupuestales ANM</w:t>
      </w:r>
      <w:bookmarkEnd w:id="257"/>
    </w:p>
    <w:p w14:paraId="7C19E186" w14:textId="15B4B4AF" w:rsidR="00C02282" w:rsidRPr="009D7293" w:rsidRDefault="009D7293" w:rsidP="00C02282">
      <w:pPr>
        <w:pStyle w:val="Prrafodelista"/>
        <w:tabs>
          <w:tab w:val="left" w:pos="284"/>
        </w:tabs>
        <w:spacing w:after="0"/>
        <w:ind w:left="0"/>
        <w:contextualSpacing/>
        <w:jc w:val="both"/>
        <w:rPr>
          <w:rFonts w:cs="Arial"/>
        </w:rPr>
      </w:pPr>
      <w:r w:rsidRPr="009D7293">
        <w:rPr>
          <w:rFonts w:cs="Arial"/>
          <w:noProof/>
          <w:lang w:eastAsia="es-CO"/>
        </w:rPr>
        <w:drawing>
          <wp:inline distT="0" distB="0" distL="0" distR="0" wp14:anchorId="508455D8" wp14:editId="7F0DADF0">
            <wp:extent cx="5971540" cy="1409550"/>
            <wp:effectExtent l="0" t="0" r="0" b="635"/>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1409550"/>
                    </a:xfrm>
                    <a:prstGeom prst="rect">
                      <a:avLst/>
                    </a:prstGeom>
                    <a:noFill/>
                    <a:ln>
                      <a:noFill/>
                    </a:ln>
                  </pic:spPr>
                </pic:pic>
              </a:graphicData>
            </a:graphic>
          </wp:inline>
        </w:drawing>
      </w:r>
    </w:p>
    <w:p w14:paraId="07EDCD77" w14:textId="77777777" w:rsidR="00C02282" w:rsidRPr="009D7293" w:rsidRDefault="00C02282" w:rsidP="00C02282">
      <w:pPr>
        <w:tabs>
          <w:tab w:val="left" w:pos="3900"/>
          <w:tab w:val="center" w:pos="4702"/>
        </w:tabs>
        <w:spacing w:after="0" w:line="240" w:lineRule="auto"/>
        <w:rPr>
          <w:rFonts w:ascii="Arial" w:eastAsia="Calibri" w:hAnsi="Arial" w:cs="Arial"/>
          <w:sz w:val="16"/>
          <w:szCs w:val="16"/>
        </w:rPr>
      </w:pPr>
      <w:r w:rsidRPr="009D7293">
        <w:rPr>
          <w:rFonts w:ascii="Arial" w:hAnsi="Arial" w:cs="Arial"/>
          <w:sz w:val="16"/>
          <w:szCs w:val="16"/>
          <w:lang w:eastAsia="es-ES"/>
        </w:rPr>
        <w:tab/>
      </w:r>
      <w:r w:rsidRPr="009D7293">
        <w:rPr>
          <w:rFonts w:ascii="Arial" w:hAnsi="Arial" w:cs="Arial"/>
          <w:sz w:val="16"/>
          <w:szCs w:val="16"/>
          <w:lang w:eastAsia="es-ES"/>
        </w:rPr>
        <w:tab/>
        <w:t>Millones de pesos</w:t>
      </w:r>
    </w:p>
    <w:p w14:paraId="48F00467" w14:textId="77777777" w:rsidR="00C02282" w:rsidRPr="009D7293" w:rsidRDefault="00C02282" w:rsidP="00C02282">
      <w:pPr>
        <w:spacing w:after="0"/>
        <w:jc w:val="center"/>
        <w:rPr>
          <w:rFonts w:ascii="Arial" w:eastAsia="Calibri" w:hAnsi="Arial" w:cs="Arial"/>
          <w:sz w:val="16"/>
          <w:szCs w:val="16"/>
        </w:rPr>
      </w:pPr>
      <w:r w:rsidRPr="009D7293">
        <w:rPr>
          <w:rFonts w:ascii="Calibri" w:hAnsi="Calibri" w:cs="Calibri"/>
          <w:sz w:val="18"/>
          <w:szCs w:val="18"/>
        </w:rPr>
        <w:t xml:space="preserve">Fuente: </w:t>
      </w:r>
      <w:r w:rsidRPr="009D7293">
        <w:rPr>
          <w:rFonts w:ascii="Arial" w:eastAsia="Calibri" w:hAnsi="Arial" w:cs="Arial"/>
          <w:sz w:val="16"/>
          <w:szCs w:val="16"/>
        </w:rPr>
        <w:t>S</w:t>
      </w:r>
      <w:r w:rsidRPr="009D7293">
        <w:rPr>
          <w:rFonts w:ascii="Arial" w:eastAsia="Calibri" w:hAnsi="Arial" w:cs="Arial"/>
          <w:sz w:val="16"/>
          <w:szCs w:val="16"/>
        </w:rPr>
        <w:tab/>
        <w:t>IIF Nación</w:t>
      </w:r>
      <w:r w:rsidRPr="009D7293">
        <w:rPr>
          <w:rFonts w:ascii="Calibri" w:hAnsi="Calibri" w:cs="Calibri"/>
          <w:sz w:val="18"/>
          <w:szCs w:val="18"/>
        </w:rPr>
        <w:t xml:space="preserve"> </w:t>
      </w:r>
      <w:r w:rsidRPr="009D7293">
        <w:rPr>
          <w:rFonts w:ascii="Arial" w:eastAsia="Calibri" w:hAnsi="Arial" w:cs="Arial"/>
          <w:sz w:val="16"/>
          <w:szCs w:val="16"/>
        </w:rPr>
        <w:t>ANM</w:t>
      </w:r>
    </w:p>
    <w:p w14:paraId="3AE5C9C5" w14:textId="71D7D32F" w:rsidR="00C02282" w:rsidRDefault="00C02282" w:rsidP="00C02282">
      <w:pPr>
        <w:pStyle w:val="Prrafodelista"/>
        <w:tabs>
          <w:tab w:val="left" w:pos="284"/>
        </w:tabs>
        <w:ind w:left="0"/>
        <w:contextualSpacing/>
        <w:jc w:val="both"/>
        <w:rPr>
          <w:rFonts w:cs="Arial"/>
        </w:rPr>
      </w:pPr>
    </w:p>
    <w:p w14:paraId="1C7A690E" w14:textId="77777777" w:rsidR="00C02282" w:rsidRDefault="00C02282" w:rsidP="00055F7C">
      <w:pPr>
        <w:pStyle w:val="Ttulo2"/>
        <w:numPr>
          <w:ilvl w:val="1"/>
          <w:numId w:val="13"/>
        </w:numPr>
        <w:rPr>
          <w:rFonts w:ascii="Arial" w:eastAsia="Calibri" w:hAnsi="Arial" w:cs="Arial"/>
          <w:color w:val="auto"/>
          <w:sz w:val="22"/>
          <w:szCs w:val="22"/>
        </w:rPr>
      </w:pPr>
      <w:bookmarkStart w:id="258" w:name="_Toc515525860"/>
      <w:bookmarkStart w:id="259" w:name="_Toc525652072"/>
      <w:r w:rsidRPr="009D7293">
        <w:rPr>
          <w:rFonts w:ascii="Arial" w:eastAsia="Calibri" w:hAnsi="Arial" w:cs="Arial"/>
          <w:color w:val="auto"/>
          <w:sz w:val="22"/>
          <w:szCs w:val="22"/>
        </w:rPr>
        <w:t>Ejecución cuentas por pagar</w:t>
      </w:r>
      <w:bookmarkEnd w:id="258"/>
      <w:r w:rsidRPr="009D7293">
        <w:rPr>
          <w:rFonts w:ascii="Arial" w:eastAsia="Calibri" w:hAnsi="Arial" w:cs="Arial"/>
          <w:color w:val="auto"/>
          <w:sz w:val="22"/>
          <w:szCs w:val="22"/>
        </w:rPr>
        <w:t xml:space="preserve"> ANM</w:t>
      </w:r>
      <w:bookmarkEnd w:id="259"/>
    </w:p>
    <w:p w14:paraId="4AD6DC9A" w14:textId="77777777" w:rsidR="009D7293" w:rsidRPr="009D7293" w:rsidRDefault="009D7293" w:rsidP="009D7293"/>
    <w:p w14:paraId="2B307E9B" w14:textId="77777777" w:rsidR="009D7293" w:rsidRPr="00C750E2" w:rsidRDefault="009D7293" w:rsidP="009D7293">
      <w:pPr>
        <w:rPr>
          <w:rFonts w:ascii="Arial" w:hAnsi="Arial" w:cs="Arial"/>
        </w:rPr>
      </w:pPr>
      <w:r w:rsidRPr="00C750E2">
        <w:rPr>
          <w:rFonts w:ascii="Arial" w:hAnsi="Arial" w:cs="Arial"/>
          <w:bCs/>
          <w:sz w:val="20"/>
          <w:szCs w:val="20"/>
        </w:rPr>
        <w:t>Con corte a junio de 2018, se ejecutaron cuentas por pagar por $4.729 millones, es decir una ejecución del 100%, así:</w:t>
      </w:r>
    </w:p>
    <w:p w14:paraId="34B3CFC1" w14:textId="77777777" w:rsidR="00C02282" w:rsidRPr="009D7293" w:rsidRDefault="00C02282" w:rsidP="00C02282">
      <w:pPr>
        <w:pStyle w:val="Descripcin"/>
        <w:keepNext/>
        <w:jc w:val="center"/>
      </w:pPr>
      <w:bookmarkStart w:id="260" w:name="_Toc525652562"/>
      <w:r w:rsidRPr="009D7293">
        <w:t xml:space="preserve">Tabla </w:t>
      </w:r>
      <w:r w:rsidRPr="009D7293">
        <w:fldChar w:fldCharType="begin"/>
      </w:r>
      <w:r w:rsidRPr="009D7293">
        <w:instrText xml:space="preserve"> SEQ Tabla \* ARABIC </w:instrText>
      </w:r>
      <w:r w:rsidRPr="009D7293">
        <w:fldChar w:fldCharType="separate"/>
      </w:r>
      <w:r w:rsidR="008B4625">
        <w:rPr>
          <w:noProof/>
        </w:rPr>
        <w:t>117</w:t>
      </w:r>
      <w:r w:rsidRPr="009D7293">
        <w:fldChar w:fldCharType="end"/>
      </w:r>
      <w:r w:rsidRPr="009D7293">
        <w:t xml:space="preserve"> Cuentas por pagar ANM</w:t>
      </w:r>
      <w:bookmarkEnd w:id="260"/>
    </w:p>
    <w:p w14:paraId="7135DE33" w14:textId="3D3012A5" w:rsidR="00C02282" w:rsidRPr="009D7293" w:rsidRDefault="009D7293" w:rsidP="00C02282">
      <w:pPr>
        <w:pStyle w:val="Prrafodelista"/>
        <w:spacing w:after="0" w:line="240" w:lineRule="auto"/>
        <w:ind w:left="720"/>
        <w:contextualSpacing/>
        <w:rPr>
          <w:rFonts w:eastAsia="Calibri" w:cs="Arial"/>
        </w:rPr>
      </w:pPr>
      <w:r w:rsidRPr="009D7293">
        <w:rPr>
          <w:rFonts w:cs="Arial"/>
          <w:noProof/>
          <w:lang w:eastAsia="es-CO"/>
        </w:rPr>
        <w:drawing>
          <wp:inline distT="0" distB="0" distL="0" distR="0" wp14:anchorId="784819E2" wp14:editId="5E457251">
            <wp:extent cx="4650538" cy="2386330"/>
            <wp:effectExtent l="0" t="0" r="0" b="0"/>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7643" cy="2395107"/>
                    </a:xfrm>
                    <a:prstGeom prst="rect">
                      <a:avLst/>
                    </a:prstGeom>
                    <a:noFill/>
                    <a:ln>
                      <a:noFill/>
                    </a:ln>
                  </pic:spPr>
                </pic:pic>
              </a:graphicData>
            </a:graphic>
          </wp:inline>
        </w:drawing>
      </w:r>
    </w:p>
    <w:p w14:paraId="3A9A487C" w14:textId="77777777" w:rsidR="00C02282" w:rsidRPr="009D7293" w:rsidRDefault="00C02282" w:rsidP="00C02282">
      <w:pPr>
        <w:tabs>
          <w:tab w:val="left" w:pos="3900"/>
          <w:tab w:val="center" w:pos="4702"/>
        </w:tabs>
        <w:spacing w:after="0" w:line="240" w:lineRule="auto"/>
        <w:jc w:val="center"/>
        <w:rPr>
          <w:rFonts w:ascii="Arial" w:eastAsia="Calibri" w:hAnsi="Arial" w:cs="Arial"/>
          <w:sz w:val="16"/>
          <w:szCs w:val="16"/>
        </w:rPr>
      </w:pPr>
      <w:r w:rsidRPr="009D7293">
        <w:rPr>
          <w:rFonts w:ascii="Arial" w:hAnsi="Arial" w:cs="Arial"/>
          <w:sz w:val="16"/>
          <w:szCs w:val="16"/>
          <w:lang w:eastAsia="es-ES"/>
        </w:rPr>
        <w:t>Millones de pesos</w:t>
      </w:r>
    </w:p>
    <w:p w14:paraId="4BDB7D8F" w14:textId="77777777" w:rsidR="00C02282" w:rsidRPr="009D7293" w:rsidRDefault="00C02282" w:rsidP="00C02282">
      <w:pPr>
        <w:jc w:val="center"/>
        <w:rPr>
          <w:rFonts w:ascii="Arial" w:eastAsia="Calibri" w:hAnsi="Arial" w:cs="Arial"/>
          <w:sz w:val="16"/>
          <w:szCs w:val="16"/>
        </w:rPr>
      </w:pPr>
      <w:r w:rsidRPr="009D7293">
        <w:rPr>
          <w:rFonts w:ascii="Calibri" w:hAnsi="Calibri" w:cs="Calibri"/>
          <w:sz w:val="18"/>
          <w:szCs w:val="18"/>
        </w:rPr>
        <w:t xml:space="preserve">Fuente: </w:t>
      </w:r>
      <w:r w:rsidRPr="009D7293">
        <w:rPr>
          <w:rFonts w:ascii="Arial" w:eastAsia="Calibri" w:hAnsi="Arial" w:cs="Arial"/>
          <w:sz w:val="16"/>
          <w:szCs w:val="16"/>
        </w:rPr>
        <w:t>S</w:t>
      </w:r>
      <w:r w:rsidRPr="009D7293">
        <w:rPr>
          <w:rFonts w:ascii="Arial" w:eastAsia="Calibri" w:hAnsi="Arial" w:cs="Arial"/>
          <w:sz w:val="16"/>
          <w:szCs w:val="16"/>
        </w:rPr>
        <w:tab/>
        <w:t>IIF Nación</w:t>
      </w:r>
      <w:r w:rsidRPr="009D7293">
        <w:rPr>
          <w:rFonts w:ascii="Calibri" w:hAnsi="Calibri" w:cs="Calibri"/>
          <w:sz w:val="18"/>
          <w:szCs w:val="18"/>
        </w:rPr>
        <w:t xml:space="preserve"> </w:t>
      </w:r>
      <w:r w:rsidRPr="009D7293">
        <w:rPr>
          <w:rFonts w:ascii="Arial" w:eastAsia="Calibri" w:hAnsi="Arial" w:cs="Arial"/>
          <w:sz w:val="16"/>
          <w:szCs w:val="16"/>
        </w:rPr>
        <w:t>ANM</w:t>
      </w:r>
    </w:p>
    <w:p w14:paraId="3E6CBFD9" w14:textId="77777777" w:rsidR="00C02282" w:rsidRPr="006A67B4" w:rsidRDefault="00C02282" w:rsidP="00C02282">
      <w:pPr>
        <w:pStyle w:val="Prrafodelista"/>
        <w:spacing w:after="0" w:line="240" w:lineRule="auto"/>
        <w:ind w:left="720"/>
        <w:contextualSpacing/>
        <w:rPr>
          <w:rFonts w:eastAsia="Calibri" w:cs="Arial"/>
          <w:highlight w:val="yellow"/>
        </w:rPr>
      </w:pPr>
    </w:p>
    <w:p w14:paraId="6D08CD0F" w14:textId="77777777" w:rsidR="00C02282" w:rsidRPr="009D7293" w:rsidRDefault="00C02282" w:rsidP="00055F7C">
      <w:pPr>
        <w:pStyle w:val="Ttulo1"/>
        <w:numPr>
          <w:ilvl w:val="0"/>
          <w:numId w:val="13"/>
        </w:numPr>
        <w:rPr>
          <w:rFonts w:ascii="Arial" w:eastAsia="Arial" w:hAnsi="Arial" w:cs="Arial"/>
          <w:b/>
          <w:color w:val="auto"/>
          <w:sz w:val="22"/>
          <w:szCs w:val="22"/>
          <w:lang w:eastAsia="es-CO"/>
        </w:rPr>
      </w:pPr>
      <w:bookmarkStart w:id="261" w:name="_Toc515525861"/>
      <w:bookmarkStart w:id="262" w:name="_Toc525652073"/>
      <w:r w:rsidRPr="009D7293">
        <w:rPr>
          <w:rFonts w:ascii="Arial" w:eastAsia="Arial" w:hAnsi="Arial" w:cs="Arial"/>
          <w:b/>
          <w:color w:val="auto"/>
          <w:sz w:val="22"/>
          <w:szCs w:val="22"/>
          <w:lang w:eastAsia="es-CO"/>
        </w:rPr>
        <w:lastRenderedPageBreak/>
        <w:t>CONCLUSIONES Y RECOMENDACIONES</w:t>
      </w:r>
      <w:bookmarkEnd w:id="261"/>
      <w:r w:rsidRPr="009D7293">
        <w:rPr>
          <w:rFonts w:ascii="Arial" w:eastAsia="Arial" w:hAnsi="Arial" w:cs="Arial"/>
          <w:b/>
          <w:color w:val="auto"/>
          <w:sz w:val="22"/>
          <w:szCs w:val="22"/>
          <w:lang w:eastAsia="es-CO"/>
        </w:rPr>
        <w:t xml:space="preserve"> ANM</w:t>
      </w:r>
      <w:bookmarkEnd w:id="262"/>
    </w:p>
    <w:p w14:paraId="5B846341" w14:textId="77777777" w:rsidR="009D7293" w:rsidRPr="009D7293" w:rsidRDefault="009D7293" w:rsidP="008B4625">
      <w:pPr>
        <w:pStyle w:val="Prrafodelista"/>
        <w:numPr>
          <w:ilvl w:val="0"/>
          <w:numId w:val="54"/>
        </w:numPr>
        <w:spacing w:after="0" w:line="240" w:lineRule="auto"/>
        <w:jc w:val="both"/>
        <w:rPr>
          <w:rFonts w:cs="Arial"/>
        </w:rPr>
      </w:pPr>
      <w:r w:rsidRPr="009D7293">
        <w:rPr>
          <w:rFonts w:cs="Arial"/>
        </w:rPr>
        <w:t>Realizar los traslados con el fin de financiar la nómina hasta el mes de diciembre.</w:t>
      </w:r>
    </w:p>
    <w:p w14:paraId="33EC8D39" w14:textId="49C210A2" w:rsidR="00D41D3A" w:rsidRDefault="00D41D3A" w:rsidP="00C02282">
      <w:pPr>
        <w:jc w:val="both"/>
        <w:rPr>
          <w:rFonts w:ascii="Arial" w:eastAsia="Calibri" w:hAnsi="Arial" w:cs="Arial"/>
        </w:rPr>
      </w:pPr>
    </w:p>
    <w:p w14:paraId="74BB02C7" w14:textId="77777777" w:rsidR="00C02282" w:rsidRPr="007B73C3" w:rsidRDefault="00C02282" w:rsidP="00C02282">
      <w:pPr>
        <w:pStyle w:val="Ttulo1"/>
        <w:rPr>
          <w:rFonts w:ascii="Arial" w:eastAsia="Arial" w:hAnsi="Arial" w:cs="Arial"/>
          <w:b/>
          <w:color w:val="auto"/>
          <w:sz w:val="22"/>
          <w:szCs w:val="22"/>
          <w:lang w:eastAsia="es-CO"/>
        </w:rPr>
      </w:pPr>
      <w:bookmarkStart w:id="263" w:name="_Toc525652074"/>
      <w:r w:rsidRPr="007B73C3">
        <w:rPr>
          <w:rFonts w:ascii="Arial" w:eastAsia="Arial" w:hAnsi="Arial" w:cs="Arial"/>
          <w:b/>
          <w:color w:val="auto"/>
          <w:sz w:val="22"/>
          <w:szCs w:val="22"/>
          <w:lang w:eastAsia="es-CO"/>
        </w:rPr>
        <w:t>F. COMISION DE REGULACION DE ENERGIA Y GAS – CREG</w:t>
      </w:r>
      <w:bookmarkEnd w:id="263"/>
      <w:r w:rsidRPr="007B73C3">
        <w:rPr>
          <w:rFonts w:ascii="Arial" w:eastAsia="Arial" w:hAnsi="Arial" w:cs="Arial"/>
          <w:b/>
          <w:color w:val="auto"/>
          <w:sz w:val="22"/>
          <w:szCs w:val="22"/>
          <w:lang w:eastAsia="es-CO"/>
        </w:rPr>
        <w:t xml:space="preserve"> </w:t>
      </w:r>
    </w:p>
    <w:p w14:paraId="45668035" w14:textId="77777777" w:rsidR="00C02282" w:rsidRPr="007B73C3" w:rsidRDefault="00C02282" w:rsidP="00C02282">
      <w:pPr>
        <w:jc w:val="both"/>
        <w:rPr>
          <w:rFonts w:ascii="Arial" w:eastAsia="Calibri" w:hAnsi="Arial" w:cs="Arial"/>
        </w:rPr>
      </w:pPr>
    </w:p>
    <w:p w14:paraId="08514B19" w14:textId="77777777" w:rsidR="00C02282" w:rsidRPr="007B73C3" w:rsidRDefault="00C02282" w:rsidP="00055F7C">
      <w:pPr>
        <w:pStyle w:val="Ttulo1"/>
        <w:numPr>
          <w:ilvl w:val="0"/>
          <w:numId w:val="21"/>
        </w:numPr>
        <w:rPr>
          <w:rFonts w:ascii="Arial" w:eastAsia="Calibri" w:hAnsi="Arial" w:cs="Arial"/>
          <w:color w:val="auto"/>
          <w:sz w:val="22"/>
          <w:szCs w:val="22"/>
        </w:rPr>
      </w:pPr>
      <w:bookmarkStart w:id="264" w:name="_Toc525652075"/>
      <w:r w:rsidRPr="007B73C3">
        <w:rPr>
          <w:rFonts w:ascii="Arial" w:eastAsia="Arial" w:hAnsi="Arial" w:cs="Arial"/>
          <w:b/>
          <w:color w:val="auto"/>
          <w:sz w:val="22"/>
          <w:szCs w:val="22"/>
          <w:lang w:eastAsia="es-CO"/>
        </w:rPr>
        <w:t>COMPOSICIÓN DEL PRESUPUESTO DE</w:t>
      </w:r>
      <w:r w:rsidRPr="007B73C3">
        <w:rPr>
          <w:rFonts w:ascii="Arial" w:hAnsi="Arial" w:cs="Arial"/>
          <w:b/>
          <w:color w:val="auto"/>
          <w:sz w:val="22"/>
          <w:szCs w:val="22"/>
          <w:lang w:eastAsia="es-CO"/>
        </w:rPr>
        <w:t xml:space="preserve"> </w:t>
      </w:r>
      <w:r w:rsidRPr="007B73C3">
        <w:rPr>
          <w:rFonts w:ascii="Arial" w:eastAsia="Arial" w:hAnsi="Arial" w:cs="Arial"/>
          <w:b/>
          <w:color w:val="auto"/>
          <w:sz w:val="22"/>
          <w:szCs w:val="22"/>
          <w:lang w:eastAsia="es-CO"/>
        </w:rPr>
        <w:t>L</w:t>
      </w:r>
      <w:r w:rsidRPr="007B73C3">
        <w:rPr>
          <w:rFonts w:ascii="Arial" w:hAnsi="Arial" w:cs="Arial"/>
          <w:b/>
          <w:color w:val="auto"/>
          <w:sz w:val="22"/>
          <w:szCs w:val="22"/>
          <w:lang w:eastAsia="es-CO"/>
        </w:rPr>
        <w:t xml:space="preserve">A </w:t>
      </w:r>
      <w:r w:rsidRPr="007B73C3">
        <w:rPr>
          <w:rFonts w:ascii="Arial" w:eastAsia="Arial" w:hAnsi="Arial" w:cs="Arial"/>
          <w:b/>
          <w:color w:val="auto"/>
          <w:sz w:val="22"/>
          <w:szCs w:val="22"/>
          <w:lang w:eastAsia="es-CO"/>
        </w:rPr>
        <w:t>CREG</w:t>
      </w:r>
      <w:bookmarkEnd w:id="264"/>
    </w:p>
    <w:p w14:paraId="31BAA964" w14:textId="77777777" w:rsidR="00C02282" w:rsidRPr="006A67B4" w:rsidRDefault="00C02282" w:rsidP="00C02282">
      <w:pPr>
        <w:spacing w:after="0" w:line="240" w:lineRule="auto"/>
        <w:jc w:val="center"/>
        <w:rPr>
          <w:rFonts w:eastAsia="Calibri" w:cs="Arial"/>
          <w:highlight w:val="yellow"/>
        </w:rPr>
      </w:pPr>
    </w:p>
    <w:p w14:paraId="61013AB7" w14:textId="77777777" w:rsidR="00C02282" w:rsidRPr="006A67B4" w:rsidRDefault="00C02282" w:rsidP="00C02282">
      <w:pPr>
        <w:spacing w:after="0" w:line="240" w:lineRule="auto"/>
        <w:jc w:val="both"/>
        <w:rPr>
          <w:rFonts w:ascii="Arial" w:hAnsi="Arial" w:cs="Arial"/>
          <w:highlight w:val="yellow"/>
          <w:lang w:eastAsia="es-ES"/>
        </w:rPr>
      </w:pPr>
    </w:p>
    <w:p w14:paraId="07367313" w14:textId="77777777" w:rsidR="00C02282" w:rsidRPr="006A67B4" w:rsidRDefault="00C02282" w:rsidP="00C02282">
      <w:pPr>
        <w:spacing w:after="0" w:line="240" w:lineRule="auto"/>
        <w:rPr>
          <w:rFonts w:ascii="Arial" w:eastAsia="Calibri" w:hAnsi="Arial" w:cs="Arial"/>
          <w:sz w:val="16"/>
          <w:szCs w:val="16"/>
          <w:highlight w:val="yellow"/>
        </w:rPr>
      </w:pPr>
    </w:p>
    <w:p w14:paraId="4EE9454A" w14:textId="157866B4" w:rsidR="00C02282" w:rsidRPr="007B73C3" w:rsidRDefault="00C02282" w:rsidP="00C02282">
      <w:pPr>
        <w:pStyle w:val="Descripcin"/>
        <w:keepNext/>
        <w:jc w:val="center"/>
      </w:pPr>
      <w:bookmarkStart w:id="265" w:name="_Toc525652433"/>
      <w:r w:rsidRPr="007B73C3">
        <w:t xml:space="preserve">Gráfica </w:t>
      </w:r>
      <w:r w:rsidR="00B6251B">
        <w:fldChar w:fldCharType="begin"/>
      </w:r>
      <w:r w:rsidR="00B6251B">
        <w:instrText xml:space="preserve"> SEQ Gráfica \* ARABIC </w:instrText>
      </w:r>
      <w:r w:rsidR="00B6251B">
        <w:fldChar w:fldCharType="separate"/>
      </w:r>
      <w:r w:rsidR="00B6251B">
        <w:rPr>
          <w:noProof/>
        </w:rPr>
        <w:t>20</w:t>
      </w:r>
      <w:r w:rsidR="00B6251B">
        <w:fldChar w:fldCharType="end"/>
      </w:r>
      <w:r w:rsidR="007B73C3" w:rsidRPr="007B73C3">
        <w:t xml:space="preserve"> </w:t>
      </w:r>
      <w:r w:rsidRPr="007B73C3">
        <w:t>Distribución Presupuesto de la entidad - vigencia 2018</w:t>
      </w:r>
      <w:bookmarkEnd w:id="265"/>
    </w:p>
    <w:p w14:paraId="66141A39" w14:textId="4BB6B01E" w:rsidR="00C02282" w:rsidRPr="006A67B4" w:rsidRDefault="007B73C3" w:rsidP="00C02282">
      <w:pPr>
        <w:spacing w:after="0" w:line="240" w:lineRule="auto"/>
        <w:jc w:val="center"/>
        <w:rPr>
          <w:rFonts w:ascii="Arial" w:eastAsia="Calibri" w:hAnsi="Arial" w:cs="Arial"/>
          <w:sz w:val="16"/>
          <w:szCs w:val="16"/>
          <w:highlight w:val="yellow"/>
        </w:rPr>
      </w:pPr>
      <w:r w:rsidRPr="00105F7F">
        <w:rPr>
          <w:rFonts w:ascii="Arial" w:hAnsi="Arial" w:cs="Arial"/>
          <w:noProof/>
          <w:lang w:eastAsia="es-CO"/>
        </w:rPr>
        <w:drawing>
          <wp:inline distT="0" distB="0" distL="0" distR="0" wp14:anchorId="3A8F4358" wp14:editId="251755A5">
            <wp:extent cx="4448175" cy="30003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C3EDD97" w14:textId="77777777" w:rsidR="00C02282" w:rsidRPr="007B73C3" w:rsidRDefault="00C02282" w:rsidP="00C02282">
      <w:pPr>
        <w:spacing w:after="0" w:line="240" w:lineRule="auto"/>
        <w:jc w:val="center"/>
        <w:rPr>
          <w:rFonts w:ascii="Arial" w:eastAsia="Calibri" w:hAnsi="Arial" w:cs="Arial"/>
          <w:sz w:val="16"/>
          <w:szCs w:val="16"/>
        </w:rPr>
      </w:pPr>
      <w:r w:rsidRPr="007B73C3">
        <w:rPr>
          <w:rFonts w:ascii="Arial" w:eastAsia="Calibri" w:hAnsi="Arial" w:cs="Arial"/>
          <w:sz w:val="16"/>
          <w:szCs w:val="16"/>
        </w:rPr>
        <w:t>Millones de Pesos</w:t>
      </w:r>
    </w:p>
    <w:p w14:paraId="02C7BE61" w14:textId="77777777" w:rsidR="00C02282" w:rsidRPr="007B73C3" w:rsidRDefault="00C02282" w:rsidP="00C02282">
      <w:pPr>
        <w:spacing w:after="0" w:line="240" w:lineRule="auto"/>
        <w:jc w:val="center"/>
        <w:rPr>
          <w:rFonts w:ascii="Arial" w:eastAsia="Calibri" w:hAnsi="Arial" w:cs="Arial"/>
          <w:sz w:val="16"/>
          <w:szCs w:val="16"/>
        </w:rPr>
      </w:pPr>
      <w:r w:rsidRPr="007B73C3">
        <w:rPr>
          <w:rFonts w:ascii="Arial" w:eastAsia="Calibri" w:hAnsi="Arial" w:cs="Arial"/>
          <w:sz w:val="16"/>
          <w:szCs w:val="16"/>
        </w:rPr>
        <w:t>Fuente: SIIF Nación –CREG</w:t>
      </w:r>
    </w:p>
    <w:p w14:paraId="43DF3E85" w14:textId="77777777" w:rsidR="00C02282" w:rsidRPr="006A67B4" w:rsidRDefault="00C02282" w:rsidP="00C02282">
      <w:pPr>
        <w:spacing w:after="0" w:line="240" w:lineRule="auto"/>
        <w:jc w:val="center"/>
        <w:rPr>
          <w:rFonts w:ascii="Arial" w:eastAsia="Calibri" w:hAnsi="Arial" w:cs="Arial"/>
          <w:sz w:val="16"/>
          <w:szCs w:val="16"/>
          <w:highlight w:val="yellow"/>
        </w:rPr>
      </w:pPr>
    </w:p>
    <w:p w14:paraId="666E3F65" w14:textId="77777777" w:rsidR="00C02282" w:rsidRPr="007B73C3" w:rsidRDefault="00C02282" w:rsidP="00C02282">
      <w:pPr>
        <w:pStyle w:val="Descripcin"/>
        <w:keepNext/>
        <w:jc w:val="center"/>
      </w:pPr>
      <w:bookmarkStart w:id="266" w:name="_Toc525652563"/>
      <w:r w:rsidRPr="007B73C3">
        <w:t xml:space="preserve">Tabla </w:t>
      </w:r>
      <w:r w:rsidRPr="007B73C3">
        <w:fldChar w:fldCharType="begin"/>
      </w:r>
      <w:r w:rsidRPr="007B73C3">
        <w:instrText xml:space="preserve"> SEQ Tabla \* ARABIC </w:instrText>
      </w:r>
      <w:r w:rsidRPr="007B73C3">
        <w:fldChar w:fldCharType="separate"/>
      </w:r>
      <w:r w:rsidR="008B4625">
        <w:rPr>
          <w:noProof/>
        </w:rPr>
        <w:t>118</w:t>
      </w:r>
      <w:r w:rsidRPr="007B73C3">
        <w:fldChar w:fldCharType="end"/>
      </w:r>
      <w:r w:rsidRPr="007B73C3">
        <w:t xml:space="preserve"> Distribución Gastos de Funcionamiento e Inversión - vigencia 2018 CREG</w:t>
      </w:r>
      <w:bookmarkEnd w:id="266"/>
    </w:p>
    <w:tbl>
      <w:tblPr>
        <w:tblW w:w="5812" w:type="dxa"/>
        <w:tblInd w:w="1838" w:type="dxa"/>
        <w:tblCellMar>
          <w:left w:w="70" w:type="dxa"/>
          <w:right w:w="70" w:type="dxa"/>
        </w:tblCellMar>
        <w:tblLook w:val="04A0" w:firstRow="1" w:lastRow="0" w:firstColumn="1" w:lastColumn="0" w:noHBand="0" w:noVBand="1"/>
      </w:tblPr>
      <w:tblGrid>
        <w:gridCol w:w="2921"/>
        <w:gridCol w:w="1560"/>
        <w:gridCol w:w="1331"/>
      </w:tblGrid>
      <w:tr w:rsidR="007B73C3" w:rsidRPr="007B73C3" w14:paraId="37B220A1" w14:textId="77777777" w:rsidTr="00CE0467">
        <w:trPr>
          <w:trHeight w:val="300"/>
        </w:trPr>
        <w:tc>
          <w:tcPr>
            <w:tcW w:w="2921" w:type="dxa"/>
            <w:tcBorders>
              <w:top w:val="single" w:sz="4" w:space="0" w:color="auto"/>
              <w:left w:val="single" w:sz="4" w:space="0" w:color="auto"/>
              <w:bottom w:val="single" w:sz="4" w:space="0" w:color="auto"/>
              <w:right w:val="single" w:sz="4" w:space="0" w:color="auto"/>
            </w:tcBorders>
            <w:shd w:val="clear" w:color="000000" w:fill="16365C"/>
            <w:noWrap/>
            <w:vAlign w:val="bottom"/>
            <w:hideMark/>
          </w:tcPr>
          <w:p w14:paraId="60DB8206"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 xml:space="preserve">CONCEPTO </w:t>
            </w:r>
          </w:p>
        </w:tc>
        <w:tc>
          <w:tcPr>
            <w:tcW w:w="1560" w:type="dxa"/>
            <w:tcBorders>
              <w:top w:val="single" w:sz="4" w:space="0" w:color="auto"/>
              <w:left w:val="nil"/>
              <w:bottom w:val="single" w:sz="4" w:space="0" w:color="auto"/>
              <w:right w:val="single" w:sz="4" w:space="0" w:color="auto"/>
            </w:tcBorders>
            <w:shd w:val="clear" w:color="000000" w:fill="16365C"/>
            <w:noWrap/>
            <w:vAlign w:val="bottom"/>
            <w:hideMark/>
          </w:tcPr>
          <w:p w14:paraId="60181D15"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 xml:space="preserve">TOTAL RECURSOS </w:t>
            </w:r>
          </w:p>
        </w:tc>
        <w:tc>
          <w:tcPr>
            <w:tcW w:w="1331" w:type="dxa"/>
            <w:tcBorders>
              <w:top w:val="single" w:sz="4" w:space="0" w:color="auto"/>
              <w:left w:val="nil"/>
              <w:bottom w:val="single" w:sz="4" w:space="0" w:color="auto"/>
              <w:right w:val="single" w:sz="4" w:space="0" w:color="auto"/>
            </w:tcBorders>
            <w:shd w:val="clear" w:color="000000" w:fill="16365C"/>
            <w:noWrap/>
            <w:vAlign w:val="bottom"/>
            <w:hideMark/>
          </w:tcPr>
          <w:p w14:paraId="1820A6F7"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 Participación</w:t>
            </w:r>
          </w:p>
        </w:tc>
      </w:tr>
      <w:tr w:rsidR="007B73C3" w:rsidRPr="007B73C3" w14:paraId="6BD6CB04" w14:textId="77777777" w:rsidTr="00CE0467">
        <w:trPr>
          <w:trHeight w:val="300"/>
        </w:trPr>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479AA498"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GASTOS DE FUNCIONAMIENTO </w:t>
            </w:r>
          </w:p>
        </w:tc>
        <w:tc>
          <w:tcPr>
            <w:tcW w:w="1560" w:type="dxa"/>
            <w:tcBorders>
              <w:top w:val="nil"/>
              <w:left w:val="nil"/>
              <w:bottom w:val="single" w:sz="4" w:space="0" w:color="auto"/>
              <w:right w:val="single" w:sz="4" w:space="0" w:color="auto"/>
            </w:tcBorders>
            <w:shd w:val="clear" w:color="auto" w:fill="auto"/>
            <w:noWrap/>
            <w:vAlign w:val="bottom"/>
            <w:hideMark/>
          </w:tcPr>
          <w:p w14:paraId="12A92879"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                     21.778 </w:t>
            </w:r>
          </w:p>
        </w:tc>
        <w:tc>
          <w:tcPr>
            <w:tcW w:w="1331" w:type="dxa"/>
            <w:tcBorders>
              <w:top w:val="nil"/>
              <w:left w:val="nil"/>
              <w:bottom w:val="single" w:sz="4" w:space="0" w:color="auto"/>
              <w:right w:val="single" w:sz="4" w:space="0" w:color="auto"/>
            </w:tcBorders>
            <w:shd w:val="clear" w:color="auto" w:fill="auto"/>
            <w:noWrap/>
            <w:vAlign w:val="bottom"/>
            <w:hideMark/>
          </w:tcPr>
          <w:p w14:paraId="7E8267D8" w14:textId="77777777" w:rsidR="007B73C3" w:rsidRPr="007B73C3" w:rsidRDefault="007B73C3" w:rsidP="00CE0467">
            <w:pPr>
              <w:spacing w:after="0" w:line="240" w:lineRule="auto"/>
              <w:jc w:val="center"/>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75%</w:t>
            </w:r>
          </w:p>
        </w:tc>
      </w:tr>
      <w:tr w:rsidR="007B73C3" w:rsidRPr="007B73C3" w14:paraId="2A3506DB" w14:textId="77777777" w:rsidTr="00CE0467">
        <w:trPr>
          <w:trHeight w:val="300"/>
        </w:trPr>
        <w:tc>
          <w:tcPr>
            <w:tcW w:w="2921" w:type="dxa"/>
            <w:tcBorders>
              <w:top w:val="nil"/>
              <w:left w:val="single" w:sz="4" w:space="0" w:color="auto"/>
              <w:bottom w:val="single" w:sz="4" w:space="0" w:color="auto"/>
              <w:right w:val="single" w:sz="4" w:space="0" w:color="auto"/>
            </w:tcBorders>
            <w:shd w:val="clear" w:color="auto" w:fill="auto"/>
            <w:noWrap/>
            <w:vAlign w:val="bottom"/>
            <w:hideMark/>
          </w:tcPr>
          <w:p w14:paraId="2A375AE8"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INVERSION </w:t>
            </w:r>
          </w:p>
        </w:tc>
        <w:tc>
          <w:tcPr>
            <w:tcW w:w="1560" w:type="dxa"/>
            <w:tcBorders>
              <w:top w:val="nil"/>
              <w:left w:val="nil"/>
              <w:bottom w:val="single" w:sz="4" w:space="0" w:color="auto"/>
              <w:right w:val="single" w:sz="4" w:space="0" w:color="auto"/>
            </w:tcBorders>
            <w:shd w:val="clear" w:color="auto" w:fill="auto"/>
            <w:noWrap/>
            <w:vAlign w:val="bottom"/>
            <w:hideMark/>
          </w:tcPr>
          <w:p w14:paraId="28A732E6"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                       7.449 </w:t>
            </w:r>
          </w:p>
        </w:tc>
        <w:tc>
          <w:tcPr>
            <w:tcW w:w="1331" w:type="dxa"/>
            <w:tcBorders>
              <w:top w:val="nil"/>
              <w:left w:val="nil"/>
              <w:bottom w:val="single" w:sz="4" w:space="0" w:color="auto"/>
              <w:right w:val="single" w:sz="4" w:space="0" w:color="auto"/>
            </w:tcBorders>
            <w:shd w:val="clear" w:color="auto" w:fill="auto"/>
            <w:noWrap/>
            <w:vAlign w:val="bottom"/>
            <w:hideMark/>
          </w:tcPr>
          <w:p w14:paraId="3158795F" w14:textId="77777777" w:rsidR="007B73C3" w:rsidRPr="007B73C3" w:rsidRDefault="007B73C3" w:rsidP="00CE0467">
            <w:pPr>
              <w:spacing w:after="0" w:line="240" w:lineRule="auto"/>
              <w:jc w:val="center"/>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25%</w:t>
            </w:r>
          </w:p>
        </w:tc>
      </w:tr>
      <w:tr w:rsidR="007B73C3" w:rsidRPr="007B73C3" w14:paraId="67C14F08" w14:textId="77777777" w:rsidTr="00CE0467">
        <w:trPr>
          <w:trHeight w:val="300"/>
        </w:trPr>
        <w:tc>
          <w:tcPr>
            <w:tcW w:w="2921" w:type="dxa"/>
            <w:tcBorders>
              <w:top w:val="nil"/>
              <w:left w:val="single" w:sz="4" w:space="0" w:color="auto"/>
              <w:bottom w:val="single" w:sz="4" w:space="0" w:color="auto"/>
              <w:right w:val="single" w:sz="4" w:space="0" w:color="auto"/>
            </w:tcBorders>
            <w:shd w:val="clear" w:color="000000" w:fill="16365C"/>
            <w:noWrap/>
            <w:vAlign w:val="center"/>
            <w:hideMark/>
          </w:tcPr>
          <w:p w14:paraId="4F54D520"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 xml:space="preserve">TOTAL PRESUPUESTO </w:t>
            </w:r>
          </w:p>
        </w:tc>
        <w:tc>
          <w:tcPr>
            <w:tcW w:w="1560" w:type="dxa"/>
            <w:tcBorders>
              <w:top w:val="nil"/>
              <w:left w:val="nil"/>
              <w:bottom w:val="single" w:sz="4" w:space="0" w:color="auto"/>
              <w:right w:val="single" w:sz="4" w:space="0" w:color="auto"/>
            </w:tcBorders>
            <w:shd w:val="clear" w:color="000000" w:fill="16365C"/>
            <w:vAlign w:val="center"/>
            <w:hideMark/>
          </w:tcPr>
          <w:p w14:paraId="0481171A" w14:textId="77777777" w:rsidR="007B73C3" w:rsidRPr="007B73C3" w:rsidRDefault="007B73C3" w:rsidP="00CE0467">
            <w:pPr>
              <w:spacing w:after="0" w:line="240" w:lineRule="auto"/>
              <w:jc w:val="right"/>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29.227</w:t>
            </w:r>
          </w:p>
        </w:tc>
        <w:tc>
          <w:tcPr>
            <w:tcW w:w="1331" w:type="dxa"/>
            <w:tcBorders>
              <w:top w:val="nil"/>
              <w:left w:val="nil"/>
              <w:bottom w:val="single" w:sz="4" w:space="0" w:color="auto"/>
              <w:right w:val="single" w:sz="4" w:space="0" w:color="auto"/>
            </w:tcBorders>
            <w:shd w:val="clear" w:color="000000" w:fill="16365C"/>
            <w:noWrap/>
            <w:vAlign w:val="center"/>
            <w:hideMark/>
          </w:tcPr>
          <w:p w14:paraId="675FF831"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100%</w:t>
            </w:r>
          </w:p>
        </w:tc>
      </w:tr>
    </w:tbl>
    <w:p w14:paraId="12C0A634" w14:textId="77777777" w:rsidR="00C02282" w:rsidRPr="007B73C3" w:rsidRDefault="00C02282" w:rsidP="00C02282">
      <w:pPr>
        <w:spacing w:after="0" w:line="240" w:lineRule="auto"/>
        <w:jc w:val="center"/>
        <w:rPr>
          <w:rFonts w:ascii="Arial" w:eastAsia="Calibri" w:hAnsi="Arial" w:cs="Arial"/>
          <w:sz w:val="16"/>
          <w:szCs w:val="16"/>
        </w:rPr>
      </w:pPr>
      <w:r w:rsidRPr="007B73C3">
        <w:rPr>
          <w:rFonts w:ascii="Arial" w:eastAsia="Calibri" w:hAnsi="Arial" w:cs="Arial"/>
          <w:sz w:val="16"/>
          <w:szCs w:val="16"/>
        </w:rPr>
        <w:t>Millones de Pesos</w:t>
      </w:r>
    </w:p>
    <w:p w14:paraId="03B4C361" w14:textId="77777777" w:rsidR="00C02282" w:rsidRPr="007B73C3" w:rsidRDefault="00C02282" w:rsidP="00C02282">
      <w:pPr>
        <w:spacing w:after="0" w:line="240" w:lineRule="auto"/>
        <w:jc w:val="center"/>
        <w:rPr>
          <w:rFonts w:ascii="Arial" w:eastAsia="Calibri" w:hAnsi="Arial" w:cs="Arial"/>
          <w:sz w:val="16"/>
          <w:szCs w:val="16"/>
        </w:rPr>
      </w:pPr>
      <w:r w:rsidRPr="007B73C3">
        <w:rPr>
          <w:rFonts w:ascii="Arial" w:eastAsia="Calibri" w:hAnsi="Arial" w:cs="Arial"/>
          <w:sz w:val="16"/>
          <w:szCs w:val="16"/>
        </w:rPr>
        <w:t>Fuente: SIIF Nación –CREG</w:t>
      </w:r>
    </w:p>
    <w:p w14:paraId="48B81357" w14:textId="77777777" w:rsidR="00C02282" w:rsidRPr="006A67B4" w:rsidRDefault="00C02282" w:rsidP="00C02282">
      <w:pPr>
        <w:spacing w:after="0" w:line="240" w:lineRule="auto"/>
        <w:jc w:val="both"/>
        <w:rPr>
          <w:rFonts w:ascii="Arial" w:hAnsi="Arial" w:cs="Arial"/>
          <w:highlight w:val="yellow"/>
          <w:lang w:eastAsia="es-ES"/>
        </w:rPr>
      </w:pPr>
    </w:p>
    <w:p w14:paraId="58CAC5CC" w14:textId="77777777" w:rsidR="00C02282" w:rsidRPr="006A67B4" w:rsidRDefault="00C02282" w:rsidP="00C02282">
      <w:pPr>
        <w:spacing w:after="0" w:line="240" w:lineRule="auto"/>
        <w:jc w:val="both"/>
        <w:rPr>
          <w:rFonts w:ascii="Arial" w:hAnsi="Arial" w:cs="Arial"/>
          <w:highlight w:val="yellow"/>
          <w:lang w:eastAsia="es-ES"/>
        </w:rPr>
      </w:pPr>
    </w:p>
    <w:p w14:paraId="7613111A" w14:textId="77777777" w:rsidR="00C02282" w:rsidRPr="007B73C3" w:rsidRDefault="00C02282" w:rsidP="00C02282">
      <w:pPr>
        <w:spacing w:after="0" w:line="240" w:lineRule="auto"/>
        <w:jc w:val="both"/>
        <w:rPr>
          <w:rFonts w:ascii="Arial" w:hAnsi="Arial" w:cs="Arial"/>
          <w:b/>
          <w:lang w:eastAsia="es-ES"/>
        </w:rPr>
      </w:pPr>
      <w:r w:rsidRPr="007B73C3">
        <w:rPr>
          <w:rFonts w:ascii="Arial" w:hAnsi="Arial" w:cs="Arial"/>
          <w:b/>
          <w:lang w:eastAsia="es-ES"/>
        </w:rPr>
        <w:lastRenderedPageBreak/>
        <w:t>Actos administrativos</w:t>
      </w:r>
    </w:p>
    <w:p w14:paraId="54840529" w14:textId="77777777" w:rsidR="00C02282" w:rsidRPr="007B73C3" w:rsidRDefault="00C02282" w:rsidP="00C02282">
      <w:pPr>
        <w:spacing w:after="0" w:line="240" w:lineRule="auto"/>
        <w:jc w:val="both"/>
        <w:rPr>
          <w:rFonts w:ascii="Arial" w:hAnsi="Arial" w:cs="Arial"/>
          <w:lang w:eastAsia="es-ES"/>
        </w:rPr>
      </w:pPr>
    </w:p>
    <w:p w14:paraId="67C6D354" w14:textId="77777777" w:rsidR="00C02282" w:rsidRPr="007B73C3" w:rsidRDefault="00C02282" w:rsidP="00C02282">
      <w:pPr>
        <w:spacing w:after="0" w:line="240" w:lineRule="auto"/>
        <w:jc w:val="both"/>
        <w:rPr>
          <w:rFonts w:ascii="Arial" w:hAnsi="Arial" w:cs="Arial"/>
          <w:lang w:eastAsia="es-ES"/>
        </w:rPr>
      </w:pPr>
      <w:r w:rsidRPr="007B73C3">
        <w:rPr>
          <w:rFonts w:ascii="Arial" w:hAnsi="Arial" w:cs="Arial"/>
          <w:lang w:eastAsia="es-ES"/>
        </w:rPr>
        <w:t>A nivel nacional, el PGN – Presupuesto General de la Nación para la vigencia 2018, se fijó mediante la Ley No. 1873 de diciembre 20 de 2017 (Por la cual se decreta el Presupuesto de Rentas y Recursos de Capital y Ley de Apropiaciones para la vigencia fiscal del 1 de enero al 31 de diciembre de 2018).</w:t>
      </w:r>
    </w:p>
    <w:p w14:paraId="51A62AC3" w14:textId="77777777" w:rsidR="00C02282" w:rsidRPr="007B73C3" w:rsidRDefault="00C02282" w:rsidP="00C02282">
      <w:pPr>
        <w:spacing w:after="0" w:line="240" w:lineRule="auto"/>
        <w:jc w:val="both"/>
        <w:rPr>
          <w:rFonts w:ascii="Arial" w:hAnsi="Arial" w:cs="Arial"/>
          <w:lang w:eastAsia="es-ES"/>
        </w:rPr>
      </w:pPr>
    </w:p>
    <w:p w14:paraId="6EC34E3C" w14:textId="77777777" w:rsidR="00C02282" w:rsidRPr="007B73C3" w:rsidRDefault="00C02282" w:rsidP="00C02282">
      <w:pPr>
        <w:spacing w:after="0" w:line="240" w:lineRule="auto"/>
        <w:jc w:val="both"/>
        <w:rPr>
          <w:rFonts w:ascii="Arial" w:hAnsi="Arial" w:cs="Arial"/>
          <w:lang w:eastAsia="es-ES"/>
        </w:rPr>
      </w:pPr>
      <w:r w:rsidRPr="007B73C3">
        <w:rPr>
          <w:rFonts w:ascii="Arial" w:hAnsi="Arial" w:cs="Arial"/>
          <w:lang w:eastAsia="es-ES"/>
        </w:rPr>
        <w:t>A nivel de unidades ejecutoras, se liquida en el anexo del Decreto 2236 del 20 de diciembre de 2017. (Por el cual se liquida el Presupuesto General de la Nación para la vigencia fiscal de 2018, se detallan las apropiaciones y se clasifican y definen los gastos).</w:t>
      </w:r>
    </w:p>
    <w:p w14:paraId="559D3401" w14:textId="77777777" w:rsidR="00C02282" w:rsidRPr="006A67B4" w:rsidRDefault="00C02282" w:rsidP="00C02282">
      <w:pPr>
        <w:spacing w:after="0" w:line="240" w:lineRule="auto"/>
        <w:jc w:val="both"/>
        <w:rPr>
          <w:rFonts w:ascii="Arial" w:hAnsi="Arial" w:cs="Arial"/>
          <w:highlight w:val="yellow"/>
          <w:lang w:eastAsia="es-ES"/>
        </w:rPr>
      </w:pPr>
    </w:p>
    <w:p w14:paraId="71ECE18F" w14:textId="77777777" w:rsidR="00C02282" w:rsidRPr="007B73C3" w:rsidRDefault="00C02282" w:rsidP="008B4625">
      <w:pPr>
        <w:pStyle w:val="Ttulo2"/>
        <w:numPr>
          <w:ilvl w:val="1"/>
          <w:numId w:val="35"/>
        </w:numPr>
        <w:spacing w:line="240" w:lineRule="auto"/>
        <w:jc w:val="both"/>
        <w:rPr>
          <w:rFonts w:ascii="Arial" w:eastAsia="Calibri" w:hAnsi="Arial" w:cs="Arial"/>
          <w:color w:val="auto"/>
          <w:sz w:val="22"/>
          <w:szCs w:val="22"/>
        </w:rPr>
      </w:pPr>
      <w:bookmarkStart w:id="267" w:name="_Toc525652076"/>
      <w:r w:rsidRPr="007B73C3">
        <w:rPr>
          <w:rFonts w:ascii="Arial" w:eastAsia="Calibri" w:hAnsi="Arial" w:cs="Arial"/>
          <w:color w:val="auto"/>
          <w:sz w:val="22"/>
          <w:szCs w:val="22"/>
        </w:rPr>
        <w:t>Composición del Presupuesto de Funcionamiento de la CREG</w:t>
      </w:r>
      <w:bookmarkEnd w:id="267"/>
    </w:p>
    <w:p w14:paraId="1566CF35" w14:textId="77777777" w:rsidR="00D41D3A" w:rsidRDefault="00D41D3A" w:rsidP="00C02282">
      <w:pPr>
        <w:spacing w:after="0" w:line="240" w:lineRule="auto"/>
        <w:jc w:val="both"/>
        <w:rPr>
          <w:rFonts w:ascii="Arial" w:eastAsia="Calibri" w:hAnsi="Arial" w:cs="Arial"/>
        </w:rPr>
      </w:pPr>
    </w:p>
    <w:p w14:paraId="444AA836" w14:textId="77C68199" w:rsidR="00C02282" w:rsidRPr="007B73C3" w:rsidRDefault="00C02282" w:rsidP="00C02282">
      <w:pPr>
        <w:spacing w:after="0" w:line="240" w:lineRule="auto"/>
        <w:jc w:val="both"/>
        <w:rPr>
          <w:rFonts w:ascii="Arial" w:eastAsia="Calibri" w:hAnsi="Arial" w:cs="Arial"/>
        </w:rPr>
      </w:pPr>
      <w:r w:rsidRPr="007B73C3">
        <w:rPr>
          <w:rFonts w:ascii="Arial" w:eastAsia="Calibri" w:hAnsi="Arial" w:cs="Arial"/>
        </w:rPr>
        <w:t xml:space="preserve">La entidad presenta un presupuesto total para funcionamiento de $21.779 </w:t>
      </w:r>
      <w:proofErr w:type="spellStart"/>
      <w:proofErr w:type="gramStart"/>
      <w:r w:rsidRPr="007B73C3">
        <w:rPr>
          <w:rFonts w:ascii="Arial" w:eastAsia="Calibri" w:hAnsi="Arial" w:cs="Arial"/>
        </w:rPr>
        <w:t>Mlls</w:t>
      </w:r>
      <w:proofErr w:type="spellEnd"/>
      <w:r w:rsidRPr="007B73C3">
        <w:rPr>
          <w:rFonts w:ascii="Arial" w:eastAsia="Calibri" w:hAnsi="Arial" w:cs="Arial"/>
        </w:rPr>
        <w:t>(</w:t>
      </w:r>
      <w:proofErr w:type="gramEnd"/>
      <w:r w:rsidRPr="007B73C3">
        <w:rPr>
          <w:rFonts w:ascii="Arial" w:eastAsia="Calibri" w:hAnsi="Arial" w:cs="Arial"/>
        </w:rPr>
        <w:t>$), distribuido de la siguiente manera:</w:t>
      </w:r>
    </w:p>
    <w:p w14:paraId="7F23FFD2" w14:textId="77777777" w:rsidR="00C02282" w:rsidRPr="007B73C3" w:rsidRDefault="00C02282" w:rsidP="00C02282">
      <w:pPr>
        <w:spacing w:after="0" w:line="240" w:lineRule="auto"/>
        <w:jc w:val="both"/>
        <w:rPr>
          <w:rFonts w:ascii="Arial" w:eastAsia="Calibri" w:hAnsi="Arial" w:cs="Arial"/>
        </w:rPr>
      </w:pPr>
    </w:p>
    <w:p w14:paraId="231A242F" w14:textId="77777777" w:rsidR="00C02282" w:rsidRPr="007B73C3" w:rsidRDefault="00C02282" w:rsidP="00C02282">
      <w:pPr>
        <w:pStyle w:val="Descripcin"/>
        <w:keepNext/>
        <w:jc w:val="center"/>
      </w:pPr>
      <w:bookmarkStart w:id="268" w:name="_Toc525652564"/>
      <w:r w:rsidRPr="007B73C3">
        <w:t xml:space="preserve">Tabla </w:t>
      </w:r>
      <w:r w:rsidRPr="007B73C3">
        <w:fldChar w:fldCharType="begin"/>
      </w:r>
      <w:r w:rsidRPr="007B73C3">
        <w:instrText xml:space="preserve"> SEQ Tabla \* ARABIC </w:instrText>
      </w:r>
      <w:r w:rsidRPr="007B73C3">
        <w:fldChar w:fldCharType="separate"/>
      </w:r>
      <w:r w:rsidR="008B4625">
        <w:rPr>
          <w:noProof/>
        </w:rPr>
        <w:t>119</w:t>
      </w:r>
      <w:r w:rsidRPr="007B73C3">
        <w:fldChar w:fldCharType="end"/>
      </w:r>
      <w:r w:rsidRPr="007B73C3">
        <w:t xml:space="preserve"> Distribución Presupuesto Funcionamiento - vigencia 2018 CREG</w:t>
      </w:r>
      <w:bookmarkEnd w:id="268"/>
    </w:p>
    <w:tbl>
      <w:tblPr>
        <w:tblW w:w="5680" w:type="dxa"/>
        <w:tblInd w:w="1571" w:type="dxa"/>
        <w:tblCellMar>
          <w:left w:w="70" w:type="dxa"/>
          <w:right w:w="70" w:type="dxa"/>
        </w:tblCellMar>
        <w:tblLook w:val="04A0" w:firstRow="1" w:lastRow="0" w:firstColumn="1" w:lastColumn="0" w:noHBand="0" w:noVBand="1"/>
      </w:tblPr>
      <w:tblGrid>
        <w:gridCol w:w="2520"/>
        <w:gridCol w:w="1560"/>
        <w:gridCol w:w="1600"/>
      </w:tblGrid>
      <w:tr w:rsidR="007B73C3" w:rsidRPr="007B73C3" w14:paraId="0B4681B3" w14:textId="77777777" w:rsidTr="00CE0467">
        <w:trPr>
          <w:trHeight w:val="600"/>
        </w:trPr>
        <w:tc>
          <w:tcPr>
            <w:tcW w:w="2520" w:type="dxa"/>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79A45166"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 xml:space="preserve">CONCEPTO </w:t>
            </w:r>
          </w:p>
        </w:tc>
        <w:tc>
          <w:tcPr>
            <w:tcW w:w="1560" w:type="dxa"/>
            <w:tcBorders>
              <w:top w:val="single" w:sz="4" w:space="0" w:color="auto"/>
              <w:left w:val="nil"/>
              <w:bottom w:val="single" w:sz="4" w:space="0" w:color="auto"/>
              <w:right w:val="single" w:sz="4" w:space="0" w:color="auto"/>
            </w:tcBorders>
            <w:shd w:val="clear" w:color="000000" w:fill="16365C"/>
            <w:vAlign w:val="center"/>
            <w:hideMark/>
          </w:tcPr>
          <w:p w14:paraId="2FD3C073"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Apropiación Inicial 2018</w:t>
            </w:r>
          </w:p>
        </w:tc>
        <w:tc>
          <w:tcPr>
            <w:tcW w:w="1600" w:type="dxa"/>
            <w:tcBorders>
              <w:top w:val="single" w:sz="4" w:space="0" w:color="auto"/>
              <w:left w:val="nil"/>
              <w:bottom w:val="single" w:sz="4" w:space="0" w:color="auto"/>
              <w:right w:val="single" w:sz="4" w:space="0" w:color="auto"/>
            </w:tcBorders>
            <w:shd w:val="clear" w:color="000000" w:fill="16365C"/>
            <w:vAlign w:val="center"/>
            <w:hideMark/>
          </w:tcPr>
          <w:p w14:paraId="698AC222"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Apropiación Vigente 2018</w:t>
            </w:r>
          </w:p>
        </w:tc>
      </w:tr>
      <w:tr w:rsidR="007B73C3" w:rsidRPr="007B73C3" w14:paraId="4F4BCCAE" w14:textId="77777777" w:rsidTr="00CE0467">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AEA605C"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Gastos de Personal </w:t>
            </w:r>
          </w:p>
        </w:tc>
        <w:tc>
          <w:tcPr>
            <w:tcW w:w="1560" w:type="dxa"/>
            <w:tcBorders>
              <w:top w:val="nil"/>
              <w:left w:val="nil"/>
              <w:bottom w:val="single" w:sz="4" w:space="0" w:color="auto"/>
              <w:right w:val="single" w:sz="4" w:space="0" w:color="auto"/>
            </w:tcBorders>
            <w:shd w:val="clear" w:color="auto" w:fill="auto"/>
            <w:noWrap/>
            <w:vAlign w:val="bottom"/>
            <w:hideMark/>
          </w:tcPr>
          <w:p w14:paraId="7C7F62F7" w14:textId="77777777" w:rsidR="007B73C3" w:rsidRPr="007B73C3" w:rsidRDefault="007B73C3" w:rsidP="00CE0467">
            <w:pPr>
              <w:spacing w:after="0" w:line="240" w:lineRule="auto"/>
              <w:jc w:val="right"/>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15.603</w:t>
            </w:r>
          </w:p>
        </w:tc>
        <w:tc>
          <w:tcPr>
            <w:tcW w:w="1600" w:type="dxa"/>
            <w:tcBorders>
              <w:top w:val="nil"/>
              <w:left w:val="nil"/>
              <w:bottom w:val="single" w:sz="4" w:space="0" w:color="auto"/>
              <w:right w:val="single" w:sz="4" w:space="0" w:color="auto"/>
            </w:tcBorders>
            <w:shd w:val="clear" w:color="auto" w:fill="auto"/>
            <w:noWrap/>
            <w:vAlign w:val="bottom"/>
            <w:hideMark/>
          </w:tcPr>
          <w:p w14:paraId="3E048AC0" w14:textId="77777777" w:rsidR="007B73C3" w:rsidRPr="007B73C3" w:rsidRDefault="007B73C3" w:rsidP="00CE0467">
            <w:pPr>
              <w:spacing w:after="0" w:line="240" w:lineRule="auto"/>
              <w:jc w:val="right"/>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15.603</w:t>
            </w:r>
          </w:p>
        </w:tc>
      </w:tr>
      <w:tr w:rsidR="007B73C3" w:rsidRPr="007B73C3" w14:paraId="536D9E96" w14:textId="77777777" w:rsidTr="00CE0467">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9F7FC64"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Gastos Generales </w:t>
            </w:r>
          </w:p>
        </w:tc>
        <w:tc>
          <w:tcPr>
            <w:tcW w:w="1560" w:type="dxa"/>
            <w:tcBorders>
              <w:top w:val="nil"/>
              <w:left w:val="nil"/>
              <w:bottom w:val="single" w:sz="4" w:space="0" w:color="auto"/>
              <w:right w:val="single" w:sz="4" w:space="0" w:color="auto"/>
            </w:tcBorders>
            <w:shd w:val="clear" w:color="auto" w:fill="auto"/>
            <w:noWrap/>
            <w:vAlign w:val="bottom"/>
            <w:hideMark/>
          </w:tcPr>
          <w:p w14:paraId="299A3F41" w14:textId="77777777" w:rsidR="007B73C3" w:rsidRPr="007B73C3" w:rsidRDefault="007B73C3" w:rsidP="00CE0467">
            <w:pPr>
              <w:spacing w:after="0" w:line="240" w:lineRule="auto"/>
              <w:jc w:val="right"/>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2.670</w:t>
            </w:r>
          </w:p>
        </w:tc>
        <w:tc>
          <w:tcPr>
            <w:tcW w:w="1600" w:type="dxa"/>
            <w:tcBorders>
              <w:top w:val="nil"/>
              <w:left w:val="nil"/>
              <w:bottom w:val="single" w:sz="4" w:space="0" w:color="auto"/>
              <w:right w:val="single" w:sz="4" w:space="0" w:color="auto"/>
            </w:tcBorders>
            <w:shd w:val="clear" w:color="auto" w:fill="auto"/>
            <w:noWrap/>
            <w:vAlign w:val="bottom"/>
            <w:hideMark/>
          </w:tcPr>
          <w:p w14:paraId="1D795990" w14:textId="77777777" w:rsidR="007B73C3" w:rsidRPr="007B73C3" w:rsidRDefault="007B73C3" w:rsidP="00CE0467">
            <w:pPr>
              <w:spacing w:after="0" w:line="240" w:lineRule="auto"/>
              <w:jc w:val="right"/>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2.670</w:t>
            </w:r>
          </w:p>
        </w:tc>
      </w:tr>
      <w:tr w:rsidR="007B73C3" w:rsidRPr="007B73C3" w14:paraId="643AC677" w14:textId="77777777" w:rsidTr="00CE0467">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F69BFF4" w14:textId="77777777" w:rsidR="007B73C3" w:rsidRPr="007B73C3" w:rsidRDefault="007B73C3" w:rsidP="00CE0467">
            <w:pPr>
              <w:spacing w:after="0" w:line="240" w:lineRule="auto"/>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 xml:space="preserve">Transferencias </w:t>
            </w:r>
          </w:p>
        </w:tc>
        <w:tc>
          <w:tcPr>
            <w:tcW w:w="1560" w:type="dxa"/>
            <w:tcBorders>
              <w:top w:val="nil"/>
              <w:left w:val="nil"/>
              <w:bottom w:val="single" w:sz="4" w:space="0" w:color="auto"/>
              <w:right w:val="single" w:sz="4" w:space="0" w:color="auto"/>
            </w:tcBorders>
            <w:shd w:val="clear" w:color="auto" w:fill="auto"/>
            <w:noWrap/>
            <w:vAlign w:val="bottom"/>
            <w:hideMark/>
          </w:tcPr>
          <w:p w14:paraId="06F5B6DB" w14:textId="77777777" w:rsidR="007B73C3" w:rsidRPr="007B73C3" w:rsidRDefault="007B73C3" w:rsidP="00CE0467">
            <w:pPr>
              <w:spacing w:after="0" w:line="240" w:lineRule="auto"/>
              <w:jc w:val="right"/>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3.506</w:t>
            </w:r>
          </w:p>
        </w:tc>
        <w:tc>
          <w:tcPr>
            <w:tcW w:w="1600" w:type="dxa"/>
            <w:tcBorders>
              <w:top w:val="nil"/>
              <w:left w:val="nil"/>
              <w:bottom w:val="single" w:sz="4" w:space="0" w:color="auto"/>
              <w:right w:val="single" w:sz="4" w:space="0" w:color="auto"/>
            </w:tcBorders>
            <w:shd w:val="clear" w:color="auto" w:fill="auto"/>
            <w:noWrap/>
            <w:vAlign w:val="bottom"/>
            <w:hideMark/>
          </w:tcPr>
          <w:p w14:paraId="1B74A06A" w14:textId="77777777" w:rsidR="007B73C3" w:rsidRPr="007B73C3" w:rsidRDefault="007B73C3" w:rsidP="00CE0467">
            <w:pPr>
              <w:spacing w:after="0" w:line="240" w:lineRule="auto"/>
              <w:jc w:val="right"/>
              <w:rPr>
                <w:rFonts w:ascii="Arial" w:eastAsia="Times New Roman" w:hAnsi="Arial" w:cs="Arial"/>
                <w:b/>
                <w:bCs/>
                <w:sz w:val="18"/>
                <w:szCs w:val="18"/>
                <w:lang w:eastAsia="es-CO"/>
              </w:rPr>
            </w:pPr>
            <w:r w:rsidRPr="007B73C3">
              <w:rPr>
                <w:rFonts w:ascii="Arial" w:eastAsia="Times New Roman" w:hAnsi="Arial" w:cs="Arial"/>
                <w:b/>
                <w:bCs/>
                <w:sz w:val="18"/>
                <w:szCs w:val="18"/>
                <w:lang w:eastAsia="es-CO"/>
              </w:rPr>
              <w:t>3.506</w:t>
            </w:r>
          </w:p>
        </w:tc>
      </w:tr>
      <w:tr w:rsidR="007B73C3" w:rsidRPr="007B73C3" w14:paraId="23345A9D" w14:textId="77777777" w:rsidTr="00CE0467">
        <w:trPr>
          <w:trHeight w:val="300"/>
        </w:trPr>
        <w:tc>
          <w:tcPr>
            <w:tcW w:w="2520" w:type="dxa"/>
            <w:tcBorders>
              <w:top w:val="nil"/>
              <w:left w:val="single" w:sz="4" w:space="0" w:color="auto"/>
              <w:bottom w:val="single" w:sz="4" w:space="0" w:color="auto"/>
              <w:right w:val="single" w:sz="4" w:space="0" w:color="auto"/>
            </w:tcBorders>
            <w:shd w:val="clear" w:color="000000" w:fill="16365C"/>
            <w:noWrap/>
            <w:vAlign w:val="center"/>
            <w:hideMark/>
          </w:tcPr>
          <w:p w14:paraId="3DDCB9C4" w14:textId="77777777" w:rsidR="007B73C3" w:rsidRPr="007B73C3" w:rsidRDefault="007B73C3" w:rsidP="00CE0467">
            <w:pPr>
              <w:spacing w:after="0" w:line="240" w:lineRule="auto"/>
              <w:jc w:val="center"/>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TOTAL PPTO FUNCIONAMIENTO</w:t>
            </w:r>
          </w:p>
        </w:tc>
        <w:tc>
          <w:tcPr>
            <w:tcW w:w="1560" w:type="dxa"/>
            <w:tcBorders>
              <w:top w:val="nil"/>
              <w:left w:val="nil"/>
              <w:bottom w:val="single" w:sz="4" w:space="0" w:color="auto"/>
              <w:right w:val="single" w:sz="4" w:space="0" w:color="auto"/>
            </w:tcBorders>
            <w:shd w:val="clear" w:color="000000" w:fill="16365C"/>
            <w:vAlign w:val="center"/>
            <w:hideMark/>
          </w:tcPr>
          <w:p w14:paraId="57CF7BAE" w14:textId="77777777" w:rsidR="007B73C3" w:rsidRPr="007B73C3" w:rsidRDefault="007B73C3" w:rsidP="00CE0467">
            <w:pPr>
              <w:spacing w:after="0" w:line="240" w:lineRule="auto"/>
              <w:jc w:val="right"/>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21.779</w:t>
            </w:r>
          </w:p>
        </w:tc>
        <w:tc>
          <w:tcPr>
            <w:tcW w:w="1600" w:type="dxa"/>
            <w:tcBorders>
              <w:top w:val="nil"/>
              <w:left w:val="nil"/>
              <w:bottom w:val="single" w:sz="4" w:space="0" w:color="auto"/>
              <w:right w:val="single" w:sz="4" w:space="0" w:color="auto"/>
            </w:tcBorders>
            <w:shd w:val="clear" w:color="000000" w:fill="16365C"/>
            <w:vAlign w:val="center"/>
            <w:hideMark/>
          </w:tcPr>
          <w:p w14:paraId="4DC89621" w14:textId="77777777" w:rsidR="007B73C3" w:rsidRPr="007B73C3" w:rsidRDefault="007B73C3" w:rsidP="00CE0467">
            <w:pPr>
              <w:spacing w:after="0" w:line="240" w:lineRule="auto"/>
              <w:jc w:val="right"/>
              <w:rPr>
                <w:rFonts w:ascii="Arial" w:eastAsia="Times New Roman" w:hAnsi="Arial" w:cs="Arial"/>
                <w:b/>
                <w:bCs/>
                <w:color w:val="FFFFFF"/>
                <w:sz w:val="18"/>
                <w:szCs w:val="18"/>
                <w:lang w:eastAsia="es-CO"/>
              </w:rPr>
            </w:pPr>
            <w:r w:rsidRPr="007B73C3">
              <w:rPr>
                <w:rFonts w:ascii="Arial" w:eastAsia="Times New Roman" w:hAnsi="Arial" w:cs="Arial"/>
                <w:b/>
                <w:bCs/>
                <w:color w:val="FFFFFF"/>
                <w:sz w:val="18"/>
                <w:szCs w:val="18"/>
                <w:lang w:eastAsia="es-CO"/>
              </w:rPr>
              <w:t>21.779</w:t>
            </w:r>
          </w:p>
        </w:tc>
      </w:tr>
    </w:tbl>
    <w:p w14:paraId="0BEE55CA" w14:textId="77777777" w:rsidR="00C02282" w:rsidRPr="007B73C3" w:rsidRDefault="00C02282" w:rsidP="00C02282">
      <w:pPr>
        <w:spacing w:after="0" w:line="240" w:lineRule="auto"/>
        <w:jc w:val="center"/>
        <w:rPr>
          <w:rFonts w:ascii="Arial" w:eastAsia="Calibri" w:hAnsi="Arial" w:cs="Arial"/>
          <w:sz w:val="16"/>
          <w:szCs w:val="16"/>
        </w:rPr>
      </w:pPr>
      <w:r w:rsidRPr="007B73C3">
        <w:rPr>
          <w:rFonts w:ascii="Arial" w:eastAsia="Calibri" w:hAnsi="Arial" w:cs="Arial"/>
          <w:sz w:val="16"/>
          <w:szCs w:val="16"/>
        </w:rPr>
        <w:t>Millones de Pesos</w:t>
      </w:r>
    </w:p>
    <w:p w14:paraId="515DD896" w14:textId="77777777" w:rsidR="00C02282" w:rsidRPr="007B73C3" w:rsidRDefault="00C02282" w:rsidP="00C02282">
      <w:pPr>
        <w:spacing w:after="0" w:line="240" w:lineRule="auto"/>
        <w:jc w:val="center"/>
        <w:rPr>
          <w:rFonts w:ascii="Arial" w:eastAsia="Calibri" w:hAnsi="Arial" w:cs="Arial"/>
          <w:sz w:val="16"/>
          <w:szCs w:val="16"/>
        </w:rPr>
      </w:pPr>
      <w:r w:rsidRPr="007B73C3">
        <w:rPr>
          <w:rFonts w:ascii="Arial" w:eastAsia="Calibri" w:hAnsi="Arial" w:cs="Arial"/>
          <w:sz w:val="16"/>
          <w:szCs w:val="16"/>
        </w:rPr>
        <w:t>Fuente: SIIF Nación –CREG</w:t>
      </w:r>
    </w:p>
    <w:p w14:paraId="184AC0CC" w14:textId="38D4EA96" w:rsidR="00C02282" w:rsidRDefault="00C02282" w:rsidP="00C02282">
      <w:pPr>
        <w:spacing w:after="0" w:line="240" w:lineRule="auto"/>
        <w:rPr>
          <w:rFonts w:ascii="Arial" w:eastAsia="Calibri" w:hAnsi="Arial" w:cs="Arial"/>
          <w:sz w:val="16"/>
          <w:szCs w:val="16"/>
          <w:highlight w:val="yellow"/>
        </w:rPr>
      </w:pPr>
    </w:p>
    <w:p w14:paraId="06D2FE79" w14:textId="77777777" w:rsidR="00C02282" w:rsidRPr="007B73C3" w:rsidRDefault="00C02282" w:rsidP="008B4625">
      <w:pPr>
        <w:pStyle w:val="Ttulo2"/>
        <w:numPr>
          <w:ilvl w:val="1"/>
          <w:numId w:val="35"/>
        </w:numPr>
        <w:rPr>
          <w:rFonts w:ascii="Arial" w:eastAsia="Calibri" w:hAnsi="Arial" w:cs="Arial"/>
          <w:color w:val="auto"/>
          <w:sz w:val="22"/>
          <w:szCs w:val="22"/>
        </w:rPr>
      </w:pPr>
      <w:bookmarkStart w:id="269" w:name="_Toc525652077"/>
      <w:r w:rsidRPr="007B73C3">
        <w:rPr>
          <w:rFonts w:ascii="Arial" w:eastAsia="Calibri" w:hAnsi="Arial" w:cs="Arial"/>
          <w:color w:val="auto"/>
          <w:sz w:val="22"/>
          <w:szCs w:val="22"/>
        </w:rPr>
        <w:t>Composición del Presupuesto de Inversión de la CREG</w:t>
      </w:r>
      <w:bookmarkEnd w:id="269"/>
    </w:p>
    <w:p w14:paraId="67790973" w14:textId="77777777" w:rsidR="00C02282" w:rsidRPr="007B73C3" w:rsidRDefault="00C02282" w:rsidP="00C02282">
      <w:pPr>
        <w:pStyle w:val="Prrafodelista"/>
        <w:spacing w:after="0" w:line="240" w:lineRule="auto"/>
        <w:ind w:left="709"/>
        <w:jc w:val="both"/>
        <w:rPr>
          <w:rFonts w:eastAsia="Calibri" w:cs="Arial"/>
        </w:rPr>
      </w:pPr>
    </w:p>
    <w:p w14:paraId="296C6209" w14:textId="77777777" w:rsidR="00C02282" w:rsidRPr="007B73C3" w:rsidRDefault="00C02282" w:rsidP="00C02282">
      <w:pPr>
        <w:spacing w:after="0" w:line="240" w:lineRule="auto"/>
        <w:ind w:left="708"/>
        <w:jc w:val="both"/>
        <w:rPr>
          <w:rFonts w:ascii="Arial" w:eastAsia="Calibri" w:hAnsi="Arial" w:cs="Arial"/>
        </w:rPr>
      </w:pPr>
      <w:r w:rsidRPr="007B73C3">
        <w:rPr>
          <w:rFonts w:ascii="Arial" w:eastAsia="Calibri" w:hAnsi="Arial" w:cs="Arial"/>
        </w:rPr>
        <w:t xml:space="preserve">La entidad cuenta con un presupuesto total para inversión de $7.449 </w:t>
      </w:r>
      <w:proofErr w:type="spellStart"/>
      <w:r w:rsidRPr="007B73C3">
        <w:rPr>
          <w:rFonts w:ascii="Arial" w:eastAsia="Calibri" w:hAnsi="Arial" w:cs="Arial"/>
        </w:rPr>
        <w:t>mlls</w:t>
      </w:r>
      <w:proofErr w:type="spellEnd"/>
      <w:r w:rsidRPr="007B73C3">
        <w:rPr>
          <w:rFonts w:ascii="Arial" w:eastAsia="Calibri" w:hAnsi="Arial" w:cs="Arial"/>
        </w:rPr>
        <w:t xml:space="preserve"> ($) distribuido de la siguiente manera:</w:t>
      </w:r>
    </w:p>
    <w:p w14:paraId="3DF9C444" w14:textId="77777777" w:rsidR="00C02282" w:rsidRPr="006A67B4" w:rsidRDefault="00C02282" w:rsidP="00C02282">
      <w:pPr>
        <w:spacing w:after="0" w:line="240" w:lineRule="auto"/>
        <w:rPr>
          <w:rFonts w:ascii="Arial" w:hAnsi="Arial" w:cs="Arial"/>
          <w:sz w:val="16"/>
          <w:szCs w:val="16"/>
          <w:highlight w:val="yellow"/>
          <w:lang w:eastAsia="es-ES"/>
        </w:rPr>
      </w:pPr>
    </w:p>
    <w:p w14:paraId="35499302" w14:textId="77777777" w:rsidR="001C75A2" w:rsidRDefault="00C02282" w:rsidP="007B73C3">
      <w:pPr>
        <w:pStyle w:val="Descripcin"/>
        <w:keepNext/>
        <w:spacing w:after="0"/>
        <w:jc w:val="center"/>
        <w:rPr>
          <w:rFonts w:ascii="Arial" w:hAnsi="Arial" w:cs="Arial"/>
          <w:noProof/>
        </w:rPr>
      </w:pPr>
      <w:bookmarkStart w:id="270" w:name="_Toc525652565"/>
      <w:r w:rsidRPr="007B73C3">
        <w:t xml:space="preserve">Tabla </w:t>
      </w:r>
      <w:r w:rsidRPr="007B73C3">
        <w:fldChar w:fldCharType="begin"/>
      </w:r>
      <w:r w:rsidRPr="007B73C3">
        <w:instrText xml:space="preserve"> SEQ Tabla \* ARABIC </w:instrText>
      </w:r>
      <w:r w:rsidRPr="007B73C3">
        <w:fldChar w:fldCharType="separate"/>
      </w:r>
      <w:r w:rsidR="008B4625">
        <w:rPr>
          <w:noProof/>
        </w:rPr>
        <w:t>120</w:t>
      </w:r>
      <w:r w:rsidRPr="007B73C3">
        <w:fldChar w:fldCharType="end"/>
      </w:r>
      <w:r w:rsidR="007B73C3">
        <w:t xml:space="preserve"> </w:t>
      </w:r>
      <w:r w:rsidRPr="007B73C3">
        <w:t>Distribución Presupuesto de Inversión - vigencia 2018 CREG</w:t>
      </w:r>
      <w:bookmarkEnd w:id="270"/>
    </w:p>
    <w:p w14:paraId="382C2199" w14:textId="77777777" w:rsidR="001C75A2" w:rsidRDefault="001C75A2" w:rsidP="007B73C3">
      <w:pPr>
        <w:pStyle w:val="Descripcin"/>
        <w:keepNext/>
        <w:spacing w:after="0"/>
        <w:jc w:val="center"/>
        <w:rPr>
          <w:rFonts w:ascii="Arial" w:hAnsi="Arial" w:cs="Arial"/>
          <w:noProof/>
        </w:rPr>
      </w:pPr>
    </w:p>
    <w:p w14:paraId="3A7E9EC7" w14:textId="08FE2CC2" w:rsidR="001C75A2" w:rsidRDefault="001C75A2" w:rsidP="001C75A2">
      <w:pPr>
        <w:pStyle w:val="Descripcin"/>
        <w:keepNext/>
        <w:spacing w:after="0"/>
        <w:jc w:val="center"/>
        <w:rPr>
          <w:rFonts w:ascii="Arial" w:hAnsi="Arial" w:cs="Arial"/>
          <w:noProof/>
        </w:rPr>
      </w:pPr>
      <w:r w:rsidRPr="00105F7F">
        <w:rPr>
          <w:rFonts w:ascii="Arial" w:hAnsi="Arial" w:cs="Arial"/>
          <w:noProof/>
          <w:lang w:val="es-CO" w:eastAsia="es-CO"/>
        </w:rPr>
        <w:drawing>
          <wp:inline distT="0" distB="0" distL="0" distR="0" wp14:anchorId="19866FE3" wp14:editId="408B4852">
            <wp:extent cx="3231254" cy="1229991"/>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467" cy="1252531"/>
                    </a:xfrm>
                    <a:prstGeom prst="rect">
                      <a:avLst/>
                    </a:prstGeom>
                    <a:noFill/>
                    <a:ln>
                      <a:noFill/>
                    </a:ln>
                  </pic:spPr>
                </pic:pic>
              </a:graphicData>
            </a:graphic>
          </wp:inline>
        </w:drawing>
      </w:r>
      <w:bookmarkStart w:id="271" w:name="_GoBack"/>
      <w:bookmarkEnd w:id="271"/>
    </w:p>
    <w:p w14:paraId="5C610B88" w14:textId="62998FBD" w:rsidR="007B73C3" w:rsidRPr="007B73C3" w:rsidRDefault="00C02282" w:rsidP="007B73C3">
      <w:pPr>
        <w:pStyle w:val="Descripcin"/>
        <w:keepNext/>
        <w:spacing w:after="0"/>
        <w:jc w:val="center"/>
        <w:rPr>
          <w:rFonts w:ascii="Arial" w:hAnsi="Arial" w:cs="Arial"/>
          <w:i w:val="0"/>
          <w:color w:val="000000" w:themeColor="text1"/>
          <w:sz w:val="16"/>
          <w:szCs w:val="16"/>
        </w:rPr>
      </w:pPr>
      <w:r w:rsidRPr="007B73C3">
        <w:rPr>
          <w:rFonts w:ascii="Arial" w:hAnsi="Arial" w:cs="Arial"/>
          <w:i w:val="0"/>
          <w:color w:val="000000" w:themeColor="text1"/>
          <w:sz w:val="16"/>
          <w:szCs w:val="16"/>
        </w:rPr>
        <w:t>Millones de pesos</w:t>
      </w:r>
    </w:p>
    <w:p w14:paraId="7E27C103" w14:textId="12045599" w:rsidR="00C02282" w:rsidRPr="007B73C3" w:rsidRDefault="00C02282" w:rsidP="007B73C3">
      <w:pPr>
        <w:pStyle w:val="Descripcin"/>
        <w:keepNext/>
        <w:spacing w:after="0"/>
        <w:jc w:val="center"/>
        <w:rPr>
          <w:rFonts w:ascii="Arial" w:hAnsi="Arial" w:cs="Arial"/>
          <w:i w:val="0"/>
          <w:color w:val="000000" w:themeColor="text1"/>
          <w:sz w:val="16"/>
          <w:szCs w:val="16"/>
        </w:rPr>
      </w:pPr>
      <w:r w:rsidRPr="007B73C3">
        <w:rPr>
          <w:rFonts w:ascii="Arial" w:eastAsia="Calibri" w:hAnsi="Arial" w:cs="Arial"/>
          <w:i w:val="0"/>
          <w:color w:val="000000" w:themeColor="text1"/>
          <w:sz w:val="16"/>
          <w:szCs w:val="16"/>
        </w:rPr>
        <w:t xml:space="preserve">Fuente: SIIF Nación CREG. </w:t>
      </w:r>
    </w:p>
    <w:p w14:paraId="562490F7" w14:textId="77777777" w:rsidR="00C02282" w:rsidRPr="006A67B4" w:rsidRDefault="00C02282" w:rsidP="00C02282">
      <w:pPr>
        <w:rPr>
          <w:highlight w:val="yellow"/>
        </w:rPr>
      </w:pPr>
    </w:p>
    <w:p w14:paraId="53DA3DC1" w14:textId="77777777" w:rsidR="00C02282" w:rsidRPr="00CE0467" w:rsidRDefault="00C02282" w:rsidP="008B4625">
      <w:pPr>
        <w:pStyle w:val="Ttulo1"/>
        <w:numPr>
          <w:ilvl w:val="0"/>
          <w:numId w:val="35"/>
        </w:numPr>
        <w:rPr>
          <w:rFonts w:ascii="Arial" w:eastAsia="Arial" w:hAnsi="Arial" w:cs="Arial"/>
          <w:b/>
          <w:color w:val="auto"/>
          <w:sz w:val="22"/>
          <w:szCs w:val="22"/>
          <w:lang w:eastAsia="es-CO"/>
        </w:rPr>
      </w:pPr>
      <w:bookmarkStart w:id="272" w:name="_Toc525652078"/>
      <w:r w:rsidRPr="00CE0467">
        <w:rPr>
          <w:rFonts w:ascii="Arial" w:eastAsia="Arial" w:hAnsi="Arial" w:cs="Arial"/>
          <w:b/>
          <w:color w:val="auto"/>
          <w:sz w:val="22"/>
          <w:szCs w:val="22"/>
          <w:lang w:eastAsia="es-CO"/>
        </w:rPr>
        <w:lastRenderedPageBreak/>
        <w:t>INGRESOS Y GASTOS DE LA CREG</w:t>
      </w:r>
      <w:bookmarkEnd w:id="272"/>
      <w:r w:rsidRPr="00CE0467">
        <w:rPr>
          <w:rFonts w:ascii="Arial" w:eastAsia="Arial" w:hAnsi="Arial" w:cs="Arial"/>
          <w:b/>
          <w:color w:val="auto"/>
          <w:sz w:val="22"/>
          <w:szCs w:val="22"/>
          <w:lang w:eastAsia="es-CO"/>
        </w:rPr>
        <w:t xml:space="preserve"> </w:t>
      </w:r>
    </w:p>
    <w:p w14:paraId="767FEFC6" w14:textId="77777777" w:rsidR="00C02282" w:rsidRPr="00CE0467" w:rsidRDefault="00C02282" w:rsidP="00C02282">
      <w:pPr>
        <w:spacing w:after="0" w:line="240" w:lineRule="auto"/>
        <w:rPr>
          <w:rFonts w:ascii="Arial" w:eastAsia="Calibri" w:hAnsi="Arial" w:cs="Arial"/>
        </w:rPr>
      </w:pPr>
    </w:p>
    <w:p w14:paraId="251E76E4" w14:textId="77777777" w:rsidR="00C02282" w:rsidRPr="00CE0467" w:rsidRDefault="00C02282" w:rsidP="00C02282">
      <w:pPr>
        <w:spacing w:after="0" w:line="240" w:lineRule="auto"/>
        <w:ind w:left="426"/>
        <w:jc w:val="both"/>
        <w:rPr>
          <w:rFonts w:ascii="Arial" w:eastAsia="Calibri" w:hAnsi="Arial" w:cs="Arial"/>
        </w:rPr>
      </w:pPr>
      <w:r w:rsidRPr="00CE0467">
        <w:rPr>
          <w:rFonts w:ascii="Arial" w:eastAsia="Calibri" w:hAnsi="Arial" w:cs="Arial"/>
        </w:rPr>
        <w:t>Las rentas del PGN, corresponden a los recaudos realizados por:</w:t>
      </w:r>
    </w:p>
    <w:p w14:paraId="1CC3DB54" w14:textId="77777777" w:rsidR="00C02282" w:rsidRPr="00CE0467" w:rsidRDefault="00C02282" w:rsidP="00C02282">
      <w:pPr>
        <w:spacing w:after="0" w:line="240" w:lineRule="auto"/>
        <w:ind w:left="426"/>
        <w:jc w:val="both"/>
        <w:rPr>
          <w:rFonts w:ascii="Arial" w:eastAsia="Calibri" w:hAnsi="Arial" w:cs="Arial"/>
        </w:rPr>
      </w:pPr>
    </w:p>
    <w:p w14:paraId="20C1D878" w14:textId="77777777" w:rsidR="00C02282" w:rsidRPr="00CE0467" w:rsidRDefault="00C02282" w:rsidP="00055F7C">
      <w:pPr>
        <w:pStyle w:val="Prrafodelista"/>
        <w:numPr>
          <w:ilvl w:val="0"/>
          <w:numId w:val="20"/>
        </w:numPr>
        <w:spacing w:after="0" w:line="240" w:lineRule="auto"/>
        <w:ind w:left="1146"/>
        <w:jc w:val="both"/>
        <w:rPr>
          <w:rFonts w:eastAsia="Calibri" w:cs="Arial"/>
        </w:rPr>
      </w:pPr>
      <w:r w:rsidRPr="00CE0467">
        <w:rPr>
          <w:rFonts w:eastAsia="Calibri" w:cs="Arial"/>
        </w:rPr>
        <w:t>Ingresos corrientes de la nación</w:t>
      </w:r>
    </w:p>
    <w:p w14:paraId="479A3ADA" w14:textId="77777777" w:rsidR="00C02282" w:rsidRPr="00CE0467" w:rsidRDefault="00C02282" w:rsidP="00055F7C">
      <w:pPr>
        <w:pStyle w:val="Prrafodelista"/>
        <w:numPr>
          <w:ilvl w:val="0"/>
          <w:numId w:val="20"/>
        </w:numPr>
        <w:spacing w:after="0" w:line="240" w:lineRule="auto"/>
        <w:ind w:left="1146"/>
        <w:jc w:val="both"/>
        <w:rPr>
          <w:rFonts w:eastAsia="Calibri" w:cs="Arial"/>
        </w:rPr>
      </w:pPr>
      <w:r w:rsidRPr="00CE0467">
        <w:rPr>
          <w:rFonts w:eastAsia="Calibri" w:cs="Arial"/>
        </w:rPr>
        <w:t>Recursos de capital de la nación</w:t>
      </w:r>
    </w:p>
    <w:p w14:paraId="02D08D13" w14:textId="77777777" w:rsidR="00C02282" w:rsidRPr="00CE0467" w:rsidRDefault="00C02282" w:rsidP="00C02282">
      <w:pPr>
        <w:spacing w:after="0" w:line="240" w:lineRule="auto"/>
        <w:ind w:left="426" w:firstLine="360"/>
        <w:jc w:val="both"/>
        <w:rPr>
          <w:rFonts w:ascii="Arial" w:eastAsia="Calibri" w:hAnsi="Arial" w:cs="Arial"/>
        </w:rPr>
      </w:pPr>
      <w:r w:rsidRPr="00CE0467">
        <w:rPr>
          <w:rFonts w:ascii="Arial" w:eastAsia="Calibri" w:hAnsi="Arial" w:cs="Arial"/>
        </w:rPr>
        <w:t>5-   Rentas parafiscales, y</w:t>
      </w:r>
    </w:p>
    <w:p w14:paraId="15C0B725" w14:textId="77777777" w:rsidR="00C02282" w:rsidRPr="00CE0467" w:rsidRDefault="00C02282" w:rsidP="00C02282">
      <w:pPr>
        <w:spacing w:after="0" w:line="240" w:lineRule="auto"/>
        <w:ind w:left="426" w:firstLine="360"/>
        <w:jc w:val="both"/>
        <w:rPr>
          <w:rFonts w:ascii="Arial" w:eastAsia="Calibri" w:hAnsi="Arial" w:cs="Arial"/>
        </w:rPr>
      </w:pPr>
      <w:r w:rsidRPr="00CE0467">
        <w:rPr>
          <w:rFonts w:ascii="Arial" w:eastAsia="Calibri" w:hAnsi="Arial" w:cs="Arial"/>
        </w:rPr>
        <w:t>6-   Fondos especiales.</w:t>
      </w:r>
    </w:p>
    <w:p w14:paraId="1D3EC47D" w14:textId="77777777" w:rsidR="00C02282" w:rsidRPr="00CE0467" w:rsidRDefault="00C02282" w:rsidP="00C02282">
      <w:pPr>
        <w:spacing w:after="0" w:line="240" w:lineRule="auto"/>
        <w:ind w:left="426"/>
        <w:jc w:val="both"/>
        <w:rPr>
          <w:rFonts w:ascii="Arial" w:eastAsia="Calibri" w:hAnsi="Arial" w:cs="Arial"/>
        </w:rPr>
      </w:pPr>
    </w:p>
    <w:p w14:paraId="0C04A2D1" w14:textId="77777777" w:rsidR="00C02282" w:rsidRPr="00CE0467" w:rsidRDefault="00C02282" w:rsidP="00C02282">
      <w:pPr>
        <w:spacing w:after="0" w:line="240" w:lineRule="auto"/>
        <w:ind w:left="426"/>
        <w:jc w:val="both"/>
        <w:rPr>
          <w:rFonts w:ascii="Arial" w:eastAsia="Calibri" w:hAnsi="Arial" w:cs="Arial"/>
        </w:rPr>
      </w:pPr>
      <w:r w:rsidRPr="00CE0467">
        <w:rPr>
          <w:rFonts w:ascii="Arial" w:eastAsia="Calibri" w:hAnsi="Arial" w:cs="Arial"/>
        </w:rPr>
        <w:t>(La anterior numeración está así determinada en el decreto de liquidación del presupuesto).</w:t>
      </w:r>
    </w:p>
    <w:p w14:paraId="28E6D045" w14:textId="77777777" w:rsidR="00C02282" w:rsidRPr="00CE0467" w:rsidRDefault="00C02282" w:rsidP="00C02282">
      <w:pPr>
        <w:spacing w:after="0" w:line="240" w:lineRule="auto"/>
        <w:ind w:left="426"/>
        <w:jc w:val="both"/>
        <w:rPr>
          <w:rFonts w:ascii="Arial" w:eastAsia="Calibri" w:hAnsi="Arial" w:cs="Arial"/>
        </w:rPr>
      </w:pPr>
    </w:p>
    <w:p w14:paraId="39D09E37" w14:textId="77777777" w:rsidR="00C02282" w:rsidRPr="00CE0467" w:rsidRDefault="00C02282" w:rsidP="00C02282">
      <w:pPr>
        <w:spacing w:after="0" w:line="240" w:lineRule="auto"/>
        <w:ind w:left="426"/>
        <w:jc w:val="both"/>
        <w:rPr>
          <w:rFonts w:ascii="Arial" w:eastAsia="Calibri" w:hAnsi="Arial" w:cs="Arial"/>
        </w:rPr>
      </w:pPr>
      <w:r w:rsidRPr="00CE0467">
        <w:rPr>
          <w:rFonts w:ascii="Arial" w:eastAsia="Calibri" w:hAnsi="Arial" w:cs="Arial"/>
        </w:rPr>
        <w:t>La CREG obtiene sus recursos a través de: 1 – Ingresos corrientes de la nación (recurso 10), y 6 – La administración de una contribución en fondo especial a través de una fiducia.</w:t>
      </w:r>
    </w:p>
    <w:p w14:paraId="135271D6" w14:textId="77777777" w:rsidR="00C02282" w:rsidRPr="00CE0467" w:rsidRDefault="00C02282" w:rsidP="00C02282">
      <w:pPr>
        <w:spacing w:after="0" w:line="240" w:lineRule="auto"/>
        <w:ind w:left="426"/>
        <w:rPr>
          <w:rFonts w:ascii="Arial" w:eastAsia="Calibri" w:hAnsi="Arial" w:cs="Arial"/>
        </w:rPr>
      </w:pPr>
    </w:p>
    <w:p w14:paraId="5CE5C7A7" w14:textId="77777777" w:rsidR="00C02282" w:rsidRPr="00CE0467" w:rsidRDefault="00C02282" w:rsidP="00C02282">
      <w:pPr>
        <w:spacing w:after="0" w:line="240" w:lineRule="auto"/>
        <w:ind w:left="426"/>
        <w:jc w:val="both"/>
        <w:rPr>
          <w:rFonts w:ascii="Arial" w:eastAsia="Calibri" w:hAnsi="Arial" w:cs="Arial"/>
        </w:rPr>
      </w:pPr>
      <w:r w:rsidRPr="00CE0467">
        <w:rPr>
          <w:rFonts w:ascii="Arial" w:eastAsia="Calibri" w:hAnsi="Arial" w:cs="Arial"/>
        </w:rPr>
        <w:t>La CREG tiene el modelo de presupuesto equilibrado, es decir, una vez establecido el valor total de los egresos, se establece el monto necesario de los ingresos para cubrir las erogaciones para gastos e inversión en la respectiva vigencia.</w:t>
      </w:r>
    </w:p>
    <w:p w14:paraId="7629323F" w14:textId="77777777" w:rsidR="00C02282" w:rsidRPr="00CE0467" w:rsidRDefault="00C02282" w:rsidP="00C02282">
      <w:pPr>
        <w:spacing w:after="0" w:line="240" w:lineRule="auto"/>
        <w:ind w:left="426"/>
        <w:jc w:val="both"/>
        <w:rPr>
          <w:rFonts w:ascii="Arial" w:eastAsia="Calibri" w:hAnsi="Arial" w:cs="Arial"/>
        </w:rPr>
      </w:pPr>
    </w:p>
    <w:p w14:paraId="2579A043" w14:textId="77777777" w:rsidR="00C02282" w:rsidRPr="006A67B4" w:rsidRDefault="00C02282" w:rsidP="00C02282">
      <w:pPr>
        <w:spacing w:after="0" w:line="240" w:lineRule="auto"/>
        <w:ind w:left="426"/>
        <w:jc w:val="both"/>
        <w:rPr>
          <w:rFonts w:ascii="Arial" w:eastAsia="Calibri" w:hAnsi="Arial" w:cs="Arial"/>
          <w:highlight w:val="yellow"/>
        </w:rPr>
      </w:pPr>
      <w:r w:rsidRPr="00CE0467">
        <w:rPr>
          <w:rFonts w:ascii="Arial" w:eastAsia="Calibri" w:hAnsi="Arial" w:cs="Arial"/>
        </w:rPr>
        <w:t xml:space="preserve">Por lo tanto, los recursos necesarios para cubrir las erogaciones para la vigencia 2018, son los fijados en la primera parte del decreto de liquidación del </w:t>
      </w:r>
      <w:r w:rsidRPr="002149CF">
        <w:rPr>
          <w:rFonts w:ascii="Arial" w:eastAsia="Calibri" w:hAnsi="Arial" w:cs="Arial"/>
        </w:rPr>
        <w:t>presupuesto.</w:t>
      </w:r>
    </w:p>
    <w:p w14:paraId="4605EA1B" w14:textId="77777777" w:rsidR="00C02282" w:rsidRPr="00CE0467" w:rsidRDefault="00C02282" w:rsidP="008B4625">
      <w:pPr>
        <w:pStyle w:val="Ttulo2"/>
        <w:numPr>
          <w:ilvl w:val="1"/>
          <w:numId w:val="35"/>
        </w:numPr>
        <w:jc w:val="both"/>
        <w:rPr>
          <w:rFonts w:ascii="Arial" w:eastAsia="Calibri" w:hAnsi="Arial" w:cs="Arial"/>
          <w:color w:val="auto"/>
          <w:sz w:val="22"/>
          <w:szCs w:val="22"/>
        </w:rPr>
      </w:pPr>
      <w:bookmarkStart w:id="273" w:name="_Toc525652079"/>
      <w:r w:rsidRPr="00CE0467">
        <w:rPr>
          <w:rFonts w:ascii="Arial" w:eastAsia="Calibri" w:hAnsi="Arial" w:cs="Arial"/>
          <w:color w:val="auto"/>
          <w:sz w:val="22"/>
          <w:szCs w:val="22"/>
        </w:rPr>
        <w:t>Ingresos CREG</w:t>
      </w:r>
      <w:bookmarkEnd w:id="273"/>
    </w:p>
    <w:p w14:paraId="6BF2D763" w14:textId="77777777" w:rsidR="00C02282" w:rsidRPr="00CE0467" w:rsidRDefault="00C02282" w:rsidP="00C02282">
      <w:pPr>
        <w:pStyle w:val="Sinespaciado"/>
        <w:rPr>
          <w:rFonts w:ascii="Arial" w:hAnsi="Arial" w:cs="Arial"/>
        </w:rPr>
      </w:pPr>
    </w:p>
    <w:p w14:paraId="050D869A" w14:textId="77777777" w:rsidR="00CE0467" w:rsidRPr="00105F7F" w:rsidRDefault="00CE0467" w:rsidP="00CE0467">
      <w:pPr>
        <w:pStyle w:val="Sinespaciado"/>
        <w:ind w:left="708"/>
        <w:rPr>
          <w:rFonts w:ascii="Arial" w:hAnsi="Arial" w:cs="Arial"/>
        </w:rPr>
      </w:pPr>
      <w:r w:rsidRPr="00CE0467">
        <w:rPr>
          <w:rFonts w:ascii="Arial" w:hAnsi="Arial" w:cs="Arial"/>
        </w:rPr>
        <w:t>Las rentas consolidadas, son las obtenidas por ambos recursos (Tesoro de la Nación – CSF y Contribución especial – SSF), los cuales ascendieron a $15.804 millones acumuladas a 30 de junio de 2018.</w:t>
      </w:r>
    </w:p>
    <w:p w14:paraId="05BC3A04" w14:textId="77777777" w:rsidR="00C02282" w:rsidRPr="006A67B4" w:rsidRDefault="00C02282" w:rsidP="00C02282">
      <w:pPr>
        <w:pStyle w:val="Sinespaciado"/>
        <w:ind w:left="708"/>
        <w:rPr>
          <w:highlight w:val="yellow"/>
        </w:rPr>
      </w:pPr>
    </w:p>
    <w:p w14:paraId="210A55B7" w14:textId="245D6162" w:rsidR="00C02282" w:rsidRPr="00CE0467" w:rsidRDefault="00C02282" w:rsidP="00C02282">
      <w:pPr>
        <w:pStyle w:val="Descripcin"/>
        <w:keepNext/>
        <w:jc w:val="center"/>
      </w:pPr>
      <w:bookmarkStart w:id="274" w:name="_Toc525652434"/>
      <w:r w:rsidRPr="00CE0467">
        <w:t xml:space="preserve">Gráfica </w:t>
      </w:r>
      <w:r w:rsidR="00B6251B">
        <w:fldChar w:fldCharType="begin"/>
      </w:r>
      <w:r w:rsidR="00B6251B">
        <w:instrText xml:space="preserve"> SEQ Gráfica \* ARABIC </w:instrText>
      </w:r>
      <w:r w:rsidR="00B6251B">
        <w:fldChar w:fldCharType="separate"/>
      </w:r>
      <w:r w:rsidR="00B6251B">
        <w:rPr>
          <w:noProof/>
        </w:rPr>
        <w:t>21</w:t>
      </w:r>
      <w:r w:rsidR="00B6251B">
        <w:fldChar w:fldCharType="end"/>
      </w:r>
      <w:r w:rsidRPr="00CE0467">
        <w:t xml:space="preserve"> Consolidado rentas (SSF y CSF) recaudadas a 3</w:t>
      </w:r>
      <w:r w:rsidR="00CE0467" w:rsidRPr="00CE0467">
        <w:t xml:space="preserve">0 de junio de </w:t>
      </w:r>
      <w:r w:rsidRPr="00CE0467">
        <w:t xml:space="preserve"> 2018  CREG</w:t>
      </w:r>
      <w:bookmarkEnd w:id="274"/>
    </w:p>
    <w:p w14:paraId="2487120B" w14:textId="047A55F4" w:rsidR="00C02282" w:rsidRPr="006A67B4" w:rsidRDefault="00CE0467" w:rsidP="00C02282">
      <w:pPr>
        <w:ind w:left="708" w:firstLine="285"/>
        <w:rPr>
          <w:highlight w:val="yellow"/>
        </w:rPr>
      </w:pPr>
      <w:r w:rsidRPr="00105F7F">
        <w:rPr>
          <w:rFonts w:ascii="Arial" w:hAnsi="Arial" w:cs="Arial"/>
          <w:noProof/>
          <w:lang w:eastAsia="es-CO"/>
        </w:rPr>
        <w:drawing>
          <wp:inline distT="0" distB="0" distL="0" distR="0" wp14:anchorId="14BF03ED" wp14:editId="7F0645E1">
            <wp:extent cx="4106174" cy="2104846"/>
            <wp:effectExtent l="0" t="0" r="8890" b="1016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CCBEB30" w14:textId="77777777" w:rsidR="00C02282" w:rsidRPr="00CE0467" w:rsidRDefault="00C02282" w:rsidP="00CE0467">
      <w:pPr>
        <w:spacing w:after="0" w:line="240" w:lineRule="auto"/>
        <w:jc w:val="center"/>
        <w:rPr>
          <w:rFonts w:ascii="Arial" w:eastAsia="Calibri" w:hAnsi="Arial" w:cs="Arial"/>
          <w:sz w:val="16"/>
          <w:szCs w:val="16"/>
        </w:rPr>
      </w:pPr>
      <w:r w:rsidRPr="00CE0467">
        <w:rPr>
          <w:rFonts w:ascii="Arial" w:eastAsia="Calibri" w:hAnsi="Arial" w:cs="Arial"/>
          <w:sz w:val="16"/>
          <w:szCs w:val="16"/>
        </w:rPr>
        <w:t>Fuente: CREG</w:t>
      </w:r>
    </w:p>
    <w:p w14:paraId="660A7D4E" w14:textId="2832A03E" w:rsidR="00C02282" w:rsidRPr="00CE0467" w:rsidRDefault="00C02282" w:rsidP="00C02282">
      <w:pPr>
        <w:pStyle w:val="Descripcin"/>
        <w:keepNext/>
        <w:jc w:val="center"/>
      </w:pPr>
      <w:bookmarkStart w:id="275" w:name="_Toc525652435"/>
      <w:r w:rsidRPr="00CE0467">
        <w:lastRenderedPageBreak/>
        <w:t xml:space="preserve">Gráfica </w:t>
      </w:r>
      <w:r w:rsidR="00B6251B">
        <w:fldChar w:fldCharType="begin"/>
      </w:r>
      <w:r w:rsidR="00B6251B">
        <w:instrText xml:space="preserve"> SEQ Gráfica \* ARABIC </w:instrText>
      </w:r>
      <w:r w:rsidR="00B6251B">
        <w:fldChar w:fldCharType="separate"/>
      </w:r>
      <w:r w:rsidR="00B6251B">
        <w:rPr>
          <w:noProof/>
        </w:rPr>
        <w:t>22</w:t>
      </w:r>
      <w:r w:rsidR="00B6251B">
        <w:fldChar w:fldCharType="end"/>
      </w:r>
      <w:r w:rsidRPr="00CE0467">
        <w:t>Consolidado rentas 3</w:t>
      </w:r>
      <w:r w:rsidR="00CE0467" w:rsidRPr="00CE0467">
        <w:t xml:space="preserve">0 de junio de </w:t>
      </w:r>
      <w:r w:rsidRPr="00CE0467">
        <w:t xml:space="preserve"> 2018 CREG</w:t>
      </w:r>
      <w:bookmarkEnd w:id="275"/>
    </w:p>
    <w:p w14:paraId="720D27E5" w14:textId="2057772E" w:rsidR="00C02282" w:rsidRPr="00CE0467" w:rsidRDefault="00CE0467" w:rsidP="00C02282">
      <w:pPr>
        <w:jc w:val="center"/>
      </w:pPr>
      <w:r w:rsidRPr="00105F7F">
        <w:rPr>
          <w:rFonts w:ascii="Arial" w:hAnsi="Arial" w:cs="Arial"/>
          <w:noProof/>
          <w:lang w:eastAsia="es-CO"/>
        </w:rPr>
        <w:drawing>
          <wp:inline distT="0" distB="0" distL="0" distR="0" wp14:anchorId="5683E013" wp14:editId="1C3813DE">
            <wp:extent cx="5425440" cy="948633"/>
            <wp:effectExtent l="0" t="0" r="381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4348" cy="951939"/>
                    </a:xfrm>
                    <a:prstGeom prst="rect">
                      <a:avLst/>
                    </a:prstGeom>
                    <a:noFill/>
                    <a:ln>
                      <a:noFill/>
                    </a:ln>
                  </pic:spPr>
                </pic:pic>
              </a:graphicData>
            </a:graphic>
          </wp:inline>
        </w:drawing>
      </w:r>
      <w:r w:rsidR="00C02282" w:rsidRPr="00CE0467">
        <w:rPr>
          <w:rFonts w:ascii="Arial" w:eastAsia="Calibri" w:hAnsi="Arial" w:cs="Arial"/>
          <w:sz w:val="16"/>
          <w:szCs w:val="16"/>
        </w:rPr>
        <w:t>Fuente: SIIF Nación - CREG</w:t>
      </w:r>
    </w:p>
    <w:p w14:paraId="23D2AC5A" w14:textId="77777777" w:rsidR="00CE0467" w:rsidRPr="00105F7F" w:rsidRDefault="00CE0467" w:rsidP="00CE0467">
      <w:pPr>
        <w:ind w:left="708"/>
        <w:jc w:val="both"/>
        <w:rPr>
          <w:rFonts w:ascii="Arial" w:hAnsi="Arial" w:cs="Arial"/>
        </w:rPr>
      </w:pPr>
      <w:r w:rsidRPr="00105F7F">
        <w:rPr>
          <w:rFonts w:ascii="Arial" w:hAnsi="Arial" w:cs="Arial"/>
        </w:rPr>
        <w:t>En el primer trimestre de la vigencia se recaudó el valor del anticipo, que corresponde al 60% de la contribución que pago el regulado el año inmediatamente anterior. Al generarse la resolución definitiva de contribución de la vigencia, se recauda la diferencia entre el valor liquidado de la contribución y el anticipo recaudado.</w:t>
      </w:r>
    </w:p>
    <w:p w14:paraId="642AC27F" w14:textId="77777777" w:rsidR="00CE0467" w:rsidRPr="00105F7F" w:rsidRDefault="00CE0467" w:rsidP="00CE0467">
      <w:pPr>
        <w:ind w:left="708"/>
        <w:jc w:val="both"/>
        <w:rPr>
          <w:rFonts w:ascii="Arial" w:hAnsi="Arial" w:cs="Arial"/>
        </w:rPr>
      </w:pPr>
      <w:r w:rsidRPr="00105F7F">
        <w:rPr>
          <w:rFonts w:ascii="Arial" w:hAnsi="Arial" w:cs="Arial"/>
        </w:rPr>
        <w:t>A continuación, se muestra el comportamiento de las rentas obtenidas durante el primer semestre, discriminado por cada recurso:</w:t>
      </w:r>
    </w:p>
    <w:p w14:paraId="6EE99050" w14:textId="77777777" w:rsidR="00C02282" w:rsidRPr="00CE0467" w:rsidRDefault="00C02282" w:rsidP="00C02282">
      <w:pPr>
        <w:pStyle w:val="Sinespaciado"/>
        <w:ind w:left="708"/>
        <w:rPr>
          <w:rFonts w:ascii="Arial" w:hAnsi="Arial" w:cs="Arial"/>
          <w:b/>
        </w:rPr>
      </w:pPr>
      <w:r w:rsidRPr="00CE0467">
        <w:rPr>
          <w:rFonts w:ascii="Arial" w:hAnsi="Arial" w:cs="Arial"/>
          <w:b/>
        </w:rPr>
        <w:t>RENTAS RECURSO 10 – INGRESOS CORRIENTES.</w:t>
      </w:r>
    </w:p>
    <w:p w14:paraId="11523CB5" w14:textId="77777777" w:rsidR="00C02282" w:rsidRPr="00CE0467" w:rsidRDefault="00C02282" w:rsidP="00C02282">
      <w:pPr>
        <w:pStyle w:val="Sinespaciado"/>
        <w:ind w:left="708"/>
        <w:rPr>
          <w:rFonts w:ascii="Arial" w:hAnsi="Arial" w:cs="Arial"/>
        </w:rPr>
      </w:pPr>
      <w:r w:rsidRPr="00CE0467">
        <w:rPr>
          <w:rFonts w:ascii="Arial" w:hAnsi="Arial" w:cs="Arial"/>
          <w:b/>
        </w:rPr>
        <w:t>SITUADO DE RECURSOS POR PARTE DE LA DIRECCIÓN DEL TESORO NACIONAL – DTN.</w:t>
      </w:r>
    </w:p>
    <w:p w14:paraId="1AEFB7F5" w14:textId="77777777" w:rsidR="00C02282" w:rsidRPr="00CE0467" w:rsidRDefault="00C02282" w:rsidP="00C02282">
      <w:pPr>
        <w:pStyle w:val="Sinespaciado"/>
        <w:ind w:left="708"/>
      </w:pPr>
    </w:p>
    <w:p w14:paraId="7971016D" w14:textId="77777777" w:rsidR="00C02282" w:rsidRPr="00CE0467" w:rsidRDefault="00C02282" w:rsidP="00C02282">
      <w:pPr>
        <w:ind w:left="708"/>
        <w:jc w:val="both"/>
      </w:pPr>
      <w:r w:rsidRPr="00CE0467">
        <w:rPr>
          <w:rFonts w:ascii="Arial" w:hAnsi="Arial" w:cs="Arial"/>
        </w:rPr>
        <w:t>Los recursos corrientes (10), son situados por la DTN para cubrir los pagos por funcionamiento e inversión realizados en el primer trimestre de 2018. (ver gráfica)</w:t>
      </w:r>
    </w:p>
    <w:p w14:paraId="7F50A11D" w14:textId="35B3E632" w:rsidR="00C02282" w:rsidRPr="00CE0467" w:rsidRDefault="00C02282" w:rsidP="00C02282">
      <w:pPr>
        <w:pStyle w:val="Descripcin"/>
        <w:keepNext/>
        <w:jc w:val="center"/>
      </w:pPr>
      <w:bookmarkStart w:id="276" w:name="_Toc525652436"/>
      <w:r w:rsidRPr="00CE0467">
        <w:t xml:space="preserve">Gráfica </w:t>
      </w:r>
      <w:r w:rsidR="00B6251B">
        <w:fldChar w:fldCharType="begin"/>
      </w:r>
      <w:r w:rsidR="00B6251B">
        <w:instrText xml:space="preserve"> SEQ Gráfica \* ARABIC </w:instrText>
      </w:r>
      <w:r w:rsidR="00B6251B">
        <w:fldChar w:fldCharType="separate"/>
      </w:r>
      <w:r w:rsidR="00B6251B">
        <w:rPr>
          <w:noProof/>
        </w:rPr>
        <w:t>23</w:t>
      </w:r>
      <w:r w:rsidR="00B6251B">
        <w:fldChar w:fldCharType="end"/>
      </w:r>
      <w:r w:rsidRPr="00CE0467">
        <w:t>Recaudo de rentas CSF a 3</w:t>
      </w:r>
      <w:r w:rsidR="00CE0467" w:rsidRPr="00CE0467">
        <w:t xml:space="preserve">0 de junio de </w:t>
      </w:r>
      <w:r w:rsidRPr="00CE0467">
        <w:t xml:space="preserve"> 2018 - CREG</w:t>
      </w:r>
      <w:bookmarkEnd w:id="276"/>
    </w:p>
    <w:p w14:paraId="5341D2BD" w14:textId="764BA47A" w:rsidR="00C02282" w:rsidRPr="00CE0467" w:rsidRDefault="00CE0467" w:rsidP="00C02282">
      <w:pPr>
        <w:jc w:val="center"/>
      </w:pPr>
      <w:r w:rsidRPr="00105F7F">
        <w:rPr>
          <w:rFonts w:ascii="Arial" w:hAnsi="Arial" w:cs="Arial"/>
          <w:noProof/>
          <w:lang w:eastAsia="es-CO"/>
        </w:rPr>
        <w:drawing>
          <wp:inline distT="0" distB="0" distL="0" distR="0" wp14:anchorId="4EF1D1E2" wp14:editId="2E0DA4CB">
            <wp:extent cx="5840083" cy="2570672"/>
            <wp:effectExtent l="0" t="0" r="8890" b="127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F3E8A95" w14:textId="77777777" w:rsidR="00C02282" w:rsidRPr="00CE0467" w:rsidRDefault="00C02282" w:rsidP="00C02282">
      <w:pPr>
        <w:spacing w:after="0" w:line="240" w:lineRule="auto"/>
        <w:jc w:val="center"/>
        <w:rPr>
          <w:rFonts w:ascii="Arial" w:eastAsia="Calibri" w:hAnsi="Arial" w:cs="Arial"/>
          <w:sz w:val="16"/>
          <w:szCs w:val="16"/>
        </w:rPr>
      </w:pPr>
      <w:r w:rsidRPr="00CE0467">
        <w:rPr>
          <w:rFonts w:ascii="Arial" w:eastAsia="Calibri" w:hAnsi="Arial" w:cs="Arial"/>
          <w:sz w:val="16"/>
          <w:szCs w:val="16"/>
        </w:rPr>
        <w:t>Millones de Pesos</w:t>
      </w:r>
    </w:p>
    <w:p w14:paraId="3D573B83" w14:textId="77777777" w:rsidR="00C02282" w:rsidRPr="00CE0467" w:rsidRDefault="00C02282" w:rsidP="00C02282">
      <w:pPr>
        <w:spacing w:after="0" w:line="240" w:lineRule="auto"/>
        <w:jc w:val="center"/>
        <w:rPr>
          <w:rFonts w:ascii="Arial" w:eastAsia="Calibri" w:hAnsi="Arial" w:cs="Arial"/>
          <w:sz w:val="16"/>
          <w:szCs w:val="16"/>
        </w:rPr>
      </w:pPr>
      <w:r w:rsidRPr="00CE0467">
        <w:rPr>
          <w:rFonts w:ascii="Arial" w:eastAsia="Calibri" w:hAnsi="Arial" w:cs="Arial"/>
          <w:sz w:val="16"/>
          <w:szCs w:val="16"/>
        </w:rPr>
        <w:t>Fuente: SIIF Nación –CREG</w:t>
      </w:r>
    </w:p>
    <w:p w14:paraId="5692F212" w14:textId="77777777" w:rsidR="00C02282" w:rsidRPr="006A67B4" w:rsidRDefault="00C02282" w:rsidP="00C02282">
      <w:pPr>
        <w:spacing w:after="0" w:line="240" w:lineRule="auto"/>
        <w:jc w:val="center"/>
        <w:rPr>
          <w:rFonts w:ascii="Arial" w:eastAsia="Calibri" w:hAnsi="Arial" w:cs="Arial"/>
          <w:sz w:val="16"/>
          <w:szCs w:val="16"/>
          <w:highlight w:val="yellow"/>
        </w:rPr>
      </w:pPr>
    </w:p>
    <w:p w14:paraId="41201E4E" w14:textId="77777777" w:rsidR="00CE0467" w:rsidRPr="00105F7F" w:rsidRDefault="00CE0467" w:rsidP="00CE0467">
      <w:pPr>
        <w:ind w:left="708"/>
        <w:jc w:val="both"/>
        <w:rPr>
          <w:rFonts w:ascii="Arial" w:hAnsi="Arial" w:cs="Arial"/>
        </w:rPr>
      </w:pPr>
      <w:r w:rsidRPr="00105F7F">
        <w:rPr>
          <w:rFonts w:ascii="Arial" w:hAnsi="Arial" w:cs="Arial"/>
        </w:rPr>
        <w:lastRenderedPageBreak/>
        <w:t xml:space="preserve">El 71% de los ingresos, corresponden al pago de los servicios personales de la nómina del grupo de combustibles líquidos; el 7% al pago de servicios personales indirectos (administración de gestión documental y servicio </w:t>
      </w:r>
      <w:proofErr w:type="spellStart"/>
      <w:r w:rsidRPr="00105F7F">
        <w:rPr>
          <w:rFonts w:ascii="Arial" w:hAnsi="Arial" w:cs="Arial"/>
        </w:rPr>
        <w:t>outsourcing</w:t>
      </w:r>
      <w:proofErr w:type="spellEnd"/>
      <w:r w:rsidRPr="00105F7F">
        <w:rPr>
          <w:rFonts w:ascii="Arial" w:hAnsi="Arial" w:cs="Arial"/>
        </w:rPr>
        <w:t xml:space="preserve"> contable) y el 19% corresponde a los pagos de gastos generales (arrendamiento, servicio de administración, servicio de vigilancia, suministro de combustibles del parque automotor, servicios públicos, y revisiones periódicas preventivas sistema contra incendio y extinción FM200, CCTV, y servicio de telefonía celular de la CREG). Del total de ingresos percibidos en el primer semestre el 90% corresponde a gastos de funcionamiento, 1% a inversión y el 9% a cuentas por pagar de la vigencia 2017.</w:t>
      </w:r>
    </w:p>
    <w:p w14:paraId="44620417" w14:textId="77777777" w:rsidR="00C02282" w:rsidRPr="00CE0467" w:rsidRDefault="00C02282" w:rsidP="00C02282">
      <w:pPr>
        <w:pStyle w:val="Sinespaciado"/>
        <w:ind w:left="708"/>
        <w:rPr>
          <w:rFonts w:ascii="Arial" w:hAnsi="Arial" w:cs="Arial"/>
          <w:b/>
        </w:rPr>
      </w:pPr>
      <w:r w:rsidRPr="00CE0467">
        <w:rPr>
          <w:rFonts w:ascii="Arial" w:hAnsi="Arial" w:cs="Arial"/>
          <w:b/>
        </w:rPr>
        <w:t>RENTAS RECURSO 16 – FONDOS ESPECIALES.</w:t>
      </w:r>
    </w:p>
    <w:p w14:paraId="7F43B46D" w14:textId="77777777" w:rsidR="00C02282" w:rsidRPr="00CE0467" w:rsidRDefault="00C02282" w:rsidP="00C02282">
      <w:pPr>
        <w:pStyle w:val="Sinespaciado"/>
        <w:ind w:left="708"/>
        <w:rPr>
          <w:rFonts w:ascii="Arial" w:hAnsi="Arial" w:cs="Arial"/>
        </w:rPr>
      </w:pPr>
      <w:r w:rsidRPr="00CE0467">
        <w:rPr>
          <w:rFonts w:ascii="Arial" w:hAnsi="Arial" w:cs="Arial"/>
          <w:b/>
        </w:rPr>
        <w:t>RECAUDO CONTRIBUCIÓN ESPECIAL DE REGULACIÓN Y OTROS INGRESOS.</w:t>
      </w:r>
    </w:p>
    <w:p w14:paraId="636DC423" w14:textId="77777777" w:rsidR="00C02282" w:rsidRPr="00CE0467" w:rsidRDefault="00C02282" w:rsidP="00C02282">
      <w:pPr>
        <w:pStyle w:val="Sinespaciado"/>
        <w:ind w:left="708"/>
      </w:pPr>
    </w:p>
    <w:p w14:paraId="050A6D60" w14:textId="77777777" w:rsidR="00C02282" w:rsidRPr="00CE0467" w:rsidRDefault="00C02282" w:rsidP="00C02282">
      <w:pPr>
        <w:ind w:left="708"/>
        <w:jc w:val="both"/>
      </w:pPr>
      <w:r w:rsidRPr="00CE0467">
        <w:rPr>
          <w:rFonts w:ascii="Arial" w:hAnsi="Arial" w:cs="Arial"/>
        </w:rPr>
        <w:t>La Comisión también cuenta con el recaudo de ingresos por concepto de contribución especial de las empresas que prestan el servicio en el sector de energía eléctrica, gas combustible y GLP, y otros ingresos detallados en el cuadro posterior a la gráfica.</w:t>
      </w:r>
    </w:p>
    <w:p w14:paraId="7C12BC9C" w14:textId="1D82F7D8" w:rsidR="00C02282" w:rsidRPr="00CE0467" w:rsidRDefault="00C02282" w:rsidP="00C02282">
      <w:pPr>
        <w:pStyle w:val="Descripcin"/>
        <w:keepNext/>
        <w:jc w:val="center"/>
      </w:pPr>
      <w:bookmarkStart w:id="277" w:name="_Toc525652437"/>
      <w:r w:rsidRPr="00CE0467">
        <w:t xml:space="preserve">Gráfica </w:t>
      </w:r>
      <w:r w:rsidR="00B6251B">
        <w:fldChar w:fldCharType="begin"/>
      </w:r>
      <w:r w:rsidR="00B6251B">
        <w:instrText xml:space="preserve"> SEQ Gráfica \* ARABIC </w:instrText>
      </w:r>
      <w:r w:rsidR="00B6251B">
        <w:fldChar w:fldCharType="separate"/>
      </w:r>
      <w:r w:rsidR="00B6251B">
        <w:rPr>
          <w:noProof/>
        </w:rPr>
        <w:t>24</w:t>
      </w:r>
      <w:r w:rsidR="00B6251B">
        <w:fldChar w:fldCharType="end"/>
      </w:r>
      <w:r w:rsidR="00CE0467">
        <w:t xml:space="preserve"> </w:t>
      </w:r>
      <w:r w:rsidRPr="00CE0467">
        <w:t>Recaudo de rentas SSF a 3</w:t>
      </w:r>
      <w:r w:rsidR="00CE0467">
        <w:t xml:space="preserve">0 de junio de </w:t>
      </w:r>
      <w:r w:rsidRPr="00CE0467">
        <w:t xml:space="preserve"> 2018 CREG</w:t>
      </w:r>
      <w:bookmarkEnd w:id="277"/>
    </w:p>
    <w:p w14:paraId="75DAAA79" w14:textId="2D22097F" w:rsidR="00C02282" w:rsidRPr="006A67B4" w:rsidRDefault="00CE0467" w:rsidP="00C02282">
      <w:pPr>
        <w:spacing w:after="0"/>
        <w:jc w:val="center"/>
        <w:rPr>
          <w:sz w:val="16"/>
          <w:szCs w:val="16"/>
          <w:highlight w:val="yellow"/>
        </w:rPr>
      </w:pPr>
      <w:r w:rsidRPr="00105F7F">
        <w:rPr>
          <w:rFonts w:ascii="Arial" w:hAnsi="Arial" w:cs="Arial"/>
          <w:noProof/>
          <w:sz w:val="16"/>
          <w:szCs w:val="16"/>
          <w:lang w:eastAsia="es-CO"/>
        </w:rPr>
        <w:drawing>
          <wp:inline distT="0" distB="0" distL="0" distR="0" wp14:anchorId="0DD30DF4" wp14:editId="74CB01AF">
            <wp:extent cx="5564038" cy="2283225"/>
            <wp:effectExtent l="0" t="0" r="0" b="3175"/>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32981" cy="2311516"/>
                    </a:xfrm>
                    <a:prstGeom prst="rect">
                      <a:avLst/>
                    </a:prstGeom>
                    <a:noFill/>
                    <a:effectLst/>
                  </pic:spPr>
                </pic:pic>
              </a:graphicData>
            </a:graphic>
          </wp:inline>
        </w:drawing>
      </w:r>
      <w:r w:rsidR="00C02282" w:rsidRPr="006A67B4">
        <w:rPr>
          <w:sz w:val="16"/>
          <w:szCs w:val="16"/>
          <w:highlight w:val="yellow"/>
        </w:rPr>
        <w:t xml:space="preserve"> </w:t>
      </w:r>
    </w:p>
    <w:p w14:paraId="60CAE342" w14:textId="77777777" w:rsidR="00C02282" w:rsidRPr="00CE0467" w:rsidRDefault="00C02282" w:rsidP="00C02282">
      <w:pPr>
        <w:spacing w:after="0"/>
        <w:jc w:val="center"/>
        <w:rPr>
          <w:sz w:val="16"/>
          <w:szCs w:val="16"/>
        </w:rPr>
      </w:pPr>
      <w:r w:rsidRPr="00CE0467">
        <w:rPr>
          <w:sz w:val="16"/>
          <w:szCs w:val="16"/>
        </w:rPr>
        <w:t>Millones de pesos</w:t>
      </w:r>
    </w:p>
    <w:p w14:paraId="627D4C31" w14:textId="77777777" w:rsidR="00C02282" w:rsidRPr="00CE0467" w:rsidRDefault="00C02282" w:rsidP="00C02282">
      <w:pPr>
        <w:spacing w:after="0"/>
        <w:jc w:val="center"/>
        <w:rPr>
          <w:sz w:val="16"/>
          <w:szCs w:val="16"/>
        </w:rPr>
      </w:pPr>
      <w:r w:rsidRPr="00CE0467">
        <w:rPr>
          <w:rFonts w:ascii="Arial" w:eastAsia="Calibri" w:hAnsi="Arial" w:cs="Arial"/>
          <w:sz w:val="16"/>
          <w:szCs w:val="16"/>
        </w:rPr>
        <w:t>Fuente: CREG</w:t>
      </w:r>
    </w:p>
    <w:p w14:paraId="2B3DC197" w14:textId="49FA25CC" w:rsidR="00CE0467" w:rsidRPr="00CE0467" w:rsidRDefault="00CE0467" w:rsidP="009E5C47">
      <w:pPr>
        <w:pStyle w:val="Prrafodelista"/>
        <w:ind w:left="360"/>
        <w:jc w:val="both"/>
        <w:rPr>
          <w:rFonts w:cs="Arial"/>
        </w:rPr>
      </w:pPr>
      <w:r w:rsidRPr="00CE0467">
        <w:rPr>
          <w:rFonts w:cs="Arial"/>
        </w:rPr>
        <w:t>En el primer trimestre se recaudó el saldo de la contribución de la vigencia 2017 y el valor del anticipo año 2018, que corresponde al 60% de la contribución de la resolución del año anterior, adicionalmente en el acumulado se encuentran incluidos otros ingresos,</w:t>
      </w:r>
      <w:r w:rsidR="009E5C47">
        <w:rPr>
          <w:rFonts w:cs="Arial"/>
        </w:rPr>
        <w:t xml:space="preserve"> </w:t>
      </w:r>
      <w:r w:rsidRPr="00CE0467">
        <w:rPr>
          <w:rFonts w:cs="Arial"/>
        </w:rPr>
        <w:t>representados por recaudos derivados de los rendimientos financieros, intereses de mora y fotocopias.</w:t>
      </w:r>
    </w:p>
    <w:p w14:paraId="7B389345" w14:textId="77777777" w:rsidR="00CE0467" w:rsidRPr="00CE0467" w:rsidRDefault="00CE0467" w:rsidP="009E5C47">
      <w:pPr>
        <w:pStyle w:val="Prrafodelista"/>
        <w:ind w:left="360"/>
        <w:jc w:val="both"/>
        <w:rPr>
          <w:rFonts w:cs="Arial"/>
        </w:rPr>
      </w:pPr>
      <w:r w:rsidRPr="00CE0467">
        <w:rPr>
          <w:rFonts w:cs="Arial"/>
        </w:rPr>
        <w:t xml:space="preserve">Durante el segundo trimestre, se enviaron dos comunicaciones, una solicitando el pago de la contribución Resolución 162 de 2017 a las empresas que a la fecha no habían realizado el pago y la segunda solicitando el pago del anticipo de la contribución del 2018. </w:t>
      </w:r>
    </w:p>
    <w:p w14:paraId="25B9CCD2" w14:textId="77777777" w:rsidR="00C02282" w:rsidRPr="00CE0467" w:rsidRDefault="00C02282" w:rsidP="008B4625">
      <w:pPr>
        <w:pStyle w:val="Ttulo2"/>
        <w:numPr>
          <w:ilvl w:val="1"/>
          <w:numId w:val="35"/>
        </w:numPr>
        <w:rPr>
          <w:rFonts w:ascii="Arial" w:eastAsia="Calibri" w:hAnsi="Arial" w:cs="Arial"/>
          <w:color w:val="auto"/>
          <w:sz w:val="22"/>
          <w:szCs w:val="22"/>
        </w:rPr>
      </w:pPr>
      <w:bookmarkStart w:id="278" w:name="_Toc525652080"/>
      <w:r w:rsidRPr="00CE0467">
        <w:rPr>
          <w:rFonts w:ascii="Arial" w:eastAsia="Calibri" w:hAnsi="Arial" w:cs="Arial"/>
          <w:color w:val="auto"/>
          <w:sz w:val="22"/>
          <w:szCs w:val="22"/>
        </w:rPr>
        <w:lastRenderedPageBreak/>
        <w:t>Gastos CREG</w:t>
      </w:r>
      <w:bookmarkEnd w:id="278"/>
    </w:p>
    <w:p w14:paraId="0845AE2C" w14:textId="5A4D1DCF" w:rsidR="00C02282" w:rsidRDefault="00C02282" w:rsidP="008B4625">
      <w:pPr>
        <w:pStyle w:val="Ttulo3"/>
        <w:numPr>
          <w:ilvl w:val="2"/>
          <w:numId w:val="35"/>
        </w:numPr>
        <w:rPr>
          <w:rFonts w:ascii="Arial" w:eastAsia="Calibri" w:hAnsi="Arial" w:cs="Arial"/>
          <w:color w:val="auto"/>
        </w:rPr>
      </w:pPr>
      <w:bookmarkStart w:id="279" w:name="_Toc525652081"/>
      <w:r w:rsidRPr="00CE0467">
        <w:rPr>
          <w:rFonts w:ascii="Arial" w:eastAsia="Calibri" w:hAnsi="Arial" w:cs="Arial"/>
          <w:color w:val="auto"/>
        </w:rPr>
        <w:t>Ejecución presupuestal Gastos de Funcionamiento CREG</w:t>
      </w:r>
      <w:bookmarkEnd w:id="279"/>
    </w:p>
    <w:p w14:paraId="5B7D68E6" w14:textId="77777777" w:rsidR="00CE0467" w:rsidRPr="00CE0467" w:rsidRDefault="00CE0467" w:rsidP="00CE0467"/>
    <w:p w14:paraId="7437722C" w14:textId="1AFF24D6" w:rsidR="00C02282" w:rsidRPr="00CE0467" w:rsidRDefault="00C02282" w:rsidP="00C02282">
      <w:pPr>
        <w:pStyle w:val="Descripcin"/>
        <w:keepNext/>
        <w:jc w:val="center"/>
      </w:pPr>
      <w:bookmarkStart w:id="280" w:name="_Toc525652566"/>
      <w:r w:rsidRPr="00CE0467">
        <w:t xml:space="preserve">Tabla </w:t>
      </w:r>
      <w:r w:rsidRPr="00CE0467">
        <w:fldChar w:fldCharType="begin"/>
      </w:r>
      <w:r w:rsidRPr="00CE0467">
        <w:instrText xml:space="preserve"> SEQ Tabla \* ARABIC </w:instrText>
      </w:r>
      <w:r w:rsidRPr="00CE0467">
        <w:fldChar w:fldCharType="separate"/>
      </w:r>
      <w:r w:rsidR="008B4625">
        <w:rPr>
          <w:noProof/>
        </w:rPr>
        <w:t>121</w:t>
      </w:r>
      <w:r w:rsidRPr="00CE0467">
        <w:fldChar w:fldCharType="end"/>
      </w:r>
      <w:r w:rsidR="00CE0467" w:rsidRPr="00CE0467">
        <w:t xml:space="preserve"> </w:t>
      </w:r>
      <w:r w:rsidRPr="00CE0467">
        <w:t>Comportamiento de la Ejecución Presupuestal, Gastos de Funcionamiento 2018 CREG</w:t>
      </w:r>
      <w:bookmarkEnd w:id="280"/>
    </w:p>
    <w:p w14:paraId="0E23F7ED" w14:textId="20F38D35" w:rsidR="00C02282" w:rsidRPr="00CE0467" w:rsidRDefault="00CE0467" w:rsidP="00CE0467">
      <w:pPr>
        <w:spacing w:after="0"/>
        <w:jc w:val="center"/>
        <w:rPr>
          <w:rFonts w:ascii="Cambria" w:eastAsia="MS Mincho" w:hAnsi="Cambria" w:cs="Times New Roman"/>
          <w:noProof/>
          <w:color w:val="FF0000"/>
          <w:sz w:val="24"/>
          <w:szCs w:val="24"/>
          <w:lang w:eastAsia="es-CO"/>
        </w:rPr>
      </w:pPr>
      <w:r w:rsidRPr="00CE0467">
        <w:rPr>
          <w:rFonts w:ascii="Arial" w:hAnsi="Arial" w:cs="Arial"/>
          <w:noProof/>
          <w:lang w:eastAsia="es-CO"/>
        </w:rPr>
        <w:drawing>
          <wp:inline distT="0" distB="0" distL="0" distR="0" wp14:anchorId="3A7CF628" wp14:editId="66FC3671">
            <wp:extent cx="5024052" cy="1845426"/>
            <wp:effectExtent l="0" t="0" r="5715" b="254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66634" cy="1861067"/>
                    </a:xfrm>
                    <a:prstGeom prst="rect">
                      <a:avLst/>
                    </a:prstGeom>
                    <a:noFill/>
                    <a:ln>
                      <a:noFill/>
                    </a:ln>
                  </pic:spPr>
                </pic:pic>
              </a:graphicData>
            </a:graphic>
          </wp:inline>
        </w:drawing>
      </w:r>
    </w:p>
    <w:p w14:paraId="14EAEED4" w14:textId="77777777" w:rsidR="00C02282" w:rsidRPr="00CE0467" w:rsidRDefault="00C02282" w:rsidP="00C02282">
      <w:pPr>
        <w:spacing w:after="0" w:line="240" w:lineRule="auto"/>
        <w:jc w:val="center"/>
        <w:rPr>
          <w:rFonts w:ascii="Arial" w:eastAsia="Calibri" w:hAnsi="Arial" w:cs="Arial"/>
          <w:sz w:val="16"/>
          <w:szCs w:val="16"/>
        </w:rPr>
      </w:pPr>
      <w:r w:rsidRPr="00CE0467">
        <w:rPr>
          <w:rFonts w:ascii="Arial" w:eastAsia="Calibri" w:hAnsi="Arial" w:cs="Arial"/>
          <w:sz w:val="16"/>
          <w:szCs w:val="16"/>
        </w:rPr>
        <w:t>Millones de Pesos</w:t>
      </w:r>
    </w:p>
    <w:p w14:paraId="13D9098B" w14:textId="77777777" w:rsidR="00C02282" w:rsidRPr="00CE0467" w:rsidRDefault="00C02282" w:rsidP="00C02282">
      <w:pPr>
        <w:spacing w:after="0" w:line="240" w:lineRule="auto"/>
        <w:jc w:val="center"/>
        <w:rPr>
          <w:rFonts w:ascii="Arial" w:eastAsia="Calibri" w:hAnsi="Arial" w:cs="Arial"/>
          <w:sz w:val="16"/>
          <w:szCs w:val="16"/>
        </w:rPr>
      </w:pPr>
      <w:r w:rsidRPr="00CE0467">
        <w:rPr>
          <w:rFonts w:ascii="Arial" w:eastAsia="Calibri" w:hAnsi="Arial" w:cs="Arial"/>
          <w:sz w:val="16"/>
          <w:szCs w:val="16"/>
        </w:rPr>
        <w:t>Fuente: SIIF Nación –CREG</w:t>
      </w:r>
    </w:p>
    <w:p w14:paraId="084FDAC3" w14:textId="77777777" w:rsidR="00C02282" w:rsidRPr="00CE0467" w:rsidRDefault="00C02282" w:rsidP="00C02282">
      <w:pPr>
        <w:pStyle w:val="Sinespaciado"/>
        <w:ind w:left="708"/>
        <w:jc w:val="center"/>
        <w:rPr>
          <w:rFonts w:ascii="Arial" w:hAnsi="Arial" w:cs="Arial"/>
          <w:b/>
        </w:rPr>
      </w:pPr>
    </w:p>
    <w:p w14:paraId="7A882654" w14:textId="77777777" w:rsidR="00C02282" w:rsidRPr="00CE0467" w:rsidRDefault="00C02282" w:rsidP="00C02282">
      <w:pPr>
        <w:pStyle w:val="Sinespaciado"/>
        <w:ind w:left="708"/>
        <w:rPr>
          <w:rFonts w:ascii="Arial" w:hAnsi="Arial" w:cs="Arial"/>
          <w:b/>
        </w:rPr>
      </w:pPr>
      <w:r w:rsidRPr="00CE0467">
        <w:rPr>
          <w:rFonts w:ascii="Arial" w:hAnsi="Arial" w:cs="Arial"/>
          <w:b/>
        </w:rPr>
        <w:t>Gastos De Funcionamiento</w:t>
      </w:r>
    </w:p>
    <w:p w14:paraId="54336D42" w14:textId="77777777" w:rsidR="00C02282" w:rsidRPr="00CE0467" w:rsidRDefault="00C02282" w:rsidP="00C02282">
      <w:pPr>
        <w:pStyle w:val="Sinespaciado"/>
        <w:ind w:left="708"/>
        <w:rPr>
          <w:rFonts w:ascii="Arial" w:hAnsi="Arial" w:cs="Arial"/>
        </w:rPr>
      </w:pPr>
    </w:p>
    <w:p w14:paraId="6E36E325" w14:textId="77777777" w:rsidR="00CE0467" w:rsidRPr="00105F7F" w:rsidRDefault="00CE0467" w:rsidP="00CE0467">
      <w:pPr>
        <w:pStyle w:val="Sinespaciado"/>
        <w:ind w:left="708"/>
        <w:jc w:val="both"/>
        <w:rPr>
          <w:rFonts w:ascii="Arial" w:hAnsi="Arial" w:cs="Arial"/>
        </w:rPr>
      </w:pPr>
      <w:r w:rsidRPr="00CE0467">
        <w:rPr>
          <w:rFonts w:ascii="Arial" w:hAnsi="Arial" w:cs="Arial"/>
        </w:rPr>
        <w:t>Para gastos de funcionamiento (obligaciones), con respecto al índice de ejecución normal promedio del 50% para el respectivo semestre, se ejecutó para en la fecha de corte el 45%, dada las siguientes razones:</w:t>
      </w:r>
    </w:p>
    <w:p w14:paraId="3C3080C0" w14:textId="77777777" w:rsidR="00C02282" w:rsidRPr="006A67B4" w:rsidRDefault="00C02282" w:rsidP="00C02282">
      <w:pPr>
        <w:pStyle w:val="Sinespaciado"/>
        <w:ind w:left="708"/>
        <w:rPr>
          <w:rFonts w:ascii="Arial" w:hAnsi="Arial" w:cs="Arial"/>
          <w:highlight w:val="yellow"/>
        </w:rPr>
      </w:pPr>
    </w:p>
    <w:p w14:paraId="2BC81434" w14:textId="77777777" w:rsidR="00C02282" w:rsidRPr="00CE0467" w:rsidRDefault="00C02282" w:rsidP="00C02282">
      <w:pPr>
        <w:pStyle w:val="Sinespaciado"/>
        <w:ind w:left="708"/>
        <w:rPr>
          <w:rFonts w:ascii="Arial" w:hAnsi="Arial" w:cs="Arial"/>
          <w:b/>
        </w:rPr>
      </w:pPr>
      <w:r w:rsidRPr="00CE0467">
        <w:rPr>
          <w:rFonts w:ascii="Arial" w:hAnsi="Arial" w:cs="Arial"/>
          <w:b/>
        </w:rPr>
        <w:t xml:space="preserve">Gastos de Personal </w:t>
      </w:r>
    </w:p>
    <w:p w14:paraId="35BBC930" w14:textId="77777777" w:rsidR="00C02282" w:rsidRPr="00CE0467" w:rsidRDefault="00C02282" w:rsidP="00C02282">
      <w:pPr>
        <w:pStyle w:val="Sinespaciado"/>
        <w:ind w:left="708"/>
        <w:rPr>
          <w:rFonts w:ascii="Arial" w:hAnsi="Arial" w:cs="Arial"/>
        </w:rPr>
      </w:pPr>
    </w:p>
    <w:p w14:paraId="10B4484B" w14:textId="77777777" w:rsidR="00CE0467" w:rsidRPr="00CE0467" w:rsidRDefault="00CE0467" w:rsidP="00055F7C">
      <w:pPr>
        <w:pStyle w:val="Prrafodelista"/>
        <w:numPr>
          <w:ilvl w:val="0"/>
          <w:numId w:val="17"/>
        </w:numPr>
        <w:ind w:left="1068"/>
        <w:jc w:val="both"/>
        <w:rPr>
          <w:rFonts w:cs="Arial"/>
        </w:rPr>
      </w:pPr>
      <w:r w:rsidRPr="00CE0467">
        <w:rPr>
          <w:rFonts w:cs="Arial"/>
        </w:rPr>
        <w:t>Con relación al personal de nómina, son el resultado de los pagos generados por los funcionarios de planta de la entidad, para este trimestre se obligó la prima de servicios. Actualmente, la CREG cuenta con una planta de personal de 95 funcionarios, establecida por el Decreto 1261 de 2013. Esta planta está distribuida en nueve (9) directivos, cuarenta y cinco (45) asesores, siete (7) técnicos administrativos, cinco (5) secretarias, veinte (20) Profesionales especializados, un (1) Auxiliar de servicios generales y ocho (8) conductores.</w:t>
      </w:r>
    </w:p>
    <w:p w14:paraId="6F460EC1" w14:textId="77777777" w:rsidR="00CE0467" w:rsidRPr="00CE0467" w:rsidRDefault="00CE0467" w:rsidP="00CE0467">
      <w:pPr>
        <w:pStyle w:val="Sinespaciado"/>
        <w:ind w:left="708"/>
        <w:jc w:val="both"/>
        <w:rPr>
          <w:rFonts w:ascii="Arial" w:hAnsi="Arial" w:cs="Arial"/>
        </w:rPr>
      </w:pPr>
    </w:p>
    <w:p w14:paraId="6DB0F414" w14:textId="77777777" w:rsidR="00CE0467" w:rsidRPr="00CE0467" w:rsidRDefault="00CE0467" w:rsidP="00055F7C">
      <w:pPr>
        <w:pStyle w:val="Sinespaciado"/>
        <w:numPr>
          <w:ilvl w:val="0"/>
          <w:numId w:val="17"/>
        </w:numPr>
        <w:ind w:left="1068"/>
        <w:jc w:val="both"/>
        <w:rPr>
          <w:rFonts w:ascii="Arial" w:hAnsi="Arial" w:cs="Arial"/>
        </w:rPr>
      </w:pPr>
      <w:r w:rsidRPr="00CE0467">
        <w:rPr>
          <w:rFonts w:ascii="Arial" w:hAnsi="Arial" w:cs="Arial"/>
        </w:rPr>
        <w:t xml:space="preserve">Respecto al rubro de Servicios Personales Indirectos, para el segundo trimestre se registraron compromisos de contratos por $61 millones, correspondiente a la adición y prórroga por tres (3) meses del contrato 2014-172 </w:t>
      </w:r>
      <w:proofErr w:type="spellStart"/>
      <w:r w:rsidRPr="00CE0467">
        <w:rPr>
          <w:rFonts w:ascii="Arial" w:hAnsi="Arial" w:cs="Arial"/>
        </w:rPr>
        <w:t>outsourcing</w:t>
      </w:r>
      <w:proofErr w:type="spellEnd"/>
      <w:r w:rsidRPr="00CE0467">
        <w:rPr>
          <w:rFonts w:ascii="Arial" w:hAnsi="Arial" w:cs="Arial"/>
        </w:rPr>
        <w:t xml:space="preserve"> contable y obligaciones por $188 millones de pagos parciales y diferidos de acuerdo a la programación del plan de pagos.</w:t>
      </w:r>
    </w:p>
    <w:p w14:paraId="2FBE6C68" w14:textId="77777777" w:rsidR="00C02282" w:rsidRPr="00CE0467" w:rsidRDefault="00C02282" w:rsidP="00C02282">
      <w:pPr>
        <w:pStyle w:val="Sinespaciado"/>
        <w:ind w:left="708"/>
        <w:rPr>
          <w:rFonts w:ascii="Arial" w:hAnsi="Arial" w:cs="Arial"/>
        </w:rPr>
      </w:pPr>
    </w:p>
    <w:p w14:paraId="389087BF" w14:textId="77777777" w:rsidR="00CE0467" w:rsidRDefault="00CE0467" w:rsidP="00C02282">
      <w:pPr>
        <w:pStyle w:val="Sinespaciado"/>
        <w:ind w:left="708"/>
        <w:rPr>
          <w:rFonts w:ascii="Arial" w:hAnsi="Arial" w:cs="Arial"/>
          <w:b/>
        </w:rPr>
      </w:pPr>
    </w:p>
    <w:p w14:paraId="37519DAF" w14:textId="77777777" w:rsidR="00C02282" w:rsidRPr="00CE0467" w:rsidRDefault="00C02282" w:rsidP="00C02282">
      <w:pPr>
        <w:pStyle w:val="Sinespaciado"/>
        <w:ind w:left="708"/>
        <w:rPr>
          <w:rFonts w:ascii="Arial" w:hAnsi="Arial" w:cs="Arial"/>
          <w:b/>
        </w:rPr>
      </w:pPr>
      <w:r w:rsidRPr="00CE0467">
        <w:rPr>
          <w:rFonts w:ascii="Arial" w:hAnsi="Arial" w:cs="Arial"/>
          <w:b/>
        </w:rPr>
        <w:lastRenderedPageBreak/>
        <w:t xml:space="preserve">Gastos Generales </w:t>
      </w:r>
    </w:p>
    <w:p w14:paraId="511B1C7D" w14:textId="77777777" w:rsidR="00C02282" w:rsidRPr="006A67B4" w:rsidRDefault="00C02282" w:rsidP="00C02282">
      <w:pPr>
        <w:pStyle w:val="Sinespaciado"/>
        <w:ind w:left="708"/>
        <w:rPr>
          <w:rFonts w:ascii="Arial" w:hAnsi="Arial" w:cs="Arial"/>
          <w:highlight w:val="yellow"/>
        </w:rPr>
      </w:pPr>
    </w:p>
    <w:p w14:paraId="3D1D86F6" w14:textId="77777777" w:rsidR="00CE0467" w:rsidRPr="00105F7F" w:rsidRDefault="00CE0467" w:rsidP="00CE0467">
      <w:pPr>
        <w:pStyle w:val="Sinespaciado"/>
        <w:ind w:left="708"/>
        <w:jc w:val="both"/>
        <w:rPr>
          <w:rFonts w:ascii="Arial" w:hAnsi="Arial" w:cs="Arial"/>
        </w:rPr>
      </w:pPr>
      <w:r w:rsidRPr="00105F7F">
        <w:rPr>
          <w:rFonts w:ascii="Arial" w:hAnsi="Arial" w:cs="Arial"/>
        </w:rPr>
        <w:t>En gastos generales durante el segundo trimestre se registraron compromisos por $545 millones y obligaciones por $485 millones de pagos parciales y diferidos de acuerdo a la programación del plan de pagos. Algunos contratos celebrados en el 2014, se están ejecutando en la presente vigencia a través del mecanismo de vigencias futuras.</w:t>
      </w:r>
    </w:p>
    <w:p w14:paraId="30CF5420" w14:textId="77777777" w:rsidR="00CE0467" w:rsidRPr="00105F7F" w:rsidRDefault="00CE0467" w:rsidP="00CE0467">
      <w:pPr>
        <w:pStyle w:val="Sinespaciado"/>
        <w:ind w:left="708"/>
        <w:jc w:val="both"/>
        <w:rPr>
          <w:rFonts w:ascii="Arial" w:hAnsi="Arial" w:cs="Arial"/>
        </w:rPr>
      </w:pPr>
    </w:p>
    <w:p w14:paraId="1CDB116A" w14:textId="77777777" w:rsidR="00CE0467" w:rsidRPr="00105F7F" w:rsidRDefault="00CE0467" w:rsidP="00CE0467">
      <w:pPr>
        <w:pStyle w:val="Sinespaciado"/>
        <w:ind w:left="708"/>
        <w:jc w:val="both"/>
        <w:rPr>
          <w:rFonts w:ascii="Arial" w:hAnsi="Arial" w:cs="Arial"/>
        </w:rPr>
      </w:pPr>
      <w:r w:rsidRPr="00105F7F">
        <w:rPr>
          <w:rFonts w:ascii="Arial" w:hAnsi="Arial" w:cs="Arial"/>
        </w:rPr>
        <w:t>A continuación, mostramos la ejecución presupuestal de los rubros más significativos respecto a las obligaciones:</w:t>
      </w:r>
    </w:p>
    <w:p w14:paraId="1B37D56B" w14:textId="77777777" w:rsidR="00CE0467" w:rsidRPr="00105F7F" w:rsidRDefault="00CE0467" w:rsidP="00CE0467">
      <w:pPr>
        <w:pStyle w:val="Sinespaciado"/>
        <w:ind w:left="708"/>
        <w:jc w:val="both"/>
        <w:rPr>
          <w:rFonts w:ascii="Arial" w:hAnsi="Arial" w:cs="Arial"/>
        </w:rPr>
      </w:pPr>
    </w:p>
    <w:p w14:paraId="48032F68"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Compra de equipos. En el segundo trimestre se registraron obligaciones por $7.9 </w:t>
      </w:r>
      <w:proofErr w:type="spellStart"/>
      <w:r w:rsidRPr="00105F7F">
        <w:rPr>
          <w:rFonts w:ascii="Arial" w:hAnsi="Arial" w:cs="Arial"/>
        </w:rPr>
        <w:t>mlls</w:t>
      </w:r>
      <w:proofErr w:type="spellEnd"/>
      <w:r w:rsidRPr="00105F7F">
        <w:rPr>
          <w:rFonts w:ascii="Arial" w:hAnsi="Arial" w:cs="Arial"/>
        </w:rPr>
        <w:t xml:space="preserve">, para la adquisición del todo el año por gastos menores de suministros y accesorios </w:t>
      </w:r>
      <w:proofErr w:type="spellStart"/>
      <w:r w:rsidRPr="00105F7F">
        <w:rPr>
          <w:rFonts w:ascii="Arial" w:hAnsi="Arial" w:cs="Arial"/>
        </w:rPr>
        <w:t>TICs</w:t>
      </w:r>
      <w:proofErr w:type="spellEnd"/>
      <w:r w:rsidRPr="00105F7F">
        <w:rPr>
          <w:rFonts w:ascii="Arial" w:hAnsi="Arial" w:cs="Arial"/>
        </w:rPr>
        <w:t xml:space="preserve"> (teclados, mouses), tarjetas de acceso, </w:t>
      </w:r>
      <w:proofErr w:type="spellStart"/>
      <w:r w:rsidRPr="00105F7F">
        <w:rPr>
          <w:rFonts w:ascii="Arial" w:hAnsi="Arial" w:cs="Arial"/>
        </w:rPr>
        <w:t>token</w:t>
      </w:r>
      <w:proofErr w:type="spellEnd"/>
      <w:r w:rsidRPr="00105F7F">
        <w:rPr>
          <w:rFonts w:ascii="Arial" w:hAnsi="Arial" w:cs="Arial"/>
        </w:rPr>
        <w:t xml:space="preserve"> (firmas digitales), entre otros.</w:t>
      </w:r>
    </w:p>
    <w:p w14:paraId="3D3E71D6" w14:textId="77777777" w:rsidR="00CE0467" w:rsidRPr="00105F7F" w:rsidRDefault="00CE0467" w:rsidP="00CE0467">
      <w:pPr>
        <w:pStyle w:val="Sinespaciado"/>
        <w:ind w:left="708"/>
        <w:jc w:val="both"/>
        <w:rPr>
          <w:rFonts w:ascii="Arial" w:hAnsi="Arial" w:cs="Arial"/>
        </w:rPr>
      </w:pPr>
    </w:p>
    <w:p w14:paraId="1FA1FC68"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Materiales y suministros. Por este concepto, se observa una ejecución del $67.8 </w:t>
      </w:r>
      <w:proofErr w:type="spellStart"/>
      <w:r w:rsidRPr="00105F7F">
        <w:rPr>
          <w:rFonts w:ascii="Arial" w:hAnsi="Arial" w:cs="Arial"/>
        </w:rPr>
        <w:t>mlls</w:t>
      </w:r>
      <w:proofErr w:type="spellEnd"/>
      <w:r w:rsidRPr="00105F7F">
        <w:rPr>
          <w:rFonts w:ascii="Arial" w:hAnsi="Arial" w:cs="Arial"/>
        </w:rPr>
        <w:t>, para el suministro de combustibles del parque automotor compuesto de ocho (8) vehículos para la gestión de los expertos comisionados de la entidad; además de suministros de tóner y útiles de papelería y oficina, dotación y caja menor.</w:t>
      </w:r>
    </w:p>
    <w:p w14:paraId="245CD735" w14:textId="77777777" w:rsidR="00CE0467" w:rsidRPr="00105F7F" w:rsidRDefault="00CE0467" w:rsidP="00CE0467">
      <w:pPr>
        <w:pStyle w:val="Sinespaciado"/>
        <w:ind w:left="708"/>
        <w:jc w:val="both"/>
        <w:rPr>
          <w:rFonts w:ascii="Arial" w:hAnsi="Arial" w:cs="Arial"/>
        </w:rPr>
      </w:pPr>
    </w:p>
    <w:p w14:paraId="18B8D34A"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Mantenimiento. Se presentó una ejecución en obligaciones en el segundo trimestre de $108.2 </w:t>
      </w:r>
      <w:proofErr w:type="spellStart"/>
      <w:r w:rsidRPr="00105F7F">
        <w:rPr>
          <w:rFonts w:ascii="Arial" w:hAnsi="Arial" w:cs="Arial"/>
        </w:rPr>
        <w:t>mlls</w:t>
      </w:r>
      <w:proofErr w:type="spellEnd"/>
      <w:r w:rsidRPr="00105F7F">
        <w:rPr>
          <w:rFonts w:ascii="Arial" w:hAnsi="Arial" w:cs="Arial"/>
        </w:rPr>
        <w:t xml:space="preserve"> correspondientes al servicio de administración de la propiedad horizontal de la oficina 901 del Edificio </w:t>
      </w:r>
      <w:proofErr w:type="spellStart"/>
      <w:r w:rsidRPr="00105F7F">
        <w:rPr>
          <w:rFonts w:ascii="Arial" w:hAnsi="Arial" w:cs="Arial"/>
        </w:rPr>
        <w:t>Cusezar</w:t>
      </w:r>
      <w:proofErr w:type="spellEnd"/>
      <w:r w:rsidRPr="00105F7F">
        <w:rPr>
          <w:rFonts w:ascii="Arial" w:hAnsi="Arial" w:cs="Arial"/>
        </w:rPr>
        <w:t xml:space="preserve">, oficina 2101 del Edificio Tierra; para el servicio de aseo, cafetería y mantenimiento para ambas sedes de la CREG, servicio de administración y servicio de vigilancia privada y sin armas; servicio de revisión preventiva del sistema contra incendio y  seguridad,  mantenimiento preventivo y correctivo al sistema de aire acondicionado de la CREG y gastos menores de la entidad. </w:t>
      </w:r>
    </w:p>
    <w:p w14:paraId="058E78DB" w14:textId="77777777" w:rsidR="00CE0467" w:rsidRPr="00105F7F" w:rsidRDefault="00CE0467" w:rsidP="00CE0467">
      <w:pPr>
        <w:pStyle w:val="Sinespaciado"/>
        <w:ind w:left="708"/>
        <w:jc w:val="both"/>
        <w:rPr>
          <w:rFonts w:ascii="Arial" w:hAnsi="Arial" w:cs="Arial"/>
        </w:rPr>
      </w:pPr>
    </w:p>
    <w:p w14:paraId="45BF1B29"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Comunicaciones y transportes. Con una ejecución del $10.4 </w:t>
      </w:r>
      <w:proofErr w:type="spellStart"/>
      <w:r w:rsidRPr="00105F7F">
        <w:rPr>
          <w:rFonts w:ascii="Arial" w:hAnsi="Arial" w:cs="Arial"/>
        </w:rPr>
        <w:t>mlls</w:t>
      </w:r>
      <w:proofErr w:type="spellEnd"/>
      <w:r w:rsidRPr="00105F7F">
        <w:rPr>
          <w:rFonts w:ascii="Arial" w:hAnsi="Arial" w:cs="Arial"/>
        </w:rPr>
        <w:t>, para el envío de correo certificado 4-72 de la CREG y para gastos menores de transporte.</w:t>
      </w:r>
    </w:p>
    <w:p w14:paraId="4F81D72D" w14:textId="77777777" w:rsidR="00CE0467" w:rsidRPr="00105F7F" w:rsidRDefault="00CE0467" w:rsidP="00CE0467">
      <w:pPr>
        <w:pStyle w:val="Sinespaciado"/>
        <w:ind w:left="708"/>
        <w:jc w:val="both"/>
        <w:rPr>
          <w:rFonts w:ascii="Arial" w:hAnsi="Arial" w:cs="Arial"/>
        </w:rPr>
      </w:pPr>
    </w:p>
    <w:p w14:paraId="4328A6AC"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Impresos y publicaciones. En el segundo trimestre, se observa una ejecución de obligaciones por $97.4 </w:t>
      </w:r>
      <w:proofErr w:type="spellStart"/>
      <w:r w:rsidRPr="00105F7F">
        <w:rPr>
          <w:rFonts w:ascii="Arial" w:hAnsi="Arial" w:cs="Arial"/>
        </w:rPr>
        <w:t>mlls</w:t>
      </w:r>
      <w:proofErr w:type="spellEnd"/>
      <w:r w:rsidRPr="00105F7F">
        <w:rPr>
          <w:rFonts w:ascii="Arial" w:hAnsi="Arial" w:cs="Arial"/>
        </w:rPr>
        <w:t>, para publicar en el Diario Oficial avisos, resoluciones de carácter general, de aprobación de cargos de distribución y comercialización, actualización de ingreso al regulado de las actividades de transmisión y distribución de energía eléctrica, aprobación de cargos de comercialización de energía eléctrica y de contribución especial, y gastos menores de la entidad.</w:t>
      </w:r>
    </w:p>
    <w:p w14:paraId="098EFFB6" w14:textId="77777777" w:rsidR="00CE0467" w:rsidRPr="00105F7F" w:rsidRDefault="00CE0467" w:rsidP="00CE0467">
      <w:pPr>
        <w:pStyle w:val="Sinespaciado"/>
        <w:ind w:left="708"/>
        <w:jc w:val="both"/>
        <w:rPr>
          <w:rFonts w:ascii="Arial" w:hAnsi="Arial" w:cs="Arial"/>
        </w:rPr>
      </w:pPr>
    </w:p>
    <w:p w14:paraId="4DF499D2"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Servicios públicos. Con una ejecución de $28 </w:t>
      </w:r>
      <w:proofErr w:type="spellStart"/>
      <w:r w:rsidRPr="00105F7F">
        <w:rPr>
          <w:rFonts w:ascii="Arial" w:hAnsi="Arial" w:cs="Arial"/>
        </w:rPr>
        <w:t>mlls</w:t>
      </w:r>
      <w:proofErr w:type="spellEnd"/>
      <w:r w:rsidRPr="00105F7F">
        <w:rPr>
          <w:rFonts w:ascii="Arial" w:hAnsi="Arial" w:cs="Arial"/>
        </w:rPr>
        <w:t xml:space="preserve">, Por concepto de servicios públicos. de energía, teléfono (fijo y celular), de las oficinas de la CREG y Servicio de canal principal y de respaldo de acceso dedicado a internet, canal de conexión entre dos sedes y servicios GNAP. </w:t>
      </w:r>
    </w:p>
    <w:p w14:paraId="3BBDE9AD" w14:textId="77777777" w:rsidR="00CE0467" w:rsidRPr="00105F7F" w:rsidRDefault="00CE0467" w:rsidP="00CE0467">
      <w:pPr>
        <w:pStyle w:val="Sinespaciado"/>
        <w:ind w:left="708"/>
        <w:jc w:val="both"/>
        <w:rPr>
          <w:rFonts w:ascii="Arial" w:hAnsi="Arial" w:cs="Arial"/>
        </w:rPr>
      </w:pPr>
    </w:p>
    <w:p w14:paraId="7FBA6A42"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Arrendamientos: Presentando una ejecución del $301.9 </w:t>
      </w:r>
      <w:proofErr w:type="spellStart"/>
      <w:r w:rsidRPr="00105F7F">
        <w:rPr>
          <w:rFonts w:ascii="Arial" w:hAnsi="Arial" w:cs="Arial"/>
        </w:rPr>
        <w:t>mlls</w:t>
      </w:r>
      <w:proofErr w:type="spellEnd"/>
      <w:r w:rsidRPr="00105F7F">
        <w:rPr>
          <w:rFonts w:ascii="Arial" w:hAnsi="Arial" w:cs="Arial"/>
        </w:rPr>
        <w:t xml:space="preserve">, de contratos celebrados con vigencias futuras para el arrendamiento de un bien inmueble de las oficinas de </w:t>
      </w:r>
      <w:r w:rsidRPr="00105F7F">
        <w:rPr>
          <w:rFonts w:ascii="Arial" w:hAnsi="Arial" w:cs="Arial"/>
        </w:rPr>
        <w:lastRenderedPageBreak/>
        <w:t>combustibles líquidos y la custodia del archivo físico. Con pagos parciales durante la anualidad.</w:t>
      </w:r>
    </w:p>
    <w:p w14:paraId="2D8B7311" w14:textId="77777777" w:rsidR="00CE0467" w:rsidRPr="00105F7F" w:rsidRDefault="00CE0467" w:rsidP="00CE0467">
      <w:pPr>
        <w:pStyle w:val="Sinespaciado"/>
        <w:ind w:left="708"/>
        <w:jc w:val="both"/>
        <w:rPr>
          <w:rFonts w:ascii="Arial" w:hAnsi="Arial" w:cs="Arial"/>
        </w:rPr>
      </w:pPr>
    </w:p>
    <w:p w14:paraId="59CA2E36" w14:textId="77777777" w:rsidR="00CE0467" w:rsidRPr="00105F7F" w:rsidRDefault="00CE0467" w:rsidP="00055F7C">
      <w:pPr>
        <w:pStyle w:val="Sinespaciado"/>
        <w:numPr>
          <w:ilvl w:val="0"/>
          <w:numId w:val="18"/>
        </w:numPr>
        <w:ind w:left="1069"/>
        <w:jc w:val="both"/>
        <w:rPr>
          <w:rFonts w:ascii="Arial" w:hAnsi="Arial" w:cs="Arial"/>
        </w:rPr>
      </w:pPr>
      <w:r w:rsidRPr="00105F7F">
        <w:rPr>
          <w:rFonts w:ascii="Arial" w:hAnsi="Arial" w:cs="Arial"/>
        </w:rPr>
        <w:t xml:space="preserve">Capacitación bienestar social y estímulos: Presenta una ejecución en el segundo trimestre de $5.5 </w:t>
      </w:r>
      <w:proofErr w:type="spellStart"/>
      <w:r w:rsidRPr="00105F7F">
        <w:rPr>
          <w:rFonts w:ascii="Arial" w:hAnsi="Arial" w:cs="Arial"/>
        </w:rPr>
        <w:t>mlls</w:t>
      </w:r>
      <w:proofErr w:type="spellEnd"/>
      <w:r w:rsidRPr="00105F7F">
        <w:rPr>
          <w:rFonts w:ascii="Arial" w:hAnsi="Arial" w:cs="Arial"/>
        </w:rPr>
        <w:t>, para el contratar los servicios prestados para funcionarios de planta de la CREG dentro del plan de bienestar social de la entidad para la vigencia 2018.</w:t>
      </w:r>
    </w:p>
    <w:p w14:paraId="3C5BC20E" w14:textId="77777777" w:rsidR="00CE0467" w:rsidRPr="00105F7F" w:rsidRDefault="00CE0467" w:rsidP="00CE0467">
      <w:pPr>
        <w:pStyle w:val="Prrafodelista"/>
        <w:rPr>
          <w:rFonts w:cs="Arial"/>
        </w:rPr>
      </w:pPr>
    </w:p>
    <w:p w14:paraId="27307744" w14:textId="77777777" w:rsidR="00CE0467" w:rsidRPr="00105F7F" w:rsidRDefault="00CE0467" w:rsidP="00055F7C">
      <w:pPr>
        <w:pStyle w:val="Sinespaciado"/>
        <w:numPr>
          <w:ilvl w:val="0"/>
          <w:numId w:val="18"/>
        </w:numPr>
        <w:ind w:left="1068"/>
        <w:jc w:val="both"/>
        <w:rPr>
          <w:rFonts w:ascii="Arial" w:hAnsi="Arial" w:cs="Arial"/>
        </w:rPr>
      </w:pPr>
      <w:r w:rsidRPr="00105F7F">
        <w:rPr>
          <w:rFonts w:ascii="Arial" w:hAnsi="Arial" w:cs="Arial"/>
        </w:rPr>
        <w:t xml:space="preserve">Gastos financieros. Obligaciones de $64 </w:t>
      </w:r>
      <w:proofErr w:type="spellStart"/>
      <w:r w:rsidRPr="00105F7F">
        <w:rPr>
          <w:rFonts w:ascii="Arial" w:hAnsi="Arial" w:cs="Arial"/>
        </w:rPr>
        <w:t>mlls</w:t>
      </w:r>
      <w:proofErr w:type="spellEnd"/>
      <w:r w:rsidRPr="00105F7F">
        <w:rPr>
          <w:rFonts w:ascii="Arial" w:hAnsi="Arial" w:cs="Arial"/>
        </w:rPr>
        <w:t>, con cargo a la vigencia futura constituida para la administración de los recursos de la CREG, gravámenes a los movimientos financieros y gastos menores de la entidad.</w:t>
      </w:r>
    </w:p>
    <w:p w14:paraId="324C5737" w14:textId="77777777" w:rsidR="00C02282" w:rsidRPr="006A67B4" w:rsidRDefault="00C02282" w:rsidP="00C02282">
      <w:pPr>
        <w:pStyle w:val="Sinespaciado"/>
        <w:rPr>
          <w:rFonts w:ascii="Arial" w:hAnsi="Arial" w:cs="Arial"/>
          <w:highlight w:val="yellow"/>
        </w:rPr>
      </w:pPr>
    </w:p>
    <w:p w14:paraId="35BA95C0" w14:textId="77777777" w:rsidR="00C02282" w:rsidRPr="002D3798" w:rsidRDefault="00C02282" w:rsidP="008B4625">
      <w:pPr>
        <w:pStyle w:val="Ttulo3"/>
        <w:numPr>
          <w:ilvl w:val="2"/>
          <w:numId w:val="35"/>
        </w:numPr>
        <w:rPr>
          <w:rFonts w:ascii="Arial" w:eastAsia="Calibri" w:hAnsi="Arial" w:cs="Arial"/>
          <w:color w:val="auto"/>
        </w:rPr>
      </w:pPr>
      <w:bookmarkStart w:id="281" w:name="_Toc525652082"/>
      <w:r w:rsidRPr="002D3798">
        <w:rPr>
          <w:rFonts w:ascii="Arial" w:eastAsia="Calibri" w:hAnsi="Arial" w:cs="Arial"/>
          <w:color w:val="auto"/>
        </w:rPr>
        <w:t>Ejecución presupuestal Gastos de Inversión</w:t>
      </w:r>
      <w:bookmarkEnd w:id="281"/>
    </w:p>
    <w:p w14:paraId="520FA623" w14:textId="77777777" w:rsidR="00C02282" w:rsidRPr="002D3798" w:rsidRDefault="00C02282" w:rsidP="00C02282">
      <w:pPr>
        <w:spacing w:after="0" w:line="240" w:lineRule="auto"/>
        <w:rPr>
          <w:rFonts w:ascii="Arial" w:eastAsia="Calibri" w:hAnsi="Arial" w:cs="Arial"/>
        </w:rPr>
      </w:pPr>
    </w:p>
    <w:p w14:paraId="3D65802E" w14:textId="77777777" w:rsidR="00C02282" w:rsidRPr="002D3798" w:rsidRDefault="00C02282" w:rsidP="00C02282">
      <w:pPr>
        <w:spacing w:after="0" w:line="240" w:lineRule="auto"/>
        <w:ind w:left="708"/>
        <w:jc w:val="both"/>
        <w:rPr>
          <w:rFonts w:ascii="Arial" w:eastAsia="Calibri" w:hAnsi="Arial" w:cs="Arial"/>
        </w:rPr>
      </w:pPr>
      <w:r w:rsidRPr="002D3798">
        <w:rPr>
          <w:rFonts w:ascii="Arial" w:eastAsia="Calibri" w:hAnsi="Arial" w:cs="Arial"/>
        </w:rPr>
        <w:t>Con base en lo establecido en los objetivos estratégicos, en la definición de las acciones de corto y mediano plazo de la Comisión para el logro de sus objetivos se tiene definidos los proyectos de inversión en dos grupos así:</w:t>
      </w:r>
    </w:p>
    <w:p w14:paraId="79F33B06" w14:textId="77777777" w:rsidR="00C02282" w:rsidRPr="002D3798" w:rsidRDefault="00C02282" w:rsidP="00C02282">
      <w:pPr>
        <w:spacing w:after="0" w:line="240" w:lineRule="auto"/>
        <w:ind w:left="708"/>
        <w:jc w:val="both"/>
        <w:rPr>
          <w:rFonts w:ascii="Arial" w:eastAsia="Calibri" w:hAnsi="Arial" w:cs="Arial"/>
        </w:rPr>
      </w:pPr>
    </w:p>
    <w:p w14:paraId="032C5EFA" w14:textId="77777777" w:rsidR="00C02282" w:rsidRPr="002D3798" w:rsidRDefault="00C02282" w:rsidP="00055F7C">
      <w:pPr>
        <w:pStyle w:val="Prrafodelista"/>
        <w:numPr>
          <w:ilvl w:val="0"/>
          <w:numId w:val="19"/>
        </w:numPr>
        <w:spacing w:after="0" w:line="240" w:lineRule="auto"/>
        <w:ind w:left="1068"/>
        <w:jc w:val="both"/>
        <w:rPr>
          <w:rFonts w:eastAsia="Calibri" w:cs="Arial"/>
        </w:rPr>
      </w:pPr>
      <w:r w:rsidRPr="002D3798">
        <w:rPr>
          <w:rFonts w:eastAsia="Calibri" w:cs="Arial"/>
        </w:rPr>
        <w:t>Tres (3) Proyectos de inversión transversales</w:t>
      </w:r>
    </w:p>
    <w:p w14:paraId="584451CB" w14:textId="77777777" w:rsidR="00C02282" w:rsidRPr="002D3798" w:rsidRDefault="00C02282" w:rsidP="00055F7C">
      <w:pPr>
        <w:pStyle w:val="Prrafodelista"/>
        <w:numPr>
          <w:ilvl w:val="0"/>
          <w:numId w:val="19"/>
        </w:numPr>
        <w:spacing w:after="0" w:line="240" w:lineRule="auto"/>
        <w:ind w:left="1068"/>
        <w:jc w:val="both"/>
        <w:rPr>
          <w:rFonts w:eastAsia="Calibri" w:cs="Arial"/>
        </w:rPr>
      </w:pPr>
      <w:r w:rsidRPr="002D3798">
        <w:rPr>
          <w:rFonts w:eastAsia="Calibri" w:cs="Arial"/>
        </w:rPr>
        <w:t>Dos (2) Proyectos de inversión misionales</w:t>
      </w:r>
    </w:p>
    <w:p w14:paraId="5002C2B2" w14:textId="77777777" w:rsidR="00C02282" w:rsidRPr="002D3798" w:rsidRDefault="00C02282" w:rsidP="00C02282">
      <w:pPr>
        <w:pStyle w:val="Prrafodelista"/>
        <w:spacing w:after="0" w:line="240" w:lineRule="auto"/>
        <w:ind w:left="1068"/>
        <w:jc w:val="both"/>
        <w:rPr>
          <w:rFonts w:eastAsia="Calibri" w:cs="Arial"/>
        </w:rPr>
      </w:pPr>
    </w:p>
    <w:p w14:paraId="14F4115D" w14:textId="77777777" w:rsidR="00C02282" w:rsidRPr="002D3798" w:rsidRDefault="00C02282" w:rsidP="00C02282">
      <w:pPr>
        <w:spacing w:after="0" w:line="240" w:lineRule="auto"/>
        <w:ind w:left="708"/>
        <w:jc w:val="both"/>
        <w:rPr>
          <w:rFonts w:ascii="Arial" w:eastAsia="Calibri" w:hAnsi="Arial" w:cs="Arial"/>
        </w:rPr>
      </w:pPr>
      <w:r w:rsidRPr="002D3798">
        <w:rPr>
          <w:rFonts w:ascii="Arial" w:eastAsia="Calibri" w:hAnsi="Arial" w:cs="Arial"/>
        </w:rPr>
        <w:t>Dentro de los proyectos misionales cabe destacar que uno financia las actividades correspondientes a los sectores de energía eléctrica y gas combustible y el otro financia las actividades inherentes al sector de los combustibles líquidos. A continuación, se muestra el avance de la ejecución presupuestal acumulado al primer trimestre de 2018:</w:t>
      </w:r>
    </w:p>
    <w:p w14:paraId="724AE96F" w14:textId="77777777" w:rsidR="00C02282" w:rsidRPr="006A67B4" w:rsidRDefault="00C02282" w:rsidP="00C02282">
      <w:pPr>
        <w:rPr>
          <w:rFonts w:ascii="Arial" w:eastAsia="Calibri" w:hAnsi="Arial" w:cs="Arial"/>
          <w:sz w:val="16"/>
          <w:szCs w:val="16"/>
          <w:highlight w:val="yellow"/>
        </w:rPr>
      </w:pPr>
    </w:p>
    <w:p w14:paraId="3EEA408F" w14:textId="2D31DFE5" w:rsidR="00C02282" w:rsidRPr="00CE0467" w:rsidRDefault="00C02282" w:rsidP="00C02282">
      <w:pPr>
        <w:pStyle w:val="Descripcin"/>
        <w:keepNext/>
        <w:jc w:val="center"/>
      </w:pPr>
      <w:bookmarkStart w:id="282" w:name="_Toc525652567"/>
      <w:r w:rsidRPr="00CE0467">
        <w:t xml:space="preserve">Tabla </w:t>
      </w:r>
      <w:r w:rsidRPr="00CE0467">
        <w:fldChar w:fldCharType="begin"/>
      </w:r>
      <w:r w:rsidRPr="00CE0467">
        <w:instrText xml:space="preserve"> SEQ Tabla \* ARABIC </w:instrText>
      </w:r>
      <w:r w:rsidRPr="00CE0467">
        <w:fldChar w:fldCharType="separate"/>
      </w:r>
      <w:r w:rsidR="008B4625">
        <w:rPr>
          <w:noProof/>
        </w:rPr>
        <w:t>122</w:t>
      </w:r>
      <w:r w:rsidRPr="00CE0467">
        <w:fldChar w:fldCharType="end"/>
      </w:r>
      <w:r w:rsidR="00CE0467" w:rsidRPr="00CE0467">
        <w:t xml:space="preserve"> </w:t>
      </w:r>
      <w:r w:rsidRPr="00CE0467">
        <w:t xml:space="preserve">Comportamiento de la Ejecución Presupuestal, Gastos de Inversión </w:t>
      </w:r>
      <w:r w:rsidR="00CE0467" w:rsidRPr="00CE0467">
        <w:t xml:space="preserve">a 30 de junio de </w:t>
      </w:r>
      <w:r w:rsidRPr="00CE0467">
        <w:t>2018 CREG</w:t>
      </w:r>
      <w:bookmarkEnd w:id="282"/>
    </w:p>
    <w:p w14:paraId="3BBB83BE" w14:textId="7921DFE5" w:rsidR="00C02282" w:rsidRPr="00CE0467" w:rsidRDefault="00CE0467" w:rsidP="00C02282">
      <w:pPr>
        <w:spacing w:after="0" w:line="240" w:lineRule="auto"/>
        <w:ind w:firstLine="708"/>
        <w:rPr>
          <w:rFonts w:ascii="Arial" w:eastAsia="Calibri" w:hAnsi="Arial" w:cs="Arial"/>
        </w:rPr>
      </w:pPr>
      <w:r w:rsidRPr="00CE0467">
        <w:rPr>
          <w:rFonts w:ascii="Arial" w:hAnsi="Arial" w:cs="Arial"/>
          <w:noProof/>
          <w:lang w:eastAsia="es-CO"/>
        </w:rPr>
        <w:drawing>
          <wp:inline distT="0" distB="0" distL="0" distR="0" wp14:anchorId="23973A19" wp14:editId="59360BEA">
            <wp:extent cx="5177860" cy="2159477"/>
            <wp:effectExtent l="0" t="0" r="381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t="7256"/>
                    <a:stretch/>
                  </pic:blipFill>
                  <pic:spPr bwMode="auto">
                    <a:xfrm>
                      <a:off x="0" y="0"/>
                      <a:ext cx="5241529" cy="2186031"/>
                    </a:xfrm>
                    <a:prstGeom prst="rect">
                      <a:avLst/>
                    </a:prstGeom>
                    <a:noFill/>
                    <a:ln>
                      <a:noFill/>
                    </a:ln>
                    <a:extLst>
                      <a:ext uri="{53640926-AAD7-44D8-BBD7-CCE9431645EC}">
                        <a14:shadowObscured xmlns:a14="http://schemas.microsoft.com/office/drawing/2010/main"/>
                      </a:ext>
                    </a:extLst>
                  </pic:spPr>
                </pic:pic>
              </a:graphicData>
            </a:graphic>
          </wp:inline>
        </w:drawing>
      </w:r>
    </w:p>
    <w:p w14:paraId="23B9E90A" w14:textId="77777777" w:rsidR="00C02282" w:rsidRPr="00CE0467" w:rsidRDefault="00C02282" w:rsidP="00C02282">
      <w:pPr>
        <w:spacing w:after="0" w:line="240" w:lineRule="auto"/>
        <w:jc w:val="center"/>
        <w:rPr>
          <w:rFonts w:ascii="Arial" w:hAnsi="Arial" w:cs="Arial"/>
          <w:sz w:val="16"/>
          <w:szCs w:val="16"/>
          <w:lang w:eastAsia="es-ES"/>
        </w:rPr>
      </w:pPr>
      <w:r w:rsidRPr="00CE0467">
        <w:rPr>
          <w:rFonts w:ascii="Arial" w:hAnsi="Arial" w:cs="Arial"/>
          <w:sz w:val="16"/>
          <w:szCs w:val="16"/>
          <w:lang w:eastAsia="es-ES"/>
        </w:rPr>
        <w:t>Millones de pesos</w:t>
      </w:r>
    </w:p>
    <w:p w14:paraId="2E2DF662" w14:textId="77777777" w:rsidR="00C02282" w:rsidRPr="00CE0467" w:rsidRDefault="00C02282" w:rsidP="00C02282">
      <w:pPr>
        <w:spacing w:after="0" w:line="240" w:lineRule="auto"/>
        <w:jc w:val="center"/>
        <w:rPr>
          <w:rFonts w:ascii="Arial" w:eastAsia="Calibri" w:hAnsi="Arial" w:cs="Arial"/>
          <w:sz w:val="16"/>
          <w:szCs w:val="16"/>
        </w:rPr>
      </w:pPr>
      <w:r w:rsidRPr="00CE0467">
        <w:rPr>
          <w:rFonts w:ascii="Arial" w:eastAsia="Calibri" w:hAnsi="Arial" w:cs="Arial"/>
          <w:sz w:val="16"/>
          <w:szCs w:val="16"/>
        </w:rPr>
        <w:t>Fuente: SIIF Nación CREG</w:t>
      </w:r>
    </w:p>
    <w:p w14:paraId="3451C799" w14:textId="77777777" w:rsidR="00C02282" w:rsidRPr="006A67B4" w:rsidRDefault="00C02282" w:rsidP="00C02282">
      <w:pPr>
        <w:spacing w:after="0" w:line="240" w:lineRule="auto"/>
        <w:jc w:val="center"/>
        <w:rPr>
          <w:rFonts w:ascii="Arial" w:eastAsia="Calibri" w:hAnsi="Arial" w:cs="Arial"/>
          <w:highlight w:val="yellow"/>
        </w:rPr>
      </w:pPr>
    </w:p>
    <w:p w14:paraId="2A61BE1C"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lastRenderedPageBreak/>
        <w:t>Con las actividades realizadas se ha avanzado de acuerdo con los compromisos establecidos y las obligaciones causadas en cada uno de los proyectos durante el segundo trimestre de la vigencia.</w:t>
      </w:r>
    </w:p>
    <w:p w14:paraId="316AE611" w14:textId="77777777" w:rsidR="00C02282" w:rsidRPr="006A67B4" w:rsidRDefault="00C02282" w:rsidP="00C02282">
      <w:pPr>
        <w:spacing w:after="0" w:line="240" w:lineRule="auto"/>
        <w:ind w:left="708"/>
        <w:rPr>
          <w:rFonts w:ascii="Arial" w:eastAsia="Calibri" w:hAnsi="Arial" w:cs="Arial"/>
          <w:highlight w:val="yellow"/>
        </w:rPr>
      </w:pPr>
    </w:p>
    <w:p w14:paraId="6D08E2A1" w14:textId="77777777" w:rsidR="00C02282" w:rsidRPr="00CE0467" w:rsidRDefault="00C02282" w:rsidP="00C02282">
      <w:pPr>
        <w:spacing w:after="0" w:line="240" w:lineRule="auto"/>
        <w:ind w:left="708"/>
        <w:rPr>
          <w:rFonts w:ascii="Arial" w:eastAsia="Calibri" w:hAnsi="Arial" w:cs="Arial"/>
          <w:b/>
        </w:rPr>
      </w:pPr>
      <w:r w:rsidRPr="00CE0467">
        <w:rPr>
          <w:rFonts w:ascii="Arial" w:eastAsia="Calibri" w:hAnsi="Arial" w:cs="Arial"/>
          <w:b/>
        </w:rPr>
        <w:t>PROYECTO 1: ADQUISICIÓN, MODERNIZACIÓN Y MEJORAMIENTO DE LAS TIC´S DE LA CREG A NIVEL NACIONAL</w:t>
      </w:r>
    </w:p>
    <w:p w14:paraId="08EB2D22" w14:textId="77777777" w:rsidR="00C02282" w:rsidRPr="006A67B4" w:rsidRDefault="00C02282" w:rsidP="00C02282">
      <w:pPr>
        <w:spacing w:after="0" w:line="240" w:lineRule="auto"/>
        <w:ind w:left="708"/>
        <w:rPr>
          <w:rFonts w:ascii="Arial" w:eastAsia="Calibri" w:hAnsi="Arial" w:cs="Arial"/>
          <w:highlight w:val="yellow"/>
        </w:rPr>
      </w:pPr>
    </w:p>
    <w:p w14:paraId="1F44C4C5" w14:textId="77777777" w:rsidR="00CE0467" w:rsidRPr="00105F7F" w:rsidRDefault="00CE0467" w:rsidP="00CE0467">
      <w:pPr>
        <w:pStyle w:val="textocontenidogeneral"/>
        <w:spacing w:before="0" w:beforeAutospacing="0" w:after="0" w:afterAutospacing="0"/>
        <w:ind w:left="709"/>
        <w:jc w:val="both"/>
        <w:rPr>
          <w:color w:val="auto"/>
          <w:sz w:val="22"/>
          <w:szCs w:val="22"/>
          <w:lang w:val="es-CO"/>
        </w:rPr>
      </w:pPr>
      <w:r w:rsidRPr="00105F7F">
        <w:rPr>
          <w:color w:val="auto"/>
          <w:sz w:val="22"/>
          <w:szCs w:val="22"/>
          <w:lang w:val="es-CO"/>
        </w:rPr>
        <w:t>Al corte del mes de junio de 2018, los compromisos acumulados son de $ 811 millones de pesos equivalente al 57,26% de los recursos asignados por valor de $ 1.416 millones pesos y se han obligado recursos por valor de $ 441 millones que corresponde al 31,16% de la apropiación. Dentro de los compromisos firmados más significativos para el proyecto dentro del trimestre, podemos mencionar:</w:t>
      </w:r>
    </w:p>
    <w:p w14:paraId="2C3D7A4E" w14:textId="77777777" w:rsidR="00CE0467" w:rsidRPr="00105F7F" w:rsidRDefault="00CE0467" w:rsidP="00CE0467">
      <w:pPr>
        <w:pStyle w:val="textocontenidogeneral"/>
        <w:spacing w:before="0" w:beforeAutospacing="0" w:after="0" w:afterAutospacing="0"/>
        <w:ind w:left="709"/>
        <w:jc w:val="both"/>
        <w:rPr>
          <w:color w:val="auto"/>
          <w:sz w:val="22"/>
          <w:szCs w:val="22"/>
          <w:lang w:val="es-CO"/>
        </w:rPr>
      </w:pPr>
    </w:p>
    <w:p w14:paraId="4D89D9C7" w14:textId="77777777" w:rsidR="00CE0467" w:rsidRPr="00105F7F" w:rsidRDefault="00CE0467" w:rsidP="008B4625">
      <w:pPr>
        <w:pStyle w:val="textocontenidogeneral"/>
        <w:numPr>
          <w:ilvl w:val="0"/>
          <w:numId w:val="45"/>
        </w:numPr>
        <w:spacing w:before="0" w:beforeAutospacing="0" w:after="0" w:afterAutospacing="0"/>
        <w:jc w:val="both"/>
        <w:rPr>
          <w:color w:val="auto"/>
          <w:sz w:val="22"/>
          <w:szCs w:val="22"/>
          <w:lang w:val="es-CO"/>
        </w:rPr>
      </w:pPr>
      <w:r w:rsidRPr="00105F7F">
        <w:rPr>
          <w:color w:val="auto"/>
          <w:sz w:val="22"/>
          <w:szCs w:val="22"/>
          <w:lang w:val="es-CO"/>
        </w:rPr>
        <w:t xml:space="preserve">Contratación del servicio de </w:t>
      </w:r>
      <w:proofErr w:type="spellStart"/>
      <w:r w:rsidRPr="00105F7F">
        <w:rPr>
          <w:color w:val="auto"/>
          <w:sz w:val="22"/>
          <w:szCs w:val="22"/>
          <w:lang w:val="es-CO"/>
        </w:rPr>
        <w:t>Outsourcing</w:t>
      </w:r>
      <w:proofErr w:type="spellEnd"/>
      <w:r w:rsidRPr="00105F7F">
        <w:rPr>
          <w:color w:val="auto"/>
          <w:sz w:val="22"/>
          <w:szCs w:val="22"/>
          <w:lang w:val="es-CO"/>
        </w:rPr>
        <w:t xml:space="preserve"> de IT que cumpla con las características técnicas y requerimientos mínimos exigidos por la CREG para apoyar el área de IT en las instalaciones de la CREG.</w:t>
      </w:r>
    </w:p>
    <w:p w14:paraId="3C748029" w14:textId="77777777" w:rsidR="00CE0467" w:rsidRPr="00105F7F" w:rsidRDefault="00CE0467" w:rsidP="00CE0467">
      <w:pPr>
        <w:pStyle w:val="textocontenidogeneral"/>
        <w:spacing w:before="0" w:beforeAutospacing="0" w:after="0" w:afterAutospacing="0"/>
        <w:ind w:left="720"/>
        <w:jc w:val="both"/>
        <w:rPr>
          <w:color w:val="auto"/>
          <w:sz w:val="22"/>
          <w:szCs w:val="22"/>
          <w:lang w:val="es-CO"/>
        </w:rPr>
      </w:pPr>
    </w:p>
    <w:p w14:paraId="5C6568B4"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Para el proyecto se han obligado recursos por valor de $ 441 millones que corresponde al 31,14% de la apropiación, por medio de los cuales se da cumplimiento a los compromisos adquiridos, entre los cuales podemos citar:</w:t>
      </w:r>
    </w:p>
    <w:p w14:paraId="396EA9FE" w14:textId="77777777" w:rsidR="00CE0467" w:rsidRPr="00105F7F" w:rsidRDefault="00CE0467" w:rsidP="00CE0467">
      <w:pPr>
        <w:pStyle w:val="textocontenidogeneral"/>
        <w:spacing w:before="0" w:beforeAutospacing="0" w:after="0" w:afterAutospacing="0"/>
        <w:ind w:left="720"/>
        <w:jc w:val="both"/>
        <w:rPr>
          <w:color w:val="auto"/>
          <w:sz w:val="22"/>
          <w:szCs w:val="22"/>
          <w:lang w:val="es-CO"/>
        </w:rPr>
      </w:pPr>
    </w:p>
    <w:p w14:paraId="657C3EA0" w14:textId="77777777" w:rsidR="00CE0467" w:rsidRPr="00105F7F" w:rsidRDefault="00CE0467" w:rsidP="008B4625">
      <w:pPr>
        <w:pStyle w:val="textocontenidogeneral"/>
        <w:numPr>
          <w:ilvl w:val="0"/>
          <w:numId w:val="45"/>
        </w:numPr>
        <w:spacing w:before="0" w:beforeAutospacing="0" w:after="0" w:afterAutospacing="0"/>
        <w:jc w:val="both"/>
        <w:rPr>
          <w:color w:val="auto"/>
          <w:sz w:val="22"/>
          <w:szCs w:val="22"/>
          <w:lang w:val="es-CO"/>
        </w:rPr>
      </w:pPr>
      <w:r w:rsidRPr="00105F7F">
        <w:rPr>
          <w:color w:val="auto"/>
          <w:sz w:val="22"/>
          <w:szCs w:val="22"/>
          <w:lang w:val="es-CO"/>
        </w:rPr>
        <w:t>Pagos mensuales por el servicio de gestión y mantenimiento del Sistema de Gestión de Seguridad de la Información.</w:t>
      </w:r>
    </w:p>
    <w:p w14:paraId="6A7B79A8" w14:textId="77777777" w:rsidR="00CE0467" w:rsidRPr="00105F7F" w:rsidRDefault="00CE0467" w:rsidP="00CE0467">
      <w:pPr>
        <w:pStyle w:val="Prrafodelista"/>
        <w:rPr>
          <w:rFonts w:cs="Arial"/>
        </w:rPr>
      </w:pPr>
    </w:p>
    <w:p w14:paraId="1DF713B3" w14:textId="77777777" w:rsidR="00CE0467" w:rsidRPr="00105F7F" w:rsidRDefault="00CE0467" w:rsidP="008B4625">
      <w:pPr>
        <w:pStyle w:val="textocontenidogeneral"/>
        <w:numPr>
          <w:ilvl w:val="0"/>
          <w:numId w:val="45"/>
        </w:numPr>
        <w:spacing w:before="0" w:beforeAutospacing="0" w:after="0" w:afterAutospacing="0"/>
        <w:jc w:val="both"/>
        <w:rPr>
          <w:color w:val="auto"/>
          <w:sz w:val="22"/>
          <w:szCs w:val="22"/>
          <w:lang w:val="es-CO"/>
        </w:rPr>
      </w:pPr>
      <w:r w:rsidRPr="00105F7F">
        <w:rPr>
          <w:color w:val="auto"/>
          <w:sz w:val="22"/>
          <w:szCs w:val="22"/>
          <w:lang w:val="es-CO"/>
        </w:rPr>
        <w:t>Pago por el servicio mediante la modalidad de bolsa de horas el soporte, mantenimiento, asistencia técnica y desarrollo de ajustes del aplicativo SIGEP.</w:t>
      </w:r>
    </w:p>
    <w:p w14:paraId="2ABB828F" w14:textId="77777777" w:rsidR="00CE0467" w:rsidRPr="00105F7F" w:rsidRDefault="00CE0467" w:rsidP="00CE0467">
      <w:pPr>
        <w:pStyle w:val="Prrafodelista"/>
        <w:rPr>
          <w:rFonts w:cs="Arial"/>
        </w:rPr>
      </w:pPr>
    </w:p>
    <w:p w14:paraId="768C7B31" w14:textId="77777777" w:rsidR="00CE0467" w:rsidRPr="00105F7F" w:rsidRDefault="00CE0467" w:rsidP="008B4625">
      <w:pPr>
        <w:pStyle w:val="textocontenidogeneral"/>
        <w:numPr>
          <w:ilvl w:val="0"/>
          <w:numId w:val="45"/>
        </w:numPr>
        <w:spacing w:before="0" w:beforeAutospacing="0" w:after="0" w:afterAutospacing="0"/>
        <w:jc w:val="both"/>
        <w:rPr>
          <w:color w:val="auto"/>
          <w:sz w:val="22"/>
          <w:szCs w:val="22"/>
          <w:lang w:val="es-CO"/>
        </w:rPr>
      </w:pPr>
      <w:r w:rsidRPr="00105F7F">
        <w:rPr>
          <w:color w:val="auto"/>
          <w:sz w:val="22"/>
          <w:szCs w:val="22"/>
          <w:lang w:val="es-CO"/>
        </w:rPr>
        <w:t>Pago por el servicio de mantenimiento y soporte técnico integral ISODOC, instalado en la CREG.</w:t>
      </w:r>
    </w:p>
    <w:p w14:paraId="74E675F6" w14:textId="77777777" w:rsidR="00C02282" w:rsidRPr="006A67B4" w:rsidRDefault="00C02282" w:rsidP="00C02282">
      <w:pPr>
        <w:spacing w:after="0" w:line="240" w:lineRule="auto"/>
        <w:ind w:left="708"/>
        <w:jc w:val="both"/>
        <w:rPr>
          <w:rFonts w:ascii="Arial" w:eastAsia="Calibri" w:hAnsi="Arial" w:cs="Arial"/>
          <w:highlight w:val="yellow"/>
        </w:rPr>
      </w:pPr>
    </w:p>
    <w:p w14:paraId="48484984" w14:textId="77777777" w:rsidR="00C02282" w:rsidRPr="006A67B4" w:rsidRDefault="00C02282" w:rsidP="00C02282">
      <w:pPr>
        <w:spacing w:after="0" w:line="240" w:lineRule="auto"/>
        <w:ind w:left="708"/>
        <w:rPr>
          <w:rFonts w:ascii="Arial" w:eastAsia="Calibri" w:hAnsi="Arial" w:cs="Arial"/>
          <w:highlight w:val="yellow"/>
        </w:rPr>
      </w:pPr>
    </w:p>
    <w:p w14:paraId="18391D0E" w14:textId="77777777" w:rsidR="00C02282" w:rsidRPr="00CE0467" w:rsidRDefault="00C02282" w:rsidP="00C02282">
      <w:pPr>
        <w:spacing w:after="0" w:line="240" w:lineRule="auto"/>
        <w:ind w:left="708"/>
        <w:rPr>
          <w:rFonts w:ascii="Arial" w:eastAsia="Calibri" w:hAnsi="Arial" w:cs="Arial"/>
          <w:b/>
        </w:rPr>
      </w:pPr>
      <w:r w:rsidRPr="00CE0467">
        <w:rPr>
          <w:rFonts w:ascii="Arial" w:eastAsia="Calibri" w:hAnsi="Arial" w:cs="Arial"/>
          <w:b/>
        </w:rPr>
        <w:t>PROYECTO 2: CAPACITACIÓN PARA EL FORTALECIMIENTO DE LA CAPACIDAD INSTITUCIONAL DE LA CREG PARA DESARROLLAR SU MISIÓN.</w:t>
      </w:r>
    </w:p>
    <w:p w14:paraId="621C5C3B" w14:textId="77777777" w:rsidR="00C02282" w:rsidRPr="006A67B4" w:rsidRDefault="00C02282" w:rsidP="00C02282">
      <w:pPr>
        <w:spacing w:after="0" w:line="240" w:lineRule="auto"/>
        <w:ind w:left="708"/>
        <w:rPr>
          <w:rFonts w:ascii="Arial" w:eastAsia="Calibri" w:hAnsi="Arial" w:cs="Arial"/>
          <w:highlight w:val="yellow"/>
        </w:rPr>
      </w:pPr>
    </w:p>
    <w:p w14:paraId="38388224"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 xml:space="preserve">Para este proyecto no se comprometieron recursos durante el trimestre por lo que el valor acumulado es de $ 74,2 millones de pesos equivalentes al 20,73% de la apropiación asignada para el proyecto, por valor de $ 358 millones, </w:t>
      </w:r>
    </w:p>
    <w:p w14:paraId="6AE5753E" w14:textId="77777777" w:rsidR="00CE0467" w:rsidRPr="00105F7F" w:rsidRDefault="00CE0467" w:rsidP="00CE0467">
      <w:pPr>
        <w:spacing w:after="0" w:line="240" w:lineRule="auto"/>
        <w:ind w:left="708"/>
        <w:jc w:val="both"/>
        <w:rPr>
          <w:rFonts w:ascii="Arial" w:eastAsia="Calibri" w:hAnsi="Arial" w:cs="Arial"/>
        </w:rPr>
      </w:pPr>
    </w:p>
    <w:p w14:paraId="7FCFC760"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Durante el trimestre se han obligaron recursos por valor de $ 17millones de pesos, para el pago en desarrollo de los contratos de prestación de servicios en desarrollo de plan de capacitación para los funcionarios de la CREG en idioma extranjero durante la vigencia 2018, lo que corresponde al 0,22% de la apropiación.</w:t>
      </w:r>
    </w:p>
    <w:p w14:paraId="151DC061" w14:textId="77777777" w:rsidR="00C02282" w:rsidRPr="006A67B4" w:rsidRDefault="00C02282" w:rsidP="00C02282">
      <w:pPr>
        <w:spacing w:after="0" w:line="240" w:lineRule="auto"/>
        <w:ind w:left="708"/>
        <w:rPr>
          <w:rFonts w:ascii="Arial" w:eastAsia="Calibri" w:hAnsi="Arial" w:cs="Arial"/>
          <w:highlight w:val="yellow"/>
        </w:rPr>
      </w:pPr>
    </w:p>
    <w:p w14:paraId="3169F7FF" w14:textId="77777777" w:rsidR="00C02282" w:rsidRPr="006A67B4" w:rsidRDefault="00C02282" w:rsidP="00C02282">
      <w:pPr>
        <w:spacing w:after="0" w:line="240" w:lineRule="auto"/>
        <w:ind w:left="708"/>
        <w:rPr>
          <w:rFonts w:ascii="Arial" w:eastAsia="Calibri" w:hAnsi="Arial" w:cs="Arial"/>
          <w:highlight w:val="yellow"/>
        </w:rPr>
      </w:pPr>
    </w:p>
    <w:p w14:paraId="495BB24D" w14:textId="77777777" w:rsidR="00C02282" w:rsidRPr="00CE0467" w:rsidRDefault="00C02282" w:rsidP="00C02282">
      <w:pPr>
        <w:spacing w:after="0" w:line="240" w:lineRule="auto"/>
        <w:ind w:left="708"/>
        <w:rPr>
          <w:rFonts w:ascii="Arial" w:eastAsia="Calibri" w:hAnsi="Arial" w:cs="Arial"/>
          <w:b/>
        </w:rPr>
      </w:pPr>
      <w:r w:rsidRPr="00CE0467">
        <w:rPr>
          <w:rFonts w:ascii="Arial" w:eastAsia="Calibri" w:hAnsi="Arial" w:cs="Arial"/>
          <w:b/>
        </w:rPr>
        <w:lastRenderedPageBreak/>
        <w:t>PROYECTO 3: ESTUDIOS PARA REGULAR MONOPOLIO FORTALECER E INCENTIVAR MERCADOS, ESTABLECER TARIFAS A USUARIOS, ARMONIZACION DE MARCOS REGULATORIOS PARA INTERCAMBIOS INTERNACIONALES Y COMPILAR TODA LA REGULACION VIGENTE A NIVEL NACIONAL.</w:t>
      </w:r>
    </w:p>
    <w:p w14:paraId="5DD40472" w14:textId="77777777" w:rsidR="00C02282" w:rsidRPr="006A67B4" w:rsidRDefault="00C02282" w:rsidP="00C02282">
      <w:pPr>
        <w:spacing w:after="0" w:line="240" w:lineRule="auto"/>
        <w:ind w:left="708"/>
        <w:rPr>
          <w:rFonts w:ascii="Arial" w:eastAsia="Calibri" w:hAnsi="Arial" w:cs="Arial"/>
          <w:b/>
          <w:highlight w:val="yellow"/>
        </w:rPr>
      </w:pPr>
    </w:p>
    <w:p w14:paraId="6A729664"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Este proyecto ha comprometido recursos acumulado al mes de junio por valor de $ 2.816.5 millones de pesos equivalentes al 70,40% de la apropiación inicial la cual fue aprobada en $ 4.000 millones de pesos y durante el trimestre los compromisos fueron:</w:t>
      </w:r>
    </w:p>
    <w:p w14:paraId="49006C98" w14:textId="77777777" w:rsidR="00CE0467" w:rsidRPr="00105F7F" w:rsidRDefault="00CE0467" w:rsidP="00CE0467">
      <w:pPr>
        <w:spacing w:after="0" w:line="240" w:lineRule="auto"/>
        <w:ind w:left="708"/>
        <w:jc w:val="both"/>
        <w:rPr>
          <w:rFonts w:ascii="Arial" w:eastAsia="Calibri" w:hAnsi="Arial" w:cs="Arial"/>
        </w:rPr>
      </w:pPr>
    </w:p>
    <w:p w14:paraId="3052DD22" w14:textId="77777777" w:rsidR="00CE0467" w:rsidRPr="00105F7F" w:rsidRDefault="00CE0467" w:rsidP="008B4625">
      <w:pPr>
        <w:pStyle w:val="Prrafodelista"/>
        <w:numPr>
          <w:ilvl w:val="0"/>
          <w:numId w:val="47"/>
        </w:numPr>
        <w:spacing w:after="0" w:line="240" w:lineRule="auto"/>
        <w:ind w:left="1134" w:hanging="425"/>
        <w:contextualSpacing/>
        <w:jc w:val="both"/>
        <w:rPr>
          <w:rFonts w:cs="Arial"/>
          <w:lang w:val="es-ES"/>
        </w:rPr>
      </w:pPr>
      <w:r w:rsidRPr="00105F7F">
        <w:rPr>
          <w:rFonts w:cs="Arial"/>
          <w:lang w:val="es-ES"/>
        </w:rPr>
        <w:t>Participación de expertos comisionados ene el 6°taller, sobre marco de estudio de revisión de criterios básicos y del marco normativo resultante para el desarrollo de la interconexión entre Colombia y Panamá. Realizado en Panamá.</w:t>
      </w:r>
    </w:p>
    <w:p w14:paraId="75FA39FD" w14:textId="77777777" w:rsidR="00CE0467" w:rsidRPr="00105F7F" w:rsidRDefault="00CE0467" w:rsidP="00CE0467">
      <w:pPr>
        <w:ind w:left="1134" w:hanging="425"/>
        <w:jc w:val="both"/>
        <w:rPr>
          <w:rFonts w:ascii="Arial" w:hAnsi="Arial" w:cs="Arial"/>
          <w:lang w:val="es-ES"/>
        </w:rPr>
      </w:pPr>
    </w:p>
    <w:p w14:paraId="1B8F9A8B" w14:textId="77777777" w:rsidR="00CE0467" w:rsidRPr="00105F7F" w:rsidRDefault="00CE0467" w:rsidP="008B4625">
      <w:pPr>
        <w:pStyle w:val="Prrafodelista"/>
        <w:numPr>
          <w:ilvl w:val="0"/>
          <w:numId w:val="46"/>
        </w:numPr>
        <w:spacing w:after="0" w:line="240" w:lineRule="auto"/>
        <w:ind w:left="1134" w:hanging="425"/>
        <w:contextualSpacing/>
        <w:jc w:val="both"/>
        <w:rPr>
          <w:rFonts w:cs="Arial"/>
          <w:lang w:val="es-ES"/>
        </w:rPr>
      </w:pPr>
      <w:r w:rsidRPr="00105F7F">
        <w:rPr>
          <w:rFonts w:cs="Arial"/>
          <w:lang w:val="es-ES"/>
        </w:rPr>
        <w:t xml:space="preserve">Participación de expertos comisionados y asesores de la Invitación de </w:t>
      </w:r>
      <w:proofErr w:type="spellStart"/>
      <w:r w:rsidRPr="00105F7F">
        <w:rPr>
          <w:rFonts w:cs="Arial"/>
          <w:lang w:val="es-ES"/>
        </w:rPr>
        <w:t>Sercolombia</w:t>
      </w:r>
      <w:proofErr w:type="spellEnd"/>
      <w:r w:rsidRPr="00105F7F">
        <w:rPr>
          <w:rFonts w:cs="Arial"/>
          <w:lang w:val="es-ES"/>
        </w:rPr>
        <w:t>, en el II encuentro Internacional de Energías renovables, "El despertar de un Gigante". Realizado en la ciudad de Barranquilla.</w:t>
      </w:r>
    </w:p>
    <w:p w14:paraId="6F289518" w14:textId="77777777" w:rsidR="00CE0467" w:rsidRPr="00105F7F" w:rsidRDefault="00CE0467" w:rsidP="00CE0467">
      <w:pPr>
        <w:pStyle w:val="Prrafodelista"/>
        <w:ind w:left="1134" w:hanging="425"/>
        <w:rPr>
          <w:rFonts w:cs="Arial"/>
          <w:lang w:val="es-ES"/>
        </w:rPr>
      </w:pPr>
    </w:p>
    <w:p w14:paraId="02ECA851" w14:textId="77777777" w:rsidR="00CE0467" w:rsidRPr="00105F7F" w:rsidRDefault="00CE0467" w:rsidP="008B4625">
      <w:pPr>
        <w:pStyle w:val="Prrafodelista"/>
        <w:numPr>
          <w:ilvl w:val="0"/>
          <w:numId w:val="46"/>
        </w:numPr>
        <w:spacing w:after="0" w:line="240" w:lineRule="auto"/>
        <w:ind w:left="1134" w:hanging="425"/>
        <w:contextualSpacing/>
        <w:jc w:val="both"/>
        <w:rPr>
          <w:rFonts w:cs="Arial"/>
          <w:lang w:val="es-ES"/>
        </w:rPr>
      </w:pPr>
      <w:r w:rsidRPr="00105F7F">
        <w:rPr>
          <w:rFonts w:cs="Arial"/>
          <w:lang w:val="es-ES"/>
        </w:rPr>
        <w:t>Participación de asesores en la audiencia pública sobre prestación del servicio de energía eléctrica por parte de ELECTROCAQUETA.</w:t>
      </w:r>
    </w:p>
    <w:p w14:paraId="4C01E2CC" w14:textId="77777777" w:rsidR="00CE0467" w:rsidRPr="00105F7F" w:rsidRDefault="00CE0467" w:rsidP="00CE0467">
      <w:pPr>
        <w:spacing w:after="0" w:line="240" w:lineRule="auto"/>
        <w:contextualSpacing/>
        <w:jc w:val="both"/>
        <w:rPr>
          <w:rFonts w:ascii="Arial" w:hAnsi="Arial" w:cs="Arial"/>
          <w:lang w:val="es-ES"/>
        </w:rPr>
      </w:pPr>
    </w:p>
    <w:p w14:paraId="7F668EDD" w14:textId="77777777" w:rsidR="00CE0467" w:rsidRPr="00105F7F" w:rsidRDefault="00CE0467" w:rsidP="008B4625">
      <w:pPr>
        <w:pStyle w:val="Prrafodelista"/>
        <w:numPr>
          <w:ilvl w:val="0"/>
          <w:numId w:val="46"/>
        </w:numPr>
        <w:spacing w:after="0" w:line="240" w:lineRule="auto"/>
        <w:ind w:left="1134" w:hanging="425"/>
        <w:contextualSpacing/>
        <w:jc w:val="both"/>
        <w:rPr>
          <w:rFonts w:cs="Arial"/>
          <w:lang w:val="es-ES"/>
        </w:rPr>
      </w:pPr>
      <w:r w:rsidRPr="00105F7F">
        <w:rPr>
          <w:rFonts w:cs="Arial"/>
          <w:lang w:val="es-ES"/>
        </w:rPr>
        <w:t>Realización de los talleres para la presentación de la Resolución CREG 030 de 2018, por la cual se regulan las actividades de autogeneración, a pequeña escala y generación distribuida en el sistema interconectado nacional, en las ciudades de Barranquilla y Bucaramanga.</w:t>
      </w:r>
    </w:p>
    <w:p w14:paraId="1C83B491" w14:textId="77777777" w:rsidR="00CE0467" w:rsidRPr="00105F7F" w:rsidRDefault="00CE0467" w:rsidP="00CE0467">
      <w:pPr>
        <w:pStyle w:val="Prrafodelista"/>
        <w:spacing w:after="0" w:line="240" w:lineRule="auto"/>
        <w:ind w:left="1134"/>
        <w:contextualSpacing/>
        <w:jc w:val="both"/>
        <w:rPr>
          <w:rFonts w:cs="Arial"/>
          <w:lang w:val="es-ES"/>
        </w:rPr>
      </w:pPr>
    </w:p>
    <w:p w14:paraId="03B2D0F5" w14:textId="77777777" w:rsidR="00CE0467" w:rsidRPr="00105F7F" w:rsidRDefault="00CE0467" w:rsidP="008B4625">
      <w:pPr>
        <w:pStyle w:val="Prrafodelista"/>
        <w:numPr>
          <w:ilvl w:val="0"/>
          <w:numId w:val="46"/>
        </w:numPr>
        <w:spacing w:after="0" w:line="240" w:lineRule="auto"/>
        <w:ind w:left="1134" w:hanging="425"/>
        <w:contextualSpacing/>
        <w:rPr>
          <w:rFonts w:cs="Arial"/>
          <w:sz w:val="20"/>
          <w:szCs w:val="20"/>
          <w:lang w:val="es-ES"/>
        </w:rPr>
      </w:pPr>
      <w:r w:rsidRPr="00105F7F">
        <w:rPr>
          <w:rFonts w:cs="Arial"/>
          <w:lang w:val="es-ES"/>
        </w:rPr>
        <w:t>Participación de expertos comisionados en el segundo congreso Nacional de Bioenergía B-ON-2018, realizado en la ciudad de Cali</w:t>
      </w:r>
      <w:r w:rsidRPr="00105F7F">
        <w:rPr>
          <w:rFonts w:cs="Arial"/>
          <w:sz w:val="20"/>
          <w:szCs w:val="20"/>
          <w:lang w:val="es-ES"/>
        </w:rPr>
        <w:t>.</w:t>
      </w:r>
    </w:p>
    <w:p w14:paraId="7E06F5E8" w14:textId="77777777" w:rsidR="00CE0467" w:rsidRPr="00105F7F" w:rsidRDefault="00CE0467" w:rsidP="00CE0467">
      <w:pPr>
        <w:spacing w:after="0" w:line="240" w:lineRule="auto"/>
        <w:ind w:left="708"/>
        <w:jc w:val="both"/>
        <w:rPr>
          <w:rFonts w:ascii="Arial" w:eastAsia="Calibri" w:hAnsi="Arial" w:cs="Arial"/>
        </w:rPr>
      </w:pPr>
    </w:p>
    <w:p w14:paraId="6C14BA3E"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Contratación del estudio y actividades asociadas con la evaluación del impacto de la regulación de calidad de la potencia y procesamiento y revisión de información de las empresas para la remuneración de la actividad de distribución de energía eléctrica.</w:t>
      </w:r>
    </w:p>
    <w:p w14:paraId="7239CB31" w14:textId="77777777" w:rsidR="00CE0467" w:rsidRPr="00105F7F" w:rsidRDefault="00CE0467" w:rsidP="00CE0467">
      <w:pPr>
        <w:spacing w:after="0" w:line="240" w:lineRule="auto"/>
        <w:ind w:left="708"/>
        <w:jc w:val="both"/>
        <w:rPr>
          <w:rFonts w:ascii="Arial" w:eastAsia="Calibri" w:hAnsi="Arial" w:cs="Arial"/>
        </w:rPr>
      </w:pPr>
    </w:p>
    <w:p w14:paraId="2E34FB95"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 xml:space="preserve">Contratación del servicio de información financiera y de mercados a través del acceso a la plataforma </w:t>
      </w:r>
      <w:proofErr w:type="spellStart"/>
      <w:r w:rsidRPr="00105F7F">
        <w:rPr>
          <w:rFonts w:eastAsia="Calibri" w:cs="Arial"/>
        </w:rPr>
        <w:t>Bloomberg</w:t>
      </w:r>
      <w:proofErr w:type="spellEnd"/>
      <w:r w:rsidRPr="00105F7F">
        <w:rPr>
          <w:rFonts w:eastAsia="Calibri" w:cs="Arial"/>
        </w:rPr>
        <w:t xml:space="preserve"> Profesional y a todas sus herramientas.</w:t>
      </w:r>
    </w:p>
    <w:p w14:paraId="41A44272" w14:textId="77777777" w:rsidR="00CE0467" w:rsidRPr="00105F7F" w:rsidRDefault="00CE0467" w:rsidP="00CE0467">
      <w:pPr>
        <w:spacing w:after="0" w:line="240" w:lineRule="auto"/>
        <w:ind w:left="708"/>
        <w:jc w:val="both"/>
        <w:rPr>
          <w:rFonts w:ascii="Arial" w:eastAsia="Calibri" w:hAnsi="Arial" w:cs="Arial"/>
        </w:rPr>
      </w:pPr>
    </w:p>
    <w:p w14:paraId="5595D58C"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Contratación de consultoría para la valoración y actualización de unidades constructivas especiales en redes de distribución de gas por redes de tuberías y estaciones de regulación de presión.</w:t>
      </w:r>
    </w:p>
    <w:p w14:paraId="702E364C" w14:textId="77777777" w:rsidR="00CE0467" w:rsidRPr="00105F7F" w:rsidRDefault="00CE0467" w:rsidP="00CE0467">
      <w:pPr>
        <w:spacing w:after="0" w:line="240" w:lineRule="auto"/>
        <w:ind w:left="708"/>
        <w:jc w:val="both"/>
        <w:rPr>
          <w:rFonts w:ascii="Arial" w:eastAsia="Calibri" w:hAnsi="Arial" w:cs="Arial"/>
        </w:rPr>
      </w:pPr>
    </w:p>
    <w:p w14:paraId="37E5E4AA"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Adquisición de una herramienta de consulta legal en línea que permita ubicar modificaciones, derogatorias y adiciones a la legislación en general, en particular resoluciones de la Comisión.</w:t>
      </w:r>
    </w:p>
    <w:p w14:paraId="09822C8C" w14:textId="77777777" w:rsidR="00CE0467" w:rsidRPr="00105F7F" w:rsidRDefault="00CE0467" w:rsidP="00CE0467">
      <w:pPr>
        <w:spacing w:after="0" w:line="240" w:lineRule="auto"/>
        <w:ind w:left="708"/>
        <w:jc w:val="both"/>
        <w:rPr>
          <w:rFonts w:ascii="Arial" w:eastAsia="Calibri" w:hAnsi="Arial" w:cs="Arial"/>
        </w:rPr>
      </w:pPr>
    </w:p>
    <w:p w14:paraId="61F3A1B7"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lastRenderedPageBreak/>
        <w:t>Realización de contrato para el suministro de pasajes aéreos en rutas nacionales e internacionales para el desplazamiento de Expertos Comisionados y funcionarios de la entidad, en cumplimiento de las actividades misiónales de la CREG.</w:t>
      </w:r>
    </w:p>
    <w:p w14:paraId="5A8FE5C9" w14:textId="77777777" w:rsidR="00CE0467" w:rsidRPr="00105F7F" w:rsidRDefault="00CE0467" w:rsidP="00CE0467">
      <w:pPr>
        <w:spacing w:after="0" w:line="240" w:lineRule="auto"/>
        <w:ind w:left="708"/>
        <w:jc w:val="both"/>
        <w:rPr>
          <w:rFonts w:ascii="Arial" w:eastAsia="Calibri" w:hAnsi="Arial" w:cs="Arial"/>
        </w:rPr>
      </w:pPr>
    </w:p>
    <w:p w14:paraId="5D6F36F8"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 xml:space="preserve">Visita a la </w:t>
      </w:r>
      <w:proofErr w:type="spellStart"/>
      <w:r w:rsidRPr="00105F7F">
        <w:rPr>
          <w:rFonts w:eastAsia="Calibri" w:cs="Arial"/>
        </w:rPr>
        <w:t>citygate</w:t>
      </w:r>
      <w:proofErr w:type="spellEnd"/>
      <w:r w:rsidRPr="00105F7F">
        <w:rPr>
          <w:rFonts w:eastAsia="Calibri" w:cs="Arial"/>
        </w:rPr>
        <w:t xml:space="preserve"> "La Arenosa", por parte de Experto Comisionado y Asesores para recoger información e iniciar proceso de valoración de activos que la componen. Por solicitud de Gases del Caribe.</w:t>
      </w:r>
    </w:p>
    <w:p w14:paraId="0E9CB7F7" w14:textId="77777777" w:rsidR="00CE0467" w:rsidRPr="00105F7F" w:rsidRDefault="00CE0467" w:rsidP="00CE0467">
      <w:pPr>
        <w:spacing w:after="0" w:line="240" w:lineRule="auto"/>
        <w:ind w:left="708"/>
        <w:jc w:val="both"/>
        <w:rPr>
          <w:rFonts w:ascii="Arial" w:eastAsia="Calibri" w:hAnsi="Arial" w:cs="Arial"/>
        </w:rPr>
      </w:pPr>
    </w:p>
    <w:p w14:paraId="2D4A397A"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Desplazamiento de Expertos Comisionados y Asesores a la ciudad de Villavicencio para atender invitación de ASOCODIS a la junta directiva para compartir avances de la metodología de remuneración de la distribución de la energía eléctrica.</w:t>
      </w:r>
    </w:p>
    <w:p w14:paraId="138BC062" w14:textId="77777777" w:rsidR="00CE0467" w:rsidRPr="00105F7F" w:rsidRDefault="00CE0467" w:rsidP="00CE0467">
      <w:pPr>
        <w:spacing w:after="0" w:line="240" w:lineRule="auto"/>
        <w:ind w:left="708"/>
        <w:jc w:val="both"/>
        <w:rPr>
          <w:rFonts w:ascii="Arial" w:eastAsia="Calibri" w:hAnsi="Arial" w:cs="Arial"/>
        </w:rPr>
      </w:pPr>
    </w:p>
    <w:p w14:paraId="736038E1"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Desplazamiento Expertos Comisionados y Asesores a la ciudad de Medellín, para realizar la reunión de trabajo para la interconexión Colombia - Panamá.</w:t>
      </w:r>
    </w:p>
    <w:p w14:paraId="4D73024E" w14:textId="77777777" w:rsidR="00CE0467" w:rsidRPr="00105F7F" w:rsidRDefault="00CE0467" w:rsidP="00CE0467">
      <w:pPr>
        <w:spacing w:after="0" w:line="240" w:lineRule="auto"/>
        <w:ind w:left="708"/>
        <w:jc w:val="both"/>
        <w:rPr>
          <w:rFonts w:ascii="Arial" w:eastAsia="Calibri" w:hAnsi="Arial" w:cs="Arial"/>
        </w:rPr>
      </w:pPr>
    </w:p>
    <w:p w14:paraId="502C39D6"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Desplazamiento de Expertos Comisionados y Asesores para asistir reunión con XM, para revisar la implementación de la metodología de remuneración de las actividades de distribución de energía eléctrica que trata Res CREG 15 de 2018.</w:t>
      </w:r>
    </w:p>
    <w:p w14:paraId="4BB395DE" w14:textId="77777777" w:rsidR="00CE0467" w:rsidRPr="00105F7F" w:rsidRDefault="00CE0467" w:rsidP="00CE0467">
      <w:pPr>
        <w:spacing w:after="0" w:line="240" w:lineRule="auto"/>
        <w:ind w:left="708"/>
        <w:jc w:val="both"/>
        <w:rPr>
          <w:rFonts w:ascii="Arial" w:eastAsia="Calibri" w:hAnsi="Arial" w:cs="Arial"/>
        </w:rPr>
      </w:pPr>
    </w:p>
    <w:p w14:paraId="4389384B"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Participación de Asesor en el taller sobre mercados en tiempo real y balance, para la integración de FNCER, realizado en la ciudad de Cartagena.</w:t>
      </w:r>
    </w:p>
    <w:p w14:paraId="02417C80" w14:textId="77777777" w:rsidR="00CE0467" w:rsidRPr="00105F7F" w:rsidRDefault="00CE0467" w:rsidP="00CE0467">
      <w:pPr>
        <w:spacing w:after="0" w:line="240" w:lineRule="auto"/>
        <w:ind w:left="708"/>
        <w:jc w:val="both"/>
        <w:rPr>
          <w:rFonts w:ascii="Arial" w:eastAsia="Calibri" w:hAnsi="Arial" w:cs="Arial"/>
        </w:rPr>
      </w:pPr>
    </w:p>
    <w:p w14:paraId="2551F984"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 xml:space="preserve">Participación del Director Ejecutivo en la Reunión con el Presidente de la Republica y el Ministro de Minas y Energía, en el lanzamiento del parque eólico por parte de </w:t>
      </w:r>
      <w:proofErr w:type="spellStart"/>
      <w:r w:rsidRPr="00105F7F">
        <w:rPr>
          <w:rFonts w:eastAsia="Calibri" w:cs="Arial"/>
        </w:rPr>
        <w:t>Celsia</w:t>
      </w:r>
      <w:proofErr w:type="spellEnd"/>
      <w:r w:rsidRPr="00105F7F">
        <w:rPr>
          <w:rFonts w:eastAsia="Calibri" w:cs="Arial"/>
        </w:rPr>
        <w:t>.</w:t>
      </w:r>
    </w:p>
    <w:p w14:paraId="54DE0D94" w14:textId="77777777" w:rsidR="00CE0467" w:rsidRPr="00105F7F" w:rsidRDefault="00CE0467" w:rsidP="00CE0467">
      <w:pPr>
        <w:spacing w:after="0" w:line="240" w:lineRule="auto"/>
        <w:ind w:left="708"/>
        <w:jc w:val="both"/>
        <w:rPr>
          <w:rFonts w:ascii="Arial" w:eastAsia="Calibri" w:hAnsi="Arial" w:cs="Arial"/>
        </w:rPr>
      </w:pPr>
    </w:p>
    <w:p w14:paraId="65BBC253"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 xml:space="preserve">Invitación a participar en la V versión </w:t>
      </w:r>
      <w:proofErr w:type="spellStart"/>
      <w:r w:rsidRPr="00105F7F">
        <w:rPr>
          <w:rFonts w:eastAsia="Calibri" w:cs="Arial"/>
        </w:rPr>
        <w:t>Colombian</w:t>
      </w:r>
      <w:proofErr w:type="spellEnd"/>
      <w:r w:rsidRPr="00105F7F">
        <w:rPr>
          <w:rFonts w:eastAsia="Calibri" w:cs="Arial"/>
        </w:rPr>
        <w:t xml:space="preserve"> </w:t>
      </w:r>
      <w:proofErr w:type="spellStart"/>
      <w:r w:rsidRPr="00105F7F">
        <w:rPr>
          <w:rFonts w:eastAsia="Calibri" w:cs="Arial"/>
        </w:rPr>
        <w:t>Oil</w:t>
      </w:r>
      <w:proofErr w:type="spellEnd"/>
      <w:r w:rsidRPr="00105F7F">
        <w:rPr>
          <w:rFonts w:eastAsia="Calibri" w:cs="Arial"/>
        </w:rPr>
        <w:t xml:space="preserve"> and Gas-Offshore., por parte de Expertos Comisionados y Asesores.</w:t>
      </w:r>
    </w:p>
    <w:p w14:paraId="6F1AE901" w14:textId="77777777" w:rsidR="00CE0467" w:rsidRPr="00105F7F" w:rsidRDefault="00CE0467" w:rsidP="00CE0467">
      <w:pPr>
        <w:spacing w:after="0" w:line="240" w:lineRule="auto"/>
        <w:ind w:left="708"/>
        <w:jc w:val="both"/>
        <w:rPr>
          <w:rFonts w:ascii="Arial" w:eastAsia="Calibri" w:hAnsi="Arial" w:cs="Arial"/>
        </w:rPr>
      </w:pPr>
    </w:p>
    <w:p w14:paraId="7669B90E"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 xml:space="preserve">Participación del Director Ejecutivo a la invitación a WFER 7a Edición del Foro Mundial sobre Regulación de la Energía (VII WFER) y IV Reunión Extraordinaria de la Asamblea General de la Nueva </w:t>
      </w:r>
      <w:proofErr w:type="spellStart"/>
      <w:r w:rsidRPr="00105F7F">
        <w:rPr>
          <w:rFonts w:eastAsia="Calibri" w:cs="Arial"/>
        </w:rPr>
        <w:t>Ariae</w:t>
      </w:r>
      <w:proofErr w:type="spellEnd"/>
      <w:r w:rsidRPr="00105F7F">
        <w:rPr>
          <w:rFonts w:eastAsia="Calibri" w:cs="Arial"/>
        </w:rPr>
        <w:t xml:space="preserve"> realizada en Cancún México.</w:t>
      </w:r>
    </w:p>
    <w:p w14:paraId="50ED4B4A" w14:textId="77777777" w:rsidR="00CE0467" w:rsidRPr="00105F7F" w:rsidRDefault="00CE0467" w:rsidP="00CE0467">
      <w:pPr>
        <w:spacing w:after="0" w:line="240" w:lineRule="auto"/>
        <w:ind w:left="708"/>
        <w:jc w:val="both"/>
        <w:rPr>
          <w:rFonts w:ascii="Arial" w:eastAsia="Calibri" w:hAnsi="Arial" w:cs="Arial"/>
        </w:rPr>
      </w:pPr>
    </w:p>
    <w:p w14:paraId="3A6E43CE"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 xml:space="preserve">Asistencia de Expertos Comisionados y Asesores al Congreso de </w:t>
      </w:r>
      <w:proofErr w:type="spellStart"/>
      <w:r w:rsidRPr="00105F7F">
        <w:rPr>
          <w:rFonts w:eastAsia="Calibri" w:cs="Arial"/>
        </w:rPr>
        <w:t>Naturgas</w:t>
      </w:r>
      <w:proofErr w:type="spellEnd"/>
      <w:r w:rsidRPr="00105F7F">
        <w:rPr>
          <w:rFonts w:eastAsia="Calibri" w:cs="Arial"/>
        </w:rPr>
        <w:t>, y la intervención por parte del Director Ejecutivo encargado sobre los desarrollos de los temas propuestos en la agenda regulatoria sobre gas combustible.</w:t>
      </w:r>
    </w:p>
    <w:p w14:paraId="332BFB38" w14:textId="77777777" w:rsidR="00CE0467" w:rsidRPr="00105F7F" w:rsidRDefault="00CE0467" w:rsidP="00CE0467">
      <w:pPr>
        <w:pStyle w:val="Prrafodelista"/>
        <w:rPr>
          <w:rFonts w:eastAsia="Calibri" w:cs="Arial"/>
        </w:rPr>
      </w:pPr>
    </w:p>
    <w:p w14:paraId="395174D4"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Contratación de la consultoría para hacer análisis y propuestas de reglamentación de los servicios complementarios SIN.</w:t>
      </w:r>
    </w:p>
    <w:p w14:paraId="04FBA88F" w14:textId="77777777" w:rsidR="00CE0467" w:rsidRPr="00105F7F" w:rsidRDefault="00CE0467" w:rsidP="00CE0467">
      <w:pPr>
        <w:pStyle w:val="Prrafodelista"/>
        <w:spacing w:after="0" w:line="240" w:lineRule="auto"/>
        <w:ind w:left="1068"/>
        <w:jc w:val="both"/>
        <w:rPr>
          <w:rFonts w:eastAsia="Calibri" w:cs="Arial"/>
        </w:rPr>
      </w:pPr>
    </w:p>
    <w:p w14:paraId="457E2AA0"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Contratar consultaría con el objeto de realizar una propuesta regulatoria encaminada a la implementación de un mercado spot de energía caracterizado por un despacho vinculante.</w:t>
      </w:r>
    </w:p>
    <w:p w14:paraId="14360A34" w14:textId="77777777" w:rsidR="00CE0467" w:rsidRPr="00105F7F" w:rsidRDefault="00CE0467" w:rsidP="00CE0467">
      <w:pPr>
        <w:pStyle w:val="Prrafodelista"/>
        <w:spacing w:after="0" w:line="240" w:lineRule="auto"/>
        <w:ind w:left="1068"/>
        <w:jc w:val="both"/>
        <w:rPr>
          <w:rFonts w:eastAsia="Calibri" w:cs="Arial"/>
        </w:rPr>
      </w:pPr>
    </w:p>
    <w:p w14:paraId="78322AB4"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Contratación de la consultoría para la actualización código de redes STN, STR.</w:t>
      </w:r>
    </w:p>
    <w:p w14:paraId="379D35F9" w14:textId="77777777" w:rsidR="00CE0467" w:rsidRPr="00105F7F" w:rsidRDefault="00CE0467" w:rsidP="00CE0467">
      <w:pPr>
        <w:pStyle w:val="Prrafodelista"/>
        <w:spacing w:after="0" w:line="240" w:lineRule="auto"/>
        <w:ind w:left="1068"/>
        <w:jc w:val="both"/>
        <w:rPr>
          <w:rFonts w:eastAsia="Calibri" w:cs="Arial"/>
        </w:rPr>
      </w:pPr>
    </w:p>
    <w:p w14:paraId="252C7198" w14:textId="77777777" w:rsidR="00CE0467" w:rsidRPr="00105F7F" w:rsidRDefault="00CE0467" w:rsidP="00055F7C">
      <w:pPr>
        <w:pStyle w:val="Prrafodelista"/>
        <w:numPr>
          <w:ilvl w:val="0"/>
          <w:numId w:val="16"/>
        </w:numPr>
        <w:spacing w:after="0" w:line="240" w:lineRule="auto"/>
        <w:ind w:left="1068"/>
        <w:jc w:val="both"/>
        <w:rPr>
          <w:rFonts w:eastAsia="Calibri" w:cs="Arial"/>
        </w:rPr>
      </w:pPr>
      <w:r w:rsidRPr="00105F7F">
        <w:rPr>
          <w:rFonts w:eastAsia="Calibri" w:cs="Arial"/>
        </w:rPr>
        <w:t>Participación de Expertos Comisionados y asesores en el Congreso Nacional e Internacional de Servicios Públicos, Tecnologías de la Información y las Comunicaciones y Televisión ANDESCO, con el tema "Servicios Públicos Domiciliarios, TIC y TV para el crecimiento verde.</w:t>
      </w:r>
    </w:p>
    <w:p w14:paraId="350E896B" w14:textId="77777777" w:rsidR="00CE0467" w:rsidRPr="00105F7F" w:rsidRDefault="00CE0467" w:rsidP="00CE0467">
      <w:pPr>
        <w:spacing w:after="0" w:line="240" w:lineRule="auto"/>
        <w:ind w:left="708"/>
        <w:jc w:val="both"/>
        <w:rPr>
          <w:rFonts w:ascii="Arial" w:eastAsia="Calibri" w:hAnsi="Arial" w:cs="Arial"/>
        </w:rPr>
      </w:pPr>
    </w:p>
    <w:p w14:paraId="09BAA65D"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Para este proyecto se han obligaron recursos por valor de $250,0 millones de pesos que corresponde al 6.25% de la apropiación, para atender los compromisos adquiridos.</w:t>
      </w:r>
    </w:p>
    <w:p w14:paraId="17A948ED" w14:textId="77777777" w:rsidR="00C02282" w:rsidRPr="006A67B4" w:rsidRDefault="00C02282" w:rsidP="00C02282">
      <w:pPr>
        <w:spacing w:after="0" w:line="240" w:lineRule="auto"/>
        <w:ind w:left="708"/>
        <w:rPr>
          <w:rFonts w:ascii="Arial" w:eastAsia="Calibri" w:hAnsi="Arial" w:cs="Arial"/>
          <w:highlight w:val="yellow"/>
        </w:rPr>
      </w:pPr>
    </w:p>
    <w:p w14:paraId="545F6DF5" w14:textId="77777777" w:rsidR="00C02282" w:rsidRPr="006A67B4" w:rsidRDefault="00C02282" w:rsidP="00C02282">
      <w:pPr>
        <w:spacing w:after="0" w:line="240" w:lineRule="auto"/>
        <w:ind w:left="708"/>
        <w:rPr>
          <w:rFonts w:ascii="Arial" w:eastAsia="Calibri" w:hAnsi="Arial" w:cs="Arial"/>
          <w:highlight w:val="yellow"/>
        </w:rPr>
      </w:pPr>
    </w:p>
    <w:p w14:paraId="6C0A433E" w14:textId="77777777" w:rsidR="00C02282" w:rsidRPr="00CE0467" w:rsidRDefault="00C02282" w:rsidP="00C02282">
      <w:pPr>
        <w:spacing w:after="0" w:line="240" w:lineRule="auto"/>
        <w:ind w:left="708"/>
        <w:rPr>
          <w:rFonts w:ascii="Arial" w:eastAsia="Calibri" w:hAnsi="Arial" w:cs="Arial"/>
          <w:b/>
        </w:rPr>
      </w:pPr>
      <w:r w:rsidRPr="00CE0467">
        <w:rPr>
          <w:rFonts w:ascii="Arial" w:eastAsia="Calibri" w:hAnsi="Arial" w:cs="Arial"/>
          <w:b/>
        </w:rPr>
        <w:t>PROYECTO 4: FORTALECIMIENTO DE LA CAPACIDAD INSTITUCIONAL Y APROPIACION DEL CONOCIMIENTO DEL SECTOR DE COMBUSTIBLES LIQUIDOS A NIVEL NACIONAL.</w:t>
      </w:r>
    </w:p>
    <w:p w14:paraId="60C2894C" w14:textId="77777777" w:rsidR="00C02282" w:rsidRPr="006A67B4" w:rsidRDefault="00C02282" w:rsidP="00C02282">
      <w:pPr>
        <w:spacing w:after="0" w:line="240" w:lineRule="auto"/>
        <w:ind w:left="708"/>
        <w:rPr>
          <w:rFonts w:ascii="Arial" w:eastAsia="Calibri" w:hAnsi="Arial" w:cs="Arial"/>
          <w:highlight w:val="yellow"/>
        </w:rPr>
      </w:pPr>
    </w:p>
    <w:p w14:paraId="60180228" w14:textId="77777777" w:rsidR="00CE0467" w:rsidRPr="00105F7F" w:rsidRDefault="00CE0467" w:rsidP="00CE0467">
      <w:pPr>
        <w:ind w:left="709"/>
        <w:jc w:val="both"/>
        <w:rPr>
          <w:rFonts w:ascii="Arial" w:hAnsi="Arial" w:cs="Arial"/>
          <w:lang w:val="es-ES"/>
        </w:rPr>
      </w:pPr>
      <w:r w:rsidRPr="00105F7F">
        <w:rPr>
          <w:rFonts w:ascii="Arial" w:hAnsi="Arial" w:cs="Arial"/>
          <w:lang w:val="es-ES"/>
        </w:rPr>
        <w:t>En el mes de abril, el Ministerio de Hacienda y Crédito Público, aprobó mediante el Decreto 662 de 2018, la reducción de $ 300 millones para este proyecto, quedando la apropiación final por valor de $ 900 millones de pesos.</w:t>
      </w:r>
    </w:p>
    <w:p w14:paraId="1417B045" w14:textId="77777777" w:rsidR="00CE0467" w:rsidRPr="00105F7F" w:rsidRDefault="00CE0467" w:rsidP="00CE0467">
      <w:pPr>
        <w:spacing w:after="0" w:line="240" w:lineRule="auto"/>
        <w:ind w:left="708"/>
        <w:rPr>
          <w:rFonts w:ascii="Arial" w:eastAsia="Calibri" w:hAnsi="Arial" w:cs="Arial"/>
        </w:rPr>
      </w:pPr>
    </w:p>
    <w:p w14:paraId="6BD20495"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El proyecto ha comprometido recursos por valor de $ 91 millones equivalentes al 10,11% de la apropiación final por valor de $ 900 millones de pesos, los cuales corresponden en el trimestre a:</w:t>
      </w:r>
    </w:p>
    <w:p w14:paraId="7306A6D6" w14:textId="77777777" w:rsidR="00CE0467" w:rsidRPr="00105F7F" w:rsidRDefault="00CE0467" w:rsidP="00CE0467">
      <w:pPr>
        <w:spacing w:after="0" w:line="240" w:lineRule="auto"/>
        <w:ind w:left="708"/>
        <w:jc w:val="both"/>
        <w:rPr>
          <w:rFonts w:ascii="Arial" w:eastAsia="Calibri" w:hAnsi="Arial" w:cs="Arial"/>
        </w:rPr>
      </w:pPr>
    </w:p>
    <w:p w14:paraId="613B505C" w14:textId="77777777" w:rsidR="00CE0467" w:rsidRPr="00105F7F" w:rsidRDefault="00CE0467" w:rsidP="00055F7C">
      <w:pPr>
        <w:pStyle w:val="Prrafodelista"/>
        <w:numPr>
          <w:ilvl w:val="0"/>
          <w:numId w:val="15"/>
        </w:numPr>
        <w:spacing w:after="0" w:line="240" w:lineRule="auto"/>
        <w:ind w:left="1134" w:hanging="425"/>
        <w:contextualSpacing/>
        <w:jc w:val="both"/>
        <w:rPr>
          <w:rFonts w:cs="Arial"/>
          <w:lang w:val="es-ES"/>
        </w:rPr>
      </w:pPr>
      <w:r w:rsidRPr="00105F7F">
        <w:rPr>
          <w:rFonts w:cs="Arial"/>
          <w:lang w:val="es-ES"/>
        </w:rPr>
        <w:t>Participación de experto comisionado en el Foro de Servicios Públicos de Energía, Agua, Saneamiento Básico y Gas organizado por la Cámara de Infraestructura Seccional Occidente, realizado en la ciudad de Cali.</w:t>
      </w:r>
    </w:p>
    <w:p w14:paraId="39A3627F" w14:textId="77777777" w:rsidR="00CE0467" w:rsidRPr="00105F7F" w:rsidRDefault="00CE0467" w:rsidP="00055F7C">
      <w:pPr>
        <w:pStyle w:val="Prrafodelista"/>
        <w:numPr>
          <w:ilvl w:val="0"/>
          <w:numId w:val="15"/>
        </w:numPr>
        <w:spacing w:after="0" w:line="240" w:lineRule="auto"/>
        <w:ind w:left="1134" w:hanging="425"/>
        <w:contextualSpacing/>
        <w:jc w:val="both"/>
        <w:rPr>
          <w:rFonts w:cs="Arial"/>
          <w:lang w:val="es-ES"/>
        </w:rPr>
      </w:pPr>
      <w:r w:rsidRPr="00105F7F">
        <w:rPr>
          <w:rFonts w:cs="Arial"/>
          <w:lang w:val="es-ES"/>
        </w:rPr>
        <w:t>Participación de expertos comisionados en el Seminario sobre institucionalidad de la regulación en Colombia. Invitación del Banco de la Republica, realizado en la ciudad de Cartagena.</w:t>
      </w:r>
    </w:p>
    <w:p w14:paraId="2D4554B9" w14:textId="77777777" w:rsidR="00CE0467" w:rsidRPr="00105F7F" w:rsidRDefault="00CE0467" w:rsidP="00055F7C">
      <w:pPr>
        <w:pStyle w:val="Prrafodelista"/>
        <w:numPr>
          <w:ilvl w:val="0"/>
          <w:numId w:val="15"/>
        </w:numPr>
        <w:spacing w:after="0" w:line="240" w:lineRule="auto"/>
        <w:ind w:left="1134" w:hanging="425"/>
        <w:contextualSpacing/>
        <w:rPr>
          <w:rFonts w:cs="Arial"/>
          <w:lang w:val="es-ES"/>
        </w:rPr>
      </w:pPr>
      <w:r w:rsidRPr="00105F7F">
        <w:rPr>
          <w:rFonts w:cs="Arial"/>
          <w:lang w:val="es-ES"/>
        </w:rPr>
        <w:t>Participación de expertos comisionados en el segundo congreso Nacional de Bioenergía B-ON-2018, realizado en la ciudad de Cali.</w:t>
      </w:r>
    </w:p>
    <w:p w14:paraId="60D829A8" w14:textId="77777777" w:rsidR="00CE0467" w:rsidRPr="00105F7F" w:rsidRDefault="00CE0467" w:rsidP="00055F7C">
      <w:pPr>
        <w:pStyle w:val="Prrafodelista"/>
        <w:numPr>
          <w:ilvl w:val="0"/>
          <w:numId w:val="15"/>
        </w:numPr>
        <w:spacing w:after="0" w:line="240" w:lineRule="auto"/>
        <w:ind w:left="1134" w:hanging="425"/>
        <w:contextualSpacing/>
        <w:jc w:val="both"/>
        <w:rPr>
          <w:rFonts w:cs="Arial"/>
          <w:lang w:val="es-ES"/>
        </w:rPr>
      </w:pPr>
      <w:r w:rsidRPr="00105F7F">
        <w:rPr>
          <w:rFonts w:cs="Arial"/>
          <w:lang w:val="es-ES"/>
        </w:rPr>
        <w:t>Asistencia de Expertos Comisionados y Asesores al 32° Congreso Nacional de Distribuidores Minoristas de Combustibles y Energéticos, FENDIPETROLEO.</w:t>
      </w:r>
    </w:p>
    <w:p w14:paraId="560D4298" w14:textId="77777777" w:rsidR="00CE0467" w:rsidRPr="00105F7F" w:rsidRDefault="00CE0467" w:rsidP="00055F7C">
      <w:pPr>
        <w:pStyle w:val="Prrafodelista"/>
        <w:numPr>
          <w:ilvl w:val="0"/>
          <w:numId w:val="15"/>
        </w:numPr>
        <w:spacing w:after="0" w:line="240" w:lineRule="auto"/>
        <w:ind w:left="1134" w:hanging="425"/>
        <w:contextualSpacing/>
        <w:jc w:val="both"/>
        <w:rPr>
          <w:rFonts w:cs="Arial"/>
          <w:lang w:val="es-ES"/>
        </w:rPr>
      </w:pPr>
      <w:r w:rsidRPr="00105F7F">
        <w:rPr>
          <w:rFonts w:cs="Arial"/>
          <w:lang w:val="es-ES"/>
        </w:rPr>
        <w:t>Participación de Expertos Comisionados y Asesores en la jornada de fortalecimiento energético en las zonas no interconectadas.</w:t>
      </w:r>
    </w:p>
    <w:p w14:paraId="59E3D64B" w14:textId="77777777" w:rsidR="00CE0467" w:rsidRPr="00105F7F" w:rsidRDefault="00CE0467" w:rsidP="00055F7C">
      <w:pPr>
        <w:pStyle w:val="Prrafodelista"/>
        <w:numPr>
          <w:ilvl w:val="0"/>
          <w:numId w:val="15"/>
        </w:numPr>
        <w:spacing w:after="0" w:line="240" w:lineRule="auto"/>
        <w:ind w:left="1134" w:hanging="425"/>
        <w:contextualSpacing/>
        <w:jc w:val="both"/>
        <w:rPr>
          <w:rFonts w:cs="Arial"/>
          <w:lang w:val="es-ES"/>
        </w:rPr>
      </w:pPr>
      <w:r w:rsidRPr="00105F7F">
        <w:rPr>
          <w:rFonts w:cs="Arial"/>
          <w:lang w:val="es-ES"/>
        </w:rPr>
        <w:t>Participación de Expertos Comisionados y asesores en el Congreso Nacional e Internacional de Servicios Públicos, Tecnologías de la Información y las Comunicaciones y Televisión ANDESCO, con el tema "Servicios Públicos Domiciliarios, TIC y TV para el crecimiento verde".</w:t>
      </w:r>
    </w:p>
    <w:p w14:paraId="7818CA4D" w14:textId="77777777" w:rsidR="00CE0467" w:rsidRPr="00105F7F" w:rsidRDefault="00CE0467" w:rsidP="00055F7C">
      <w:pPr>
        <w:pStyle w:val="Prrafodelista"/>
        <w:numPr>
          <w:ilvl w:val="0"/>
          <w:numId w:val="15"/>
        </w:numPr>
        <w:spacing w:after="0" w:line="240" w:lineRule="auto"/>
        <w:ind w:left="1134" w:hanging="425"/>
        <w:contextualSpacing/>
        <w:jc w:val="both"/>
        <w:rPr>
          <w:rFonts w:cs="Arial"/>
          <w:sz w:val="20"/>
          <w:szCs w:val="20"/>
          <w:lang w:val="es-ES"/>
        </w:rPr>
      </w:pPr>
      <w:r w:rsidRPr="00105F7F">
        <w:rPr>
          <w:rFonts w:cs="Arial"/>
          <w:lang w:val="es-ES"/>
        </w:rPr>
        <w:t>Participación en la ceremonia de inauguración de la línea de transmisión energía y rendición de cuentas del Sr. Ministro de Minas y Energía.</w:t>
      </w:r>
    </w:p>
    <w:p w14:paraId="6A15DEFC" w14:textId="77777777" w:rsidR="00CE0467" w:rsidRPr="00105F7F" w:rsidRDefault="00CE0467" w:rsidP="00CE0467">
      <w:pPr>
        <w:pStyle w:val="Prrafodelista"/>
        <w:spacing w:after="0" w:line="240" w:lineRule="auto"/>
        <w:ind w:left="1134"/>
        <w:contextualSpacing/>
        <w:jc w:val="both"/>
        <w:rPr>
          <w:rFonts w:cs="Arial"/>
          <w:sz w:val="20"/>
          <w:szCs w:val="20"/>
          <w:lang w:val="es-ES"/>
        </w:rPr>
      </w:pPr>
    </w:p>
    <w:p w14:paraId="641862DB" w14:textId="77777777" w:rsidR="00CE0467" w:rsidRPr="00105F7F" w:rsidRDefault="00CE0467" w:rsidP="00CE0467">
      <w:pPr>
        <w:spacing w:after="0" w:line="240" w:lineRule="auto"/>
        <w:ind w:left="708"/>
        <w:jc w:val="both"/>
        <w:rPr>
          <w:rFonts w:ascii="Arial" w:eastAsia="Calibri" w:hAnsi="Arial" w:cs="Arial"/>
        </w:rPr>
      </w:pPr>
      <w:r w:rsidRPr="00105F7F">
        <w:rPr>
          <w:rFonts w:ascii="Arial" w:eastAsia="Calibri" w:hAnsi="Arial" w:cs="Arial"/>
        </w:rPr>
        <w:t>Para este proyecto se obligaron recursos por valor de $ 69 millones de pesos equivalentes al 7.67% de la apropiación, par4a dar cumplimiento a las obligaciones contraídas.</w:t>
      </w:r>
    </w:p>
    <w:p w14:paraId="16954853" w14:textId="77777777" w:rsidR="00CE0467" w:rsidRPr="00105F7F" w:rsidRDefault="00CE0467" w:rsidP="00CE0467">
      <w:pPr>
        <w:spacing w:after="0" w:line="240" w:lineRule="auto"/>
        <w:ind w:left="708"/>
        <w:rPr>
          <w:rFonts w:ascii="Arial" w:eastAsia="Calibri" w:hAnsi="Arial" w:cs="Arial"/>
        </w:rPr>
      </w:pPr>
    </w:p>
    <w:p w14:paraId="44D09E07" w14:textId="77777777" w:rsidR="00C02282" w:rsidRPr="000A5D7D" w:rsidRDefault="00C02282" w:rsidP="00C02282">
      <w:pPr>
        <w:spacing w:after="0" w:line="240" w:lineRule="auto"/>
        <w:ind w:left="708"/>
        <w:rPr>
          <w:rFonts w:ascii="Arial" w:eastAsia="Calibri" w:hAnsi="Arial" w:cs="Arial"/>
          <w:b/>
        </w:rPr>
      </w:pPr>
      <w:r w:rsidRPr="000A5D7D">
        <w:rPr>
          <w:rFonts w:ascii="Arial" w:eastAsia="Calibri" w:hAnsi="Arial" w:cs="Arial"/>
          <w:b/>
        </w:rPr>
        <w:lastRenderedPageBreak/>
        <w:t>PROYECTO 5: DIFUSIÓN INSTITUCIONAL A NIVEL NACIONAL</w:t>
      </w:r>
    </w:p>
    <w:p w14:paraId="124B3921" w14:textId="77777777" w:rsidR="00C02282" w:rsidRPr="006A67B4" w:rsidRDefault="00C02282" w:rsidP="00C02282">
      <w:pPr>
        <w:spacing w:after="0" w:line="240" w:lineRule="auto"/>
        <w:ind w:left="708"/>
        <w:rPr>
          <w:rFonts w:ascii="Arial" w:eastAsia="Calibri" w:hAnsi="Arial" w:cs="Arial"/>
          <w:highlight w:val="yellow"/>
        </w:rPr>
      </w:pPr>
    </w:p>
    <w:p w14:paraId="66F44E1D" w14:textId="77777777" w:rsidR="000A5D7D" w:rsidRPr="00105F7F" w:rsidRDefault="000A5D7D" w:rsidP="000A5D7D">
      <w:pPr>
        <w:spacing w:after="0" w:line="240" w:lineRule="auto"/>
        <w:ind w:left="708"/>
        <w:jc w:val="both"/>
        <w:rPr>
          <w:rFonts w:ascii="Arial" w:eastAsia="Calibri" w:hAnsi="Arial" w:cs="Arial"/>
        </w:rPr>
      </w:pPr>
      <w:r w:rsidRPr="00105F7F">
        <w:rPr>
          <w:rFonts w:ascii="Arial" w:eastAsia="Calibri" w:hAnsi="Arial" w:cs="Arial"/>
        </w:rPr>
        <w:t>Para este proyecto de inversión, se comprometieron recursos durante el primer semestre de 2018, por valor de $ 123 millones de pesos que corresponden al 25,89% de la apropiación inicial del proyecto por valor de $ 475 millones, con el fin de realizar durante el segundo trimestre los siguientes compromisos:</w:t>
      </w:r>
    </w:p>
    <w:p w14:paraId="4565A7EB" w14:textId="77777777" w:rsidR="000A5D7D" w:rsidRPr="00105F7F" w:rsidRDefault="000A5D7D" w:rsidP="000A5D7D">
      <w:pPr>
        <w:spacing w:after="0" w:line="240" w:lineRule="auto"/>
        <w:ind w:left="708"/>
        <w:jc w:val="both"/>
        <w:rPr>
          <w:rFonts w:ascii="Arial" w:eastAsia="Calibri" w:hAnsi="Arial" w:cs="Arial"/>
        </w:rPr>
      </w:pPr>
    </w:p>
    <w:p w14:paraId="67E7C619" w14:textId="77777777" w:rsidR="000A5D7D" w:rsidRPr="00105F7F" w:rsidRDefault="000A5D7D" w:rsidP="00055F7C">
      <w:pPr>
        <w:pStyle w:val="Prrafodelista"/>
        <w:numPr>
          <w:ilvl w:val="0"/>
          <w:numId w:val="14"/>
        </w:numPr>
        <w:spacing w:after="0" w:line="240" w:lineRule="auto"/>
        <w:contextualSpacing/>
        <w:jc w:val="both"/>
        <w:rPr>
          <w:rFonts w:cs="Arial"/>
          <w:lang w:val="es-ES"/>
        </w:rPr>
      </w:pPr>
      <w:r w:rsidRPr="00105F7F">
        <w:rPr>
          <w:rFonts w:cs="Arial"/>
          <w:lang w:val="es-ES"/>
        </w:rPr>
        <w:t>Contratación de servicios logísticos, para la ejecución de dos talleres temáticos relacionados con la Resolución CREG 030 de 2018, por la cual se regulan las actividades de autogeneración, a pequeña escala y generación distribuida en el sistema interconectado nacional dirigidos a los diferentes públicos de interés.</w:t>
      </w:r>
    </w:p>
    <w:p w14:paraId="41A7A438" w14:textId="77777777" w:rsidR="000A5D7D" w:rsidRPr="00105F7F" w:rsidRDefault="000A5D7D" w:rsidP="000A5D7D">
      <w:pPr>
        <w:spacing w:after="0" w:line="240" w:lineRule="auto"/>
        <w:ind w:left="708"/>
        <w:jc w:val="both"/>
        <w:rPr>
          <w:rFonts w:ascii="Arial" w:eastAsia="Calibri" w:hAnsi="Arial" w:cs="Arial"/>
        </w:rPr>
      </w:pPr>
    </w:p>
    <w:p w14:paraId="5753CAD7" w14:textId="77777777" w:rsidR="000A5D7D" w:rsidRPr="00105F7F" w:rsidRDefault="000A5D7D" w:rsidP="000A5D7D">
      <w:pPr>
        <w:pStyle w:val="Prrafodelista"/>
        <w:spacing w:after="0" w:line="240" w:lineRule="auto"/>
        <w:jc w:val="both"/>
        <w:rPr>
          <w:rFonts w:eastAsia="Calibri" w:cs="Arial"/>
        </w:rPr>
      </w:pPr>
      <w:r w:rsidRPr="00105F7F">
        <w:rPr>
          <w:rFonts w:eastAsia="Calibri" w:cs="Arial"/>
        </w:rPr>
        <w:t>Para este proyecto se han obligado recursos por valor de $58 millones de pesos que equivalen al 12.21% para atender los compromisos adquiridos, entre los cuales podemos citar:</w:t>
      </w:r>
    </w:p>
    <w:p w14:paraId="4499736C" w14:textId="77777777" w:rsidR="000A5D7D" w:rsidRPr="00105F7F" w:rsidRDefault="000A5D7D" w:rsidP="000A5D7D">
      <w:pPr>
        <w:pStyle w:val="Prrafodelista"/>
        <w:spacing w:after="0" w:line="240" w:lineRule="auto"/>
        <w:jc w:val="both"/>
        <w:rPr>
          <w:rFonts w:eastAsia="Calibri" w:cs="Arial"/>
        </w:rPr>
      </w:pPr>
    </w:p>
    <w:p w14:paraId="4DEDBD7E" w14:textId="77777777" w:rsidR="000A5D7D" w:rsidRPr="00105F7F" w:rsidRDefault="000A5D7D" w:rsidP="00055F7C">
      <w:pPr>
        <w:pStyle w:val="Prrafodelista"/>
        <w:numPr>
          <w:ilvl w:val="0"/>
          <w:numId w:val="14"/>
        </w:numPr>
        <w:spacing w:after="0" w:line="240" w:lineRule="auto"/>
        <w:contextualSpacing/>
        <w:jc w:val="both"/>
        <w:rPr>
          <w:rFonts w:cs="Arial"/>
          <w:b/>
        </w:rPr>
      </w:pPr>
      <w:r w:rsidRPr="00105F7F">
        <w:rPr>
          <w:rFonts w:cs="Arial"/>
          <w:lang w:val="es-ES"/>
        </w:rPr>
        <w:t xml:space="preserve">Cancelación del contrato para la grabación de Taller de mercado anónimo estandarizado de energía eléctrica realizado por la CREG y transmisión por </w:t>
      </w:r>
      <w:proofErr w:type="spellStart"/>
      <w:r w:rsidRPr="00105F7F">
        <w:rPr>
          <w:rFonts w:cs="Arial"/>
          <w:lang w:val="es-ES"/>
        </w:rPr>
        <w:t>Streaming</w:t>
      </w:r>
      <w:proofErr w:type="spellEnd"/>
      <w:r w:rsidRPr="00105F7F">
        <w:rPr>
          <w:rFonts w:cs="Arial"/>
          <w:lang w:val="es-ES"/>
        </w:rPr>
        <w:t xml:space="preserve"> a 2 cámaras incluyendo canal de internet.</w:t>
      </w:r>
    </w:p>
    <w:p w14:paraId="348B5AA6" w14:textId="77777777" w:rsidR="000A5D7D" w:rsidRPr="00105F7F" w:rsidRDefault="000A5D7D" w:rsidP="000A5D7D">
      <w:pPr>
        <w:pStyle w:val="Prrafodelista"/>
        <w:spacing w:after="0" w:line="240" w:lineRule="auto"/>
        <w:ind w:left="1080"/>
        <w:contextualSpacing/>
        <w:jc w:val="both"/>
        <w:rPr>
          <w:rFonts w:cs="Arial"/>
          <w:b/>
        </w:rPr>
      </w:pPr>
    </w:p>
    <w:p w14:paraId="61215DE8" w14:textId="77777777" w:rsidR="000A5D7D" w:rsidRPr="00105F7F" w:rsidRDefault="000A5D7D" w:rsidP="00055F7C">
      <w:pPr>
        <w:pStyle w:val="Prrafodelista"/>
        <w:numPr>
          <w:ilvl w:val="0"/>
          <w:numId w:val="14"/>
        </w:numPr>
        <w:spacing w:after="0" w:line="240" w:lineRule="auto"/>
        <w:contextualSpacing/>
        <w:jc w:val="both"/>
        <w:rPr>
          <w:rFonts w:cs="Arial"/>
        </w:rPr>
      </w:pPr>
      <w:r w:rsidRPr="00105F7F">
        <w:rPr>
          <w:rFonts w:cs="Arial"/>
        </w:rPr>
        <w:t>Pago de cuota del contrato de prestación de servicios profesionales en desarrollo de contrato cuyo objeto es el diseño gráfico, ilustración y diagramación de herramientas comunicativas institucionales para apoyar el desarrollo de las actividades de comunicación de la CREG.</w:t>
      </w:r>
    </w:p>
    <w:p w14:paraId="581C71AF" w14:textId="77777777" w:rsidR="000A5D7D" w:rsidRPr="00105F7F" w:rsidRDefault="000A5D7D" w:rsidP="000A5D7D">
      <w:pPr>
        <w:spacing w:after="0" w:line="240" w:lineRule="auto"/>
        <w:contextualSpacing/>
        <w:jc w:val="both"/>
        <w:rPr>
          <w:rFonts w:ascii="Arial" w:hAnsi="Arial" w:cs="Arial"/>
        </w:rPr>
      </w:pPr>
    </w:p>
    <w:p w14:paraId="56422FB3" w14:textId="77777777" w:rsidR="000A5D7D" w:rsidRPr="00105F7F" w:rsidRDefault="000A5D7D" w:rsidP="00055F7C">
      <w:pPr>
        <w:pStyle w:val="Prrafodelista"/>
        <w:numPr>
          <w:ilvl w:val="0"/>
          <w:numId w:val="14"/>
        </w:numPr>
        <w:spacing w:after="0" w:line="240" w:lineRule="auto"/>
        <w:jc w:val="both"/>
        <w:rPr>
          <w:rFonts w:eastAsia="Calibri" w:cs="Arial"/>
        </w:rPr>
      </w:pPr>
      <w:r w:rsidRPr="00105F7F">
        <w:rPr>
          <w:rFonts w:cs="Arial"/>
        </w:rPr>
        <w:t>Pago cuota correspondiente al contrato de prestación de servicios profesionales en desarrollo de seguimiento y monitoreo de medios de comunicación por cobertura de radio, televisión, prensa e internet de información referente a la CREG y los sectores que regula.</w:t>
      </w:r>
    </w:p>
    <w:p w14:paraId="442CB9CC" w14:textId="77777777" w:rsidR="000A5D7D" w:rsidRPr="00105F7F" w:rsidRDefault="000A5D7D" w:rsidP="000A5D7D">
      <w:pPr>
        <w:pStyle w:val="Prrafodelista"/>
        <w:spacing w:line="240" w:lineRule="auto"/>
        <w:rPr>
          <w:rFonts w:eastAsia="Calibri" w:cs="Arial"/>
        </w:rPr>
      </w:pPr>
    </w:p>
    <w:p w14:paraId="02E0A3CD" w14:textId="77777777" w:rsidR="000A5D7D" w:rsidRPr="00105F7F" w:rsidRDefault="000A5D7D" w:rsidP="00055F7C">
      <w:pPr>
        <w:pStyle w:val="Prrafodelista"/>
        <w:numPr>
          <w:ilvl w:val="0"/>
          <w:numId w:val="14"/>
        </w:numPr>
        <w:spacing w:after="0" w:line="240" w:lineRule="auto"/>
        <w:contextualSpacing/>
        <w:jc w:val="both"/>
        <w:rPr>
          <w:rFonts w:cs="Arial"/>
          <w:lang w:val="es-ES"/>
        </w:rPr>
      </w:pPr>
      <w:r w:rsidRPr="00105F7F">
        <w:rPr>
          <w:rFonts w:cs="Arial"/>
          <w:lang w:val="es-ES"/>
        </w:rPr>
        <w:t>Pago cuota del contrato de prestación de servicios profesionales en desarrollo de contrato cuyo objeto es el diseño gráfico, ilustración y diagramación de herramientas comunicativas institucionales para apoyar el desarrollo de las actividades de comunicación de la CREG.</w:t>
      </w:r>
    </w:p>
    <w:p w14:paraId="0318B85B" w14:textId="77777777" w:rsidR="00C02282" w:rsidRPr="000A5D7D" w:rsidRDefault="00C02282" w:rsidP="008B4625">
      <w:pPr>
        <w:pStyle w:val="Ttulo1"/>
        <w:numPr>
          <w:ilvl w:val="0"/>
          <w:numId w:val="35"/>
        </w:numPr>
        <w:ind w:left="1068"/>
        <w:rPr>
          <w:rFonts w:ascii="Arial" w:eastAsia="Arial" w:hAnsi="Arial" w:cs="Arial"/>
          <w:b/>
          <w:color w:val="auto"/>
          <w:sz w:val="22"/>
          <w:szCs w:val="22"/>
          <w:lang w:eastAsia="es-CO"/>
        </w:rPr>
      </w:pPr>
      <w:bookmarkStart w:id="283" w:name="_Toc525652083"/>
      <w:r w:rsidRPr="000A5D7D">
        <w:rPr>
          <w:rFonts w:ascii="Arial" w:eastAsia="Arial" w:hAnsi="Arial" w:cs="Arial"/>
          <w:b/>
          <w:color w:val="auto"/>
          <w:sz w:val="22"/>
          <w:szCs w:val="22"/>
          <w:lang w:eastAsia="es-CO"/>
        </w:rPr>
        <w:t>COMPOSICIÓN REZAGO PRESUPUESTAL DE LA CREG</w:t>
      </w:r>
      <w:bookmarkEnd w:id="283"/>
      <w:r w:rsidRPr="000A5D7D">
        <w:rPr>
          <w:rFonts w:ascii="Arial" w:eastAsia="Arial" w:hAnsi="Arial" w:cs="Arial"/>
          <w:b/>
          <w:color w:val="auto"/>
          <w:sz w:val="22"/>
          <w:szCs w:val="22"/>
          <w:lang w:eastAsia="es-CO"/>
        </w:rPr>
        <w:t xml:space="preserve"> </w:t>
      </w:r>
    </w:p>
    <w:p w14:paraId="666527F0" w14:textId="77777777" w:rsidR="00C02282" w:rsidRPr="000A5D7D" w:rsidRDefault="00C02282" w:rsidP="008B4625">
      <w:pPr>
        <w:pStyle w:val="Ttulo2"/>
        <w:numPr>
          <w:ilvl w:val="1"/>
          <w:numId w:val="35"/>
        </w:numPr>
        <w:ind w:left="1428"/>
        <w:rPr>
          <w:rFonts w:ascii="Arial" w:eastAsia="Calibri" w:hAnsi="Arial" w:cs="Arial"/>
          <w:color w:val="auto"/>
          <w:sz w:val="22"/>
          <w:szCs w:val="22"/>
        </w:rPr>
      </w:pPr>
      <w:bookmarkStart w:id="284" w:name="_Toc525652084"/>
      <w:r w:rsidRPr="000A5D7D">
        <w:rPr>
          <w:rFonts w:ascii="Arial" w:eastAsia="Calibri" w:hAnsi="Arial" w:cs="Arial"/>
          <w:color w:val="auto"/>
          <w:sz w:val="22"/>
          <w:szCs w:val="22"/>
        </w:rPr>
        <w:t>Ejecución reservas presupuestales CREG</w:t>
      </w:r>
      <w:bookmarkEnd w:id="284"/>
    </w:p>
    <w:p w14:paraId="51BA1AD3" w14:textId="77777777" w:rsidR="00C02282" w:rsidRPr="000A5D7D" w:rsidRDefault="00C02282" w:rsidP="00C02282">
      <w:pPr>
        <w:pStyle w:val="Sinespaciado"/>
        <w:ind w:left="708"/>
        <w:rPr>
          <w:rFonts w:ascii="Arial" w:hAnsi="Arial" w:cs="Arial"/>
        </w:rPr>
      </w:pPr>
    </w:p>
    <w:p w14:paraId="6BA3EC10" w14:textId="77777777" w:rsidR="00C02282" w:rsidRPr="000A5D7D" w:rsidRDefault="00C02282" w:rsidP="00C02282">
      <w:pPr>
        <w:pStyle w:val="Sinespaciado"/>
        <w:ind w:left="1416"/>
        <w:jc w:val="both"/>
        <w:rPr>
          <w:rFonts w:ascii="Arial" w:hAnsi="Arial" w:cs="Arial"/>
        </w:rPr>
      </w:pPr>
      <w:r w:rsidRPr="000A5D7D">
        <w:rPr>
          <w:rFonts w:ascii="Arial" w:hAnsi="Arial" w:cs="Arial"/>
        </w:rPr>
        <w:t>La CREG al cierre de la vigencia 2017 no constituyo reservas presupuestales, por tanto, en la vigencia 2018 no reporta datos por este concepto.</w:t>
      </w:r>
    </w:p>
    <w:p w14:paraId="0AA412BC" w14:textId="77777777" w:rsidR="00C02282" w:rsidRPr="000A5D7D" w:rsidRDefault="00C02282" w:rsidP="008B4625">
      <w:pPr>
        <w:pStyle w:val="Ttulo2"/>
        <w:numPr>
          <w:ilvl w:val="1"/>
          <w:numId w:val="35"/>
        </w:numPr>
        <w:ind w:left="1428"/>
        <w:rPr>
          <w:rFonts w:ascii="Arial" w:eastAsia="Calibri" w:hAnsi="Arial" w:cs="Arial"/>
          <w:color w:val="auto"/>
          <w:sz w:val="22"/>
          <w:szCs w:val="22"/>
        </w:rPr>
      </w:pPr>
      <w:bookmarkStart w:id="285" w:name="_Toc525652085"/>
      <w:r w:rsidRPr="000A5D7D">
        <w:rPr>
          <w:rFonts w:ascii="Arial" w:eastAsia="Calibri" w:hAnsi="Arial" w:cs="Arial"/>
          <w:color w:val="auto"/>
          <w:sz w:val="22"/>
          <w:szCs w:val="22"/>
        </w:rPr>
        <w:t>Ejecución cuentas por pagar CREG</w:t>
      </w:r>
      <w:bookmarkEnd w:id="285"/>
    </w:p>
    <w:p w14:paraId="536F5F95" w14:textId="77777777" w:rsidR="00C02282" w:rsidRPr="000A5D7D" w:rsidRDefault="00C02282" w:rsidP="00C02282">
      <w:pPr>
        <w:pStyle w:val="Sinespaciado"/>
        <w:ind w:left="708"/>
        <w:rPr>
          <w:rFonts w:ascii="Arial" w:hAnsi="Arial" w:cs="Arial"/>
        </w:rPr>
      </w:pPr>
    </w:p>
    <w:p w14:paraId="21C70A84" w14:textId="77777777" w:rsidR="000A5D7D" w:rsidRPr="00105F7F" w:rsidRDefault="000A5D7D" w:rsidP="000A5D7D">
      <w:pPr>
        <w:pStyle w:val="Sinespaciado"/>
        <w:ind w:left="1416"/>
        <w:jc w:val="both"/>
        <w:rPr>
          <w:rFonts w:ascii="Arial" w:hAnsi="Arial" w:cs="Arial"/>
        </w:rPr>
      </w:pPr>
      <w:r w:rsidRPr="000A5D7D">
        <w:rPr>
          <w:rFonts w:ascii="Arial" w:hAnsi="Arial" w:cs="Arial"/>
        </w:rPr>
        <w:t xml:space="preserve">Al cierre de la vigencia 2017 se constituyeron cuentas por pagar por valor de $1.048 </w:t>
      </w:r>
      <w:proofErr w:type="spellStart"/>
      <w:proofErr w:type="gramStart"/>
      <w:r w:rsidRPr="000A5D7D">
        <w:rPr>
          <w:rFonts w:ascii="Arial" w:hAnsi="Arial" w:cs="Arial"/>
        </w:rPr>
        <w:t>mlls</w:t>
      </w:r>
      <w:proofErr w:type="spellEnd"/>
      <w:r w:rsidRPr="000A5D7D">
        <w:rPr>
          <w:rFonts w:ascii="Arial" w:hAnsi="Arial" w:cs="Arial"/>
        </w:rPr>
        <w:t>(</w:t>
      </w:r>
      <w:proofErr w:type="gramEnd"/>
      <w:r w:rsidRPr="000A5D7D">
        <w:rPr>
          <w:rFonts w:ascii="Arial" w:hAnsi="Arial" w:cs="Arial"/>
        </w:rPr>
        <w:t xml:space="preserve">$) de las cuales el 42% corresponde a gastos de funcionamiento y el </w:t>
      </w:r>
      <w:r w:rsidRPr="000A5D7D">
        <w:rPr>
          <w:rFonts w:ascii="Arial" w:hAnsi="Arial" w:cs="Arial"/>
        </w:rPr>
        <w:lastRenderedPageBreak/>
        <w:t>58% a inversión, al cierre del 30 de junio se cancelaron en su totalidad las cuentas por pagar que habían quedado pendientes en el primes trimestre.</w:t>
      </w:r>
    </w:p>
    <w:p w14:paraId="4CB78634" w14:textId="77777777" w:rsidR="00C02282" w:rsidRPr="002D3798" w:rsidRDefault="00C02282" w:rsidP="00C02282">
      <w:pPr>
        <w:pStyle w:val="Sinespaciado"/>
      </w:pPr>
    </w:p>
    <w:p w14:paraId="37A460F8" w14:textId="6BEB370D" w:rsidR="00C02282" w:rsidRPr="002D3798" w:rsidRDefault="00C02282" w:rsidP="00C02282">
      <w:pPr>
        <w:pStyle w:val="Descripcin"/>
        <w:keepNext/>
        <w:jc w:val="center"/>
      </w:pPr>
      <w:bookmarkStart w:id="286" w:name="_Toc525652568"/>
      <w:r w:rsidRPr="002D3798">
        <w:t xml:space="preserve">Tabla </w:t>
      </w:r>
      <w:r w:rsidRPr="002D3798">
        <w:fldChar w:fldCharType="begin"/>
      </w:r>
      <w:r w:rsidRPr="002D3798">
        <w:instrText xml:space="preserve"> SEQ Tabla \* ARABIC </w:instrText>
      </w:r>
      <w:r w:rsidRPr="002D3798">
        <w:fldChar w:fldCharType="separate"/>
      </w:r>
      <w:r w:rsidR="008B4625">
        <w:rPr>
          <w:noProof/>
        </w:rPr>
        <w:t>123</w:t>
      </w:r>
      <w:r w:rsidRPr="002D3798">
        <w:fldChar w:fldCharType="end"/>
      </w:r>
      <w:r w:rsidR="000A5D7D" w:rsidRPr="002D3798">
        <w:t xml:space="preserve"> </w:t>
      </w:r>
      <w:r w:rsidRPr="002D3798">
        <w:t>Ejecución presupuestal cuentas por pagar 2018 CREG</w:t>
      </w:r>
      <w:bookmarkEnd w:id="286"/>
    </w:p>
    <w:p w14:paraId="3828C909" w14:textId="2F5F40E9" w:rsidR="00C02282" w:rsidRPr="002D3798" w:rsidRDefault="000A5D7D" w:rsidP="00C02282">
      <w:pPr>
        <w:pStyle w:val="Prrafodelista"/>
        <w:spacing w:after="0" w:line="240" w:lineRule="auto"/>
        <w:ind w:left="720"/>
        <w:contextualSpacing/>
        <w:jc w:val="center"/>
        <w:rPr>
          <w:rFonts w:eastAsia="Calibri" w:cs="Arial"/>
        </w:rPr>
      </w:pPr>
      <w:r w:rsidRPr="002D3798">
        <w:rPr>
          <w:rFonts w:cs="Arial"/>
          <w:noProof/>
          <w:lang w:eastAsia="es-CO"/>
        </w:rPr>
        <w:drawing>
          <wp:inline distT="0" distB="0" distL="0" distR="0" wp14:anchorId="3BE30559" wp14:editId="0F50F1F7">
            <wp:extent cx="3328798" cy="80356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96275" cy="819853"/>
                    </a:xfrm>
                    <a:prstGeom prst="rect">
                      <a:avLst/>
                    </a:prstGeom>
                    <a:noFill/>
                    <a:ln>
                      <a:noFill/>
                    </a:ln>
                  </pic:spPr>
                </pic:pic>
              </a:graphicData>
            </a:graphic>
          </wp:inline>
        </w:drawing>
      </w:r>
    </w:p>
    <w:p w14:paraId="0FB527ED" w14:textId="77777777" w:rsidR="00C02282" w:rsidRPr="002D3798" w:rsidRDefault="00C02282" w:rsidP="00C02282">
      <w:pPr>
        <w:spacing w:after="0"/>
        <w:ind w:left="708"/>
        <w:jc w:val="center"/>
        <w:rPr>
          <w:rFonts w:ascii="Arial" w:hAnsi="Arial" w:cs="Arial"/>
          <w:color w:val="000000"/>
          <w:sz w:val="16"/>
          <w:szCs w:val="16"/>
        </w:rPr>
      </w:pPr>
      <w:r w:rsidRPr="002D3798">
        <w:rPr>
          <w:rFonts w:ascii="Arial" w:hAnsi="Arial" w:cs="Arial"/>
          <w:color w:val="000000"/>
          <w:sz w:val="16"/>
          <w:szCs w:val="16"/>
        </w:rPr>
        <w:t>Millones de pesos</w:t>
      </w:r>
    </w:p>
    <w:p w14:paraId="33C977C7" w14:textId="77777777" w:rsidR="00C02282" w:rsidRPr="002D3798" w:rsidRDefault="00C02282" w:rsidP="00C02282">
      <w:pPr>
        <w:spacing w:after="0"/>
        <w:ind w:left="708"/>
        <w:jc w:val="center"/>
        <w:rPr>
          <w:rFonts w:ascii="Arial" w:eastAsia="Calibri" w:hAnsi="Arial" w:cs="Arial"/>
          <w:sz w:val="16"/>
          <w:szCs w:val="16"/>
        </w:rPr>
      </w:pPr>
      <w:r w:rsidRPr="002D3798">
        <w:rPr>
          <w:rFonts w:ascii="Arial" w:eastAsia="Calibri" w:hAnsi="Arial" w:cs="Arial"/>
          <w:sz w:val="16"/>
          <w:szCs w:val="16"/>
        </w:rPr>
        <w:t>Fuente: SIIF Nación CREG</w:t>
      </w:r>
    </w:p>
    <w:p w14:paraId="75BC4BA6" w14:textId="77777777" w:rsidR="008112A2" w:rsidRPr="006A67B4" w:rsidRDefault="008112A2" w:rsidP="00C02282">
      <w:pPr>
        <w:spacing w:after="0"/>
        <w:ind w:left="708"/>
        <w:jc w:val="center"/>
        <w:rPr>
          <w:rFonts w:eastAsia="Calibri" w:cs="Arial"/>
          <w:highlight w:val="yellow"/>
        </w:rPr>
      </w:pPr>
    </w:p>
    <w:p w14:paraId="5304EE79" w14:textId="77777777" w:rsidR="00C02282" w:rsidRPr="000A5D7D" w:rsidRDefault="00C02282" w:rsidP="008B4625">
      <w:pPr>
        <w:pStyle w:val="Ttulo1"/>
        <w:numPr>
          <w:ilvl w:val="0"/>
          <w:numId w:val="35"/>
        </w:numPr>
        <w:rPr>
          <w:rFonts w:ascii="Arial" w:eastAsia="Arial" w:hAnsi="Arial" w:cs="Arial"/>
          <w:b/>
          <w:color w:val="auto"/>
          <w:sz w:val="22"/>
          <w:szCs w:val="22"/>
          <w:lang w:eastAsia="es-CO"/>
        </w:rPr>
      </w:pPr>
      <w:bookmarkStart w:id="287" w:name="_Toc525652086"/>
      <w:r w:rsidRPr="000A5D7D">
        <w:rPr>
          <w:rFonts w:ascii="Arial" w:eastAsia="Arial" w:hAnsi="Arial" w:cs="Arial"/>
          <w:b/>
          <w:color w:val="auto"/>
          <w:sz w:val="22"/>
          <w:szCs w:val="22"/>
          <w:lang w:eastAsia="es-CO"/>
        </w:rPr>
        <w:t>CONCLUSIONES Y /O COMENTARIOS</w:t>
      </w:r>
      <w:bookmarkEnd w:id="287"/>
    </w:p>
    <w:p w14:paraId="7F3D8859" w14:textId="77777777" w:rsidR="00C02282" w:rsidRPr="006A67B4" w:rsidRDefault="00C02282" w:rsidP="00C02282">
      <w:pPr>
        <w:pStyle w:val="Sinespaciado"/>
        <w:rPr>
          <w:highlight w:val="yellow"/>
          <w:lang w:eastAsia="es-CO"/>
        </w:rPr>
      </w:pPr>
    </w:p>
    <w:p w14:paraId="5F432DCB" w14:textId="77777777" w:rsidR="000A5D7D" w:rsidRPr="00105F7F" w:rsidRDefault="000A5D7D" w:rsidP="000A5D7D">
      <w:pPr>
        <w:pStyle w:val="Sinespaciado"/>
        <w:jc w:val="both"/>
        <w:rPr>
          <w:rFonts w:ascii="Arial" w:hAnsi="Arial" w:cs="Arial"/>
          <w:lang w:eastAsia="es-CO"/>
        </w:rPr>
      </w:pPr>
      <w:r w:rsidRPr="00105F7F">
        <w:rPr>
          <w:rFonts w:ascii="Arial" w:hAnsi="Arial" w:cs="Arial"/>
          <w:lang w:eastAsia="es-CO"/>
        </w:rPr>
        <w:t>La CREG al cierre del 30 de junio de 2018 ha ejecutado sus gastos funcionamiento e inversión acordes a las proyecciones estimadas y en concordancia con los flujos de efectivo a efectuado el pago de sus obligaciones; así mismo al cierre del periodo a cubierto las cuentas por pagar constituidas al cierre de la vigencia 2017, fueron pagadas en su totalidad al cierre del segundo trimestre. Se estima efectuar el cálculo de la contribución de la presente vigencia en el 3er. trimestre del año y efectuar el cobro de la diferencia restante entre el valor generado y el anticipo en el 4to. Trimestre del año.</w:t>
      </w:r>
    </w:p>
    <w:p w14:paraId="2F40A70E" w14:textId="77777777" w:rsidR="000A5D7D" w:rsidRPr="00105F7F" w:rsidRDefault="000A5D7D" w:rsidP="000A5D7D">
      <w:pPr>
        <w:pStyle w:val="Sinespaciado"/>
        <w:ind w:left="360"/>
        <w:jc w:val="both"/>
        <w:rPr>
          <w:rFonts w:ascii="Arial" w:hAnsi="Arial" w:cs="Arial"/>
          <w:lang w:eastAsia="es-CO"/>
        </w:rPr>
      </w:pPr>
    </w:p>
    <w:p w14:paraId="5E55838C" w14:textId="77777777" w:rsidR="000A5D7D" w:rsidRPr="00105F7F" w:rsidRDefault="000A5D7D" w:rsidP="000A5D7D">
      <w:pPr>
        <w:rPr>
          <w:rFonts w:ascii="Arial" w:hAnsi="Arial" w:cs="Arial"/>
          <w:lang w:eastAsia="es-CO"/>
        </w:rPr>
      </w:pPr>
      <w:r w:rsidRPr="00105F7F">
        <w:rPr>
          <w:rFonts w:ascii="Arial" w:hAnsi="Arial" w:cs="Arial"/>
          <w:lang w:eastAsia="es-CO"/>
        </w:rPr>
        <w:t xml:space="preserve">En el tercer trimestre se tiene previsto solicitar la autorización de cupo de vigencias futuras ordinarias para la contratación de los siguientes servicios: </w:t>
      </w:r>
    </w:p>
    <w:p w14:paraId="11A48C4C" w14:textId="77777777" w:rsidR="000A5D7D" w:rsidRPr="00105F7F" w:rsidRDefault="000A5D7D" w:rsidP="008B4625">
      <w:pPr>
        <w:pStyle w:val="Prrafodelista"/>
        <w:numPr>
          <w:ilvl w:val="0"/>
          <w:numId w:val="48"/>
        </w:numPr>
        <w:spacing w:line="240" w:lineRule="auto"/>
        <w:rPr>
          <w:rFonts w:eastAsiaTheme="minorHAnsi" w:cs="Arial"/>
          <w:lang w:eastAsia="es-CO"/>
        </w:rPr>
      </w:pPr>
      <w:r w:rsidRPr="00105F7F">
        <w:rPr>
          <w:rFonts w:eastAsiaTheme="minorHAnsi" w:cs="Arial"/>
          <w:lang w:eastAsia="es-CO"/>
        </w:rPr>
        <w:t>Administración del archivo y centro de documentación.</w:t>
      </w:r>
    </w:p>
    <w:p w14:paraId="70A6EB71" w14:textId="77777777" w:rsidR="000A5D7D" w:rsidRPr="00105F7F" w:rsidRDefault="000A5D7D" w:rsidP="008B4625">
      <w:pPr>
        <w:pStyle w:val="Prrafodelista"/>
        <w:numPr>
          <w:ilvl w:val="0"/>
          <w:numId w:val="48"/>
        </w:numPr>
        <w:spacing w:line="240" w:lineRule="auto"/>
        <w:rPr>
          <w:rFonts w:eastAsiaTheme="minorHAnsi" w:cs="Arial"/>
          <w:lang w:eastAsia="es-CO"/>
        </w:rPr>
      </w:pPr>
      <w:r w:rsidRPr="00105F7F">
        <w:rPr>
          <w:rFonts w:eastAsiaTheme="minorHAnsi" w:cs="Arial"/>
          <w:lang w:eastAsia="es-CO"/>
        </w:rPr>
        <w:t xml:space="preserve">Arrendamiento </w:t>
      </w:r>
    </w:p>
    <w:p w14:paraId="4EA331DB"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03. Servicio de custodia de archivos.</w:t>
      </w:r>
    </w:p>
    <w:p w14:paraId="65BC764C"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04. Servicio de vigilancia y custodia.</w:t>
      </w:r>
    </w:p>
    <w:p w14:paraId="0A13365A"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05. Servicio de impresos y publicaciones.</w:t>
      </w:r>
    </w:p>
    <w:p w14:paraId="1E18CE06"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06. Servicio de correo.</w:t>
      </w:r>
    </w:p>
    <w:p w14:paraId="38A47FEA"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07. Fiducia mercantil para la administración de recursos presupuestales</w:t>
      </w:r>
    </w:p>
    <w:p w14:paraId="19CC15A4"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 xml:space="preserve">08. Servicio de </w:t>
      </w:r>
      <w:proofErr w:type="spellStart"/>
      <w:r w:rsidRPr="00105F7F">
        <w:rPr>
          <w:rFonts w:ascii="Arial" w:hAnsi="Arial" w:cs="Arial"/>
          <w:lang w:eastAsia="es-CO"/>
        </w:rPr>
        <w:t>outsourcing</w:t>
      </w:r>
      <w:proofErr w:type="spellEnd"/>
      <w:r w:rsidRPr="00105F7F">
        <w:rPr>
          <w:rFonts w:ascii="Arial" w:hAnsi="Arial" w:cs="Arial"/>
          <w:lang w:eastAsia="es-CO"/>
        </w:rPr>
        <w:t xml:space="preserve"> contable.</w:t>
      </w:r>
    </w:p>
    <w:p w14:paraId="4567020E" w14:textId="77777777" w:rsidR="000A5D7D" w:rsidRPr="00105F7F" w:rsidRDefault="000A5D7D" w:rsidP="000A5D7D">
      <w:pPr>
        <w:spacing w:line="240" w:lineRule="auto"/>
        <w:rPr>
          <w:rFonts w:ascii="Arial" w:hAnsi="Arial" w:cs="Arial"/>
          <w:lang w:eastAsia="es-CO"/>
        </w:rPr>
      </w:pPr>
      <w:r w:rsidRPr="00105F7F">
        <w:rPr>
          <w:rFonts w:ascii="Arial" w:hAnsi="Arial" w:cs="Arial"/>
          <w:lang w:eastAsia="es-CO"/>
        </w:rPr>
        <w:t xml:space="preserve">09. Servicio de </w:t>
      </w:r>
      <w:proofErr w:type="spellStart"/>
      <w:r w:rsidRPr="00105F7F">
        <w:rPr>
          <w:rFonts w:ascii="Arial" w:hAnsi="Arial" w:cs="Arial"/>
          <w:lang w:eastAsia="es-CO"/>
        </w:rPr>
        <w:t>outsourcing</w:t>
      </w:r>
      <w:proofErr w:type="spellEnd"/>
      <w:r w:rsidRPr="00105F7F">
        <w:rPr>
          <w:rFonts w:ascii="Arial" w:hAnsi="Arial" w:cs="Arial"/>
          <w:lang w:eastAsia="es-CO"/>
        </w:rPr>
        <w:t xml:space="preserve"> Tics.</w:t>
      </w:r>
    </w:p>
    <w:p w14:paraId="26150336" w14:textId="1A2BC281" w:rsidR="00C02282" w:rsidRPr="006A67B4" w:rsidRDefault="000A5D7D" w:rsidP="000A5D7D">
      <w:pPr>
        <w:pStyle w:val="Sinespaciado"/>
        <w:jc w:val="both"/>
        <w:rPr>
          <w:rFonts w:eastAsia="Times New Roman" w:cs="Arial"/>
          <w:b/>
          <w:color w:val="000000"/>
          <w:highlight w:val="yellow"/>
          <w:lang w:val="es-ES" w:eastAsia="es-ES"/>
        </w:rPr>
      </w:pPr>
      <w:r w:rsidRPr="006A67B4">
        <w:rPr>
          <w:rFonts w:eastAsia="Times New Roman" w:cs="Arial"/>
          <w:b/>
          <w:color w:val="000000"/>
          <w:highlight w:val="yellow"/>
          <w:lang w:val="es-ES" w:eastAsia="es-ES"/>
        </w:rPr>
        <w:t xml:space="preserve"> </w:t>
      </w:r>
    </w:p>
    <w:p w14:paraId="0F290191" w14:textId="77777777" w:rsidR="00C02282" w:rsidRPr="00025183" w:rsidRDefault="00C02282" w:rsidP="00C02282">
      <w:pPr>
        <w:pStyle w:val="Ttulo1"/>
        <w:rPr>
          <w:rFonts w:ascii="Arial" w:eastAsia="Arial" w:hAnsi="Arial" w:cs="Arial"/>
          <w:b/>
          <w:color w:val="auto"/>
          <w:sz w:val="22"/>
          <w:szCs w:val="22"/>
          <w:lang w:eastAsia="es-CO"/>
        </w:rPr>
      </w:pPr>
      <w:bookmarkStart w:id="288" w:name="_Toc525652087"/>
      <w:r w:rsidRPr="00025183">
        <w:rPr>
          <w:rFonts w:ascii="Arial" w:eastAsia="Arial" w:hAnsi="Arial" w:cs="Arial"/>
          <w:b/>
          <w:color w:val="auto"/>
          <w:sz w:val="22"/>
          <w:szCs w:val="22"/>
          <w:lang w:eastAsia="es-CO"/>
        </w:rPr>
        <w:lastRenderedPageBreak/>
        <w:t>G. UNIDAD DE PLANEACIÓN MINERO ENERGÉTICA – UPME</w:t>
      </w:r>
      <w:bookmarkEnd w:id="288"/>
      <w:r w:rsidRPr="00025183">
        <w:rPr>
          <w:rFonts w:ascii="Arial" w:eastAsia="Arial" w:hAnsi="Arial" w:cs="Arial"/>
          <w:b/>
          <w:color w:val="auto"/>
          <w:sz w:val="22"/>
          <w:szCs w:val="22"/>
          <w:lang w:eastAsia="es-CO"/>
        </w:rPr>
        <w:t xml:space="preserve"> </w:t>
      </w:r>
    </w:p>
    <w:p w14:paraId="332DCE13" w14:textId="77777777" w:rsidR="00C02282" w:rsidRPr="00025183" w:rsidRDefault="00C02282" w:rsidP="007B6220">
      <w:pPr>
        <w:pStyle w:val="Ttulo1"/>
        <w:numPr>
          <w:ilvl w:val="0"/>
          <w:numId w:val="24"/>
        </w:numPr>
        <w:rPr>
          <w:rFonts w:ascii="Arial" w:hAnsi="Arial" w:cs="Arial"/>
          <w:b/>
          <w:color w:val="auto"/>
          <w:sz w:val="22"/>
          <w:szCs w:val="22"/>
          <w:lang w:eastAsia="es-CO"/>
        </w:rPr>
      </w:pPr>
      <w:bookmarkStart w:id="289" w:name="_Toc525652088"/>
      <w:r w:rsidRPr="00025183">
        <w:rPr>
          <w:rFonts w:ascii="Arial" w:eastAsia="Arial" w:hAnsi="Arial" w:cs="Arial"/>
          <w:b/>
          <w:color w:val="auto"/>
          <w:sz w:val="22"/>
          <w:szCs w:val="22"/>
          <w:lang w:eastAsia="es-CO"/>
        </w:rPr>
        <w:t>COMPOSICIÓN DEL PRESUPUESTO DE</w:t>
      </w:r>
      <w:r w:rsidRPr="00025183">
        <w:rPr>
          <w:rFonts w:ascii="Arial" w:hAnsi="Arial" w:cs="Arial"/>
          <w:b/>
          <w:color w:val="auto"/>
          <w:sz w:val="22"/>
          <w:szCs w:val="22"/>
          <w:lang w:eastAsia="es-CO"/>
        </w:rPr>
        <w:t xml:space="preserve"> </w:t>
      </w:r>
      <w:r w:rsidRPr="00025183">
        <w:rPr>
          <w:rFonts w:ascii="Arial" w:eastAsia="Arial" w:hAnsi="Arial" w:cs="Arial"/>
          <w:b/>
          <w:color w:val="auto"/>
          <w:sz w:val="22"/>
          <w:szCs w:val="22"/>
          <w:lang w:eastAsia="es-CO"/>
        </w:rPr>
        <w:t>L</w:t>
      </w:r>
      <w:r w:rsidRPr="00025183">
        <w:rPr>
          <w:rFonts w:ascii="Arial" w:hAnsi="Arial" w:cs="Arial"/>
          <w:b/>
          <w:color w:val="auto"/>
          <w:sz w:val="22"/>
          <w:szCs w:val="22"/>
          <w:lang w:eastAsia="es-CO"/>
        </w:rPr>
        <w:t>A UPME</w:t>
      </w:r>
      <w:bookmarkEnd w:id="289"/>
    </w:p>
    <w:p w14:paraId="7F4783CB" w14:textId="77777777" w:rsidR="00C02282" w:rsidRPr="006A67B4" w:rsidRDefault="00C02282" w:rsidP="00C02282">
      <w:pPr>
        <w:rPr>
          <w:highlight w:val="yellow"/>
          <w:lang w:eastAsia="es-CO"/>
        </w:rPr>
      </w:pPr>
    </w:p>
    <w:p w14:paraId="13D9DAF4" w14:textId="77777777" w:rsidR="00025183" w:rsidRPr="00D156D5" w:rsidRDefault="00025183" w:rsidP="00025183">
      <w:pPr>
        <w:jc w:val="both"/>
        <w:rPr>
          <w:rFonts w:ascii="Arial" w:hAnsi="Arial" w:cs="Arial"/>
          <w:bCs/>
          <w:lang w:val="es-ES_tradnl"/>
        </w:rPr>
      </w:pPr>
      <w:r w:rsidRPr="00D156D5">
        <w:rPr>
          <w:rFonts w:ascii="Arial" w:hAnsi="Arial" w:cs="Arial"/>
          <w:bCs/>
          <w:lang w:val="es-ES_tradnl"/>
        </w:rPr>
        <w:t xml:space="preserve">Los recursos de la UPME están catalogados como Ingresos Corrientes - </w:t>
      </w:r>
      <w:r w:rsidRPr="00D156D5">
        <w:rPr>
          <w:rFonts w:ascii="Arial" w:hAnsi="Arial" w:cs="Arial"/>
          <w:bCs/>
          <w:u w:val="single"/>
          <w:lang w:val="es-ES_tradnl"/>
        </w:rPr>
        <w:t>Recursos Propios</w:t>
      </w:r>
      <w:r w:rsidRPr="00D156D5">
        <w:rPr>
          <w:rFonts w:ascii="Arial" w:hAnsi="Arial" w:cs="Arial"/>
          <w:bCs/>
          <w:lang w:val="es-ES_tradnl"/>
        </w:rPr>
        <w:t xml:space="preserve">, y de acuerdo con lo previsto en el artículo 13 de la citada Ley 143 de 1994, en consonancia con el artículo 18 del </w:t>
      </w:r>
      <w:r w:rsidRPr="00D156D5">
        <w:rPr>
          <w:rFonts w:ascii="Arial" w:hAnsi="Arial" w:cs="Arial"/>
        </w:rPr>
        <w:t>Decreto 1258 de 2013 y el artículo 153 de la Ley 1753 de 2015</w:t>
      </w:r>
      <w:r w:rsidRPr="00D156D5">
        <w:rPr>
          <w:rStyle w:val="Refdenotaalpie"/>
          <w:rFonts w:ascii="Arial" w:hAnsi="Arial" w:cs="Arial"/>
        </w:rPr>
        <w:footnoteReference w:id="1"/>
      </w:r>
      <w:r w:rsidRPr="00D156D5">
        <w:rPr>
          <w:rFonts w:ascii="Arial" w:hAnsi="Arial" w:cs="Arial"/>
        </w:rPr>
        <w:t>, el presupuesto de la vigencia 2018 se financia fundamentalmente con aportes provenientes de las siguientes entidades:</w:t>
      </w:r>
      <w:r w:rsidRPr="00D156D5">
        <w:rPr>
          <w:rFonts w:ascii="Arial" w:hAnsi="Arial" w:cs="Arial"/>
          <w:bCs/>
          <w:lang w:val="es-ES_tradnl"/>
        </w:rPr>
        <w:t xml:space="preserve"> Interconexión Eléctrica S.A –I.S.A. S.A., ECOPETROL, Ministerio de Minas y Energía (aportes que se recibían anteriormente de la  Financiera de Desarrollo Nacional –FDN) y Agencia Nacional de Minería.</w:t>
      </w:r>
    </w:p>
    <w:p w14:paraId="628DE345" w14:textId="77777777" w:rsidR="00C02282" w:rsidRPr="00025183" w:rsidRDefault="00C02282" w:rsidP="00C02282">
      <w:pPr>
        <w:pStyle w:val="Descripcin"/>
        <w:keepNext/>
        <w:jc w:val="center"/>
      </w:pPr>
      <w:bookmarkStart w:id="290" w:name="_Toc525652569"/>
      <w:r w:rsidRPr="00025183">
        <w:t xml:space="preserve">Tabla </w:t>
      </w:r>
      <w:r w:rsidRPr="00025183">
        <w:fldChar w:fldCharType="begin"/>
      </w:r>
      <w:r w:rsidRPr="00025183">
        <w:instrText xml:space="preserve"> SEQ Tabla \* ARABIC </w:instrText>
      </w:r>
      <w:r w:rsidRPr="00025183">
        <w:fldChar w:fldCharType="separate"/>
      </w:r>
      <w:r w:rsidR="008B4625">
        <w:rPr>
          <w:noProof/>
        </w:rPr>
        <w:t>124</w:t>
      </w:r>
      <w:r w:rsidRPr="00025183">
        <w:fldChar w:fldCharType="end"/>
      </w:r>
      <w:r w:rsidRPr="00025183">
        <w:t>Presupuesto de Rentas y Recursos de Capital 2018 UPME</w:t>
      </w:r>
      <w:bookmarkEnd w:id="290"/>
    </w:p>
    <w:tbl>
      <w:tblPr>
        <w:tblW w:w="6662" w:type="dxa"/>
        <w:tblInd w:w="988" w:type="dxa"/>
        <w:tblCellMar>
          <w:left w:w="70" w:type="dxa"/>
          <w:right w:w="70" w:type="dxa"/>
        </w:tblCellMar>
        <w:tblLook w:val="04A0" w:firstRow="1" w:lastRow="0" w:firstColumn="1" w:lastColumn="0" w:noHBand="0" w:noVBand="1"/>
      </w:tblPr>
      <w:tblGrid>
        <w:gridCol w:w="3922"/>
        <w:gridCol w:w="2740"/>
      </w:tblGrid>
      <w:tr w:rsidR="00C02282" w:rsidRPr="00025183" w14:paraId="630ABD55" w14:textId="77777777" w:rsidTr="00025183">
        <w:trPr>
          <w:trHeight w:val="338"/>
        </w:trPr>
        <w:tc>
          <w:tcPr>
            <w:tcW w:w="6662" w:type="dxa"/>
            <w:gridSpan w:val="2"/>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14:paraId="7854AA00" w14:textId="77777777" w:rsidR="00C02282" w:rsidRPr="00025183" w:rsidRDefault="00C02282" w:rsidP="006A67B4">
            <w:pPr>
              <w:jc w:val="center"/>
              <w:rPr>
                <w:rFonts w:ascii="Arial Narrow" w:eastAsia="Arial Unicode MS" w:hAnsi="Arial Narrow" w:cs="Arial Unicode MS"/>
                <w:b/>
                <w:color w:val="000000"/>
                <w:lang w:eastAsia="es-CO"/>
              </w:rPr>
            </w:pPr>
            <w:r w:rsidRPr="00025183">
              <w:rPr>
                <w:rFonts w:ascii="Arial Narrow" w:eastAsia="Arial Unicode MS" w:hAnsi="Arial Narrow" w:cs="Arial Unicode MS"/>
                <w:b/>
                <w:color w:val="000000"/>
                <w:lang w:eastAsia="es-CO"/>
              </w:rPr>
              <w:t>Presupuesto de Rentas y Recursos de Capital 2018</w:t>
            </w:r>
          </w:p>
        </w:tc>
      </w:tr>
      <w:tr w:rsidR="00C02282" w:rsidRPr="00025183" w14:paraId="5797496F" w14:textId="77777777" w:rsidTr="006A67B4">
        <w:trPr>
          <w:trHeight w:val="300"/>
        </w:trPr>
        <w:tc>
          <w:tcPr>
            <w:tcW w:w="3922" w:type="dxa"/>
            <w:tcBorders>
              <w:top w:val="nil"/>
              <w:left w:val="single" w:sz="4" w:space="0" w:color="auto"/>
              <w:bottom w:val="single" w:sz="4" w:space="0" w:color="auto"/>
              <w:right w:val="single" w:sz="4" w:space="0" w:color="auto"/>
            </w:tcBorders>
            <w:shd w:val="clear" w:color="auto" w:fill="auto"/>
            <w:noWrap/>
            <w:vAlign w:val="bottom"/>
            <w:hideMark/>
          </w:tcPr>
          <w:p w14:paraId="2E0E3EF8" w14:textId="77777777" w:rsidR="00C02282" w:rsidRPr="00025183" w:rsidRDefault="00C02282" w:rsidP="006A67B4">
            <w:pPr>
              <w:jc w:val="center"/>
              <w:rPr>
                <w:rFonts w:ascii="Arial Narrow" w:eastAsia="Arial Unicode MS" w:hAnsi="Arial Narrow" w:cs="Arial Unicode MS"/>
                <w:b/>
                <w:color w:val="000000"/>
                <w:lang w:eastAsia="es-CO"/>
              </w:rPr>
            </w:pPr>
            <w:r w:rsidRPr="00025183">
              <w:rPr>
                <w:rFonts w:ascii="Arial Narrow" w:eastAsia="Arial Unicode MS" w:hAnsi="Arial Narrow" w:cs="Arial Unicode MS"/>
                <w:b/>
                <w:color w:val="000000"/>
                <w:lang w:eastAsia="es-CO"/>
              </w:rPr>
              <w:t>Tipo de gasto</w:t>
            </w:r>
          </w:p>
        </w:tc>
        <w:tc>
          <w:tcPr>
            <w:tcW w:w="2740" w:type="dxa"/>
            <w:tcBorders>
              <w:top w:val="nil"/>
              <w:left w:val="nil"/>
              <w:bottom w:val="single" w:sz="4" w:space="0" w:color="auto"/>
              <w:right w:val="single" w:sz="4" w:space="0" w:color="auto"/>
            </w:tcBorders>
            <w:shd w:val="clear" w:color="auto" w:fill="auto"/>
            <w:noWrap/>
            <w:vAlign w:val="bottom"/>
            <w:hideMark/>
          </w:tcPr>
          <w:p w14:paraId="739288CE" w14:textId="77777777" w:rsidR="00C02282" w:rsidRPr="00025183" w:rsidRDefault="00C02282" w:rsidP="006A67B4">
            <w:pPr>
              <w:jc w:val="center"/>
              <w:rPr>
                <w:rFonts w:ascii="Arial Narrow" w:eastAsia="Arial Unicode MS" w:hAnsi="Arial Narrow" w:cs="Arial Unicode MS"/>
                <w:b/>
                <w:color w:val="000000"/>
                <w:lang w:eastAsia="es-CO"/>
              </w:rPr>
            </w:pPr>
            <w:r w:rsidRPr="00025183">
              <w:rPr>
                <w:rFonts w:ascii="Arial Narrow" w:eastAsia="Arial Unicode MS" w:hAnsi="Arial Narrow" w:cs="Arial Unicode MS"/>
                <w:b/>
                <w:color w:val="000000"/>
                <w:lang w:eastAsia="es-CO"/>
              </w:rPr>
              <w:t>Valor (Millones)</w:t>
            </w:r>
          </w:p>
        </w:tc>
      </w:tr>
      <w:tr w:rsidR="00C02282" w:rsidRPr="00025183" w14:paraId="18AFDF2D" w14:textId="77777777" w:rsidTr="006A67B4">
        <w:trPr>
          <w:trHeight w:val="390"/>
        </w:trPr>
        <w:tc>
          <w:tcPr>
            <w:tcW w:w="3922" w:type="dxa"/>
            <w:tcBorders>
              <w:top w:val="nil"/>
              <w:left w:val="single" w:sz="4" w:space="0" w:color="auto"/>
              <w:bottom w:val="single" w:sz="4" w:space="0" w:color="auto"/>
              <w:right w:val="single" w:sz="4" w:space="0" w:color="auto"/>
            </w:tcBorders>
            <w:shd w:val="clear" w:color="auto" w:fill="auto"/>
            <w:noWrap/>
            <w:vAlign w:val="bottom"/>
            <w:hideMark/>
          </w:tcPr>
          <w:p w14:paraId="61E9183D" w14:textId="77777777" w:rsidR="00C02282" w:rsidRPr="00025183" w:rsidRDefault="00C02282" w:rsidP="006A67B4">
            <w:pPr>
              <w:rPr>
                <w:rFonts w:ascii="Arial Narrow" w:hAnsi="Arial Narrow"/>
                <w:color w:val="000000"/>
                <w:lang w:eastAsia="es-CO"/>
              </w:rPr>
            </w:pPr>
            <w:r w:rsidRPr="00025183">
              <w:rPr>
                <w:rFonts w:ascii="Arial Narrow" w:hAnsi="Arial Narrow"/>
                <w:color w:val="000000"/>
                <w:lang w:eastAsia="es-CO"/>
              </w:rPr>
              <w:t>A- Ingresos Corrientes-Empresas</w:t>
            </w:r>
          </w:p>
        </w:tc>
        <w:tc>
          <w:tcPr>
            <w:tcW w:w="2740" w:type="dxa"/>
            <w:tcBorders>
              <w:top w:val="nil"/>
              <w:left w:val="nil"/>
              <w:bottom w:val="single" w:sz="4" w:space="0" w:color="auto"/>
              <w:right w:val="single" w:sz="4" w:space="0" w:color="auto"/>
            </w:tcBorders>
            <w:shd w:val="clear" w:color="auto" w:fill="auto"/>
            <w:noWrap/>
            <w:vAlign w:val="bottom"/>
            <w:hideMark/>
          </w:tcPr>
          <w:p w14:paraId="4653D219" w14:textId="77777777" w:rsidR="00C02282" w:rsidRPr="00025183" w:rsidRDefault="00C02282" w:rsidP="006A67B4">
            <w:pPr>
              <w:jc w:val="center"/>
              <w:rPr>
                <w:rFonts w:ascii="Arial Narrow" w:hAnsi="Arial Narrow"/>
                <w:color w:val="000000"/>
                <w:lang w:eastAsia="es-CO"/>
              </w:rPr>
            </w:pPr>
            <w:r w:rsidRPr="00025183">
              <w:rPr>
                <w:rFonts w:ascii="Arial Narrow" w:hAnsi="Arial Narrow"/>
                <w:color w:val="000000"/>
                <w:lang w:eastAsia="es-CO"/>
              </w:rPr>
              <w:t>$                       31.317</w:t>
            </w:r>
          </w:p>
        </w:tc>
      </w:tr>
      <w:tr w:rsidR="00C02282" w:rsidRPr="00025183" w14:paraId="2E816013" w14:textId="77777777" w:rsidTr="006A67B4">
        <w:trPr>
          <w:trHeight w:val="424"/>
        </w:trPr>
        <w:tc>
          <w:tcPr>
            <w:tcW w:w="3922" w:type="dxa"/>
            <w:tcBorders>
              <w:top w:val="nil"/>
              <w:left w:val="single" w:sz="4" w:space="0" w:color="auto"/>
              <w:bottom w:val="single" w:sz="4" w:space="0" w:color="auto"/>
              <w:right w:val="single" w:sz="4" w:space="0" w:color="auto"/>
            </w:tcBorders>
            <w:shd w:val="clear" w:color="auto" w:fill="auto"/>
            <w:vAlign w:val="bottom"/>
            <w:hideMark/>
          </w:tcPr>
          <w:p w14:paraId="2E118FE0" w14:textId="77777777" w:rsidR="00C02282" w:rsidRPr="00025183" w:rsidRDefault="00C02282" w:rsidP="006A67B4">
            <w:pPr>
              <w:rPr>
                <w:rFonts w:ascii="Arial Narrow" w:hAnsi="Arial Narrow"/>
                <w:color w:val="000000"/>
                <w:lang w:eastAsia="es-CO"/>
              </w:rPr>
            </w:pPr>
            <w:r w:rsidRPr="00025183">
              <w:rPr>
                <w:rFonts w:ascii="Arial Narrow" w:hAnsi="Arial Narrow"/>
                <w:color w:val="000000"/>
                <w:lang w:eastAsia="es-CO"/>
              </w:rPr>
              <w:t>B- Recursos capital- excedentes Financieros</w:t>
            </w:r>
          </w:p>
        </w:tc>
        <w:tc>
          <w:tcPr>
            <w:tcW w:w="2740" w:type="dxa"/>
            <w:tcBorders>
              <w:top w:val="nil"/>
              <w:left w:val="nil"/>
              <w:bottom w:val="single" w:sz="4" w:space="0" w:color="auto"/>
              <w:right w:val="single" w:sz="4" w:space="0" w:color="auto"/>
            </w:tcBorders>
            <w:shd w:val="clear" w:color="auto" w:fill="auto"/>
            <w:noWrap/>
            <w:vAlign w:val="bottom"/>
            <w:hideMark/>
          </w:tcPr>
          <w:p w14:paraId="72C945A3" w14:textId="77777777" w:rsidR="00C02282" w:rsidRPr="00025183" w:rsidRDefault="00C02282" w:rsidP="006A67B4">
            <w:pPr>
              <w:jc w:val="center"/>
              <w:rPr>
                <w:rFonts w:ascii="Arial Narrow" w:hAnsi="Arial Narrow"/>
                <w:color w:val="000000"/>
                <w:lang w:eastAsia="es-CO"/>
              </w:rPr>
            </w:pPr>
            <w:r w:rsidRPr="00025183">
              <w:rPr>
                <w:rFonts w:ascii="Arial Narrow" w:hAnsi="Arial Narrow"/>
                <w:color w:val="000000"/>
                <w:lang w:eastAsia="es-CO"/>
              </w:rPr>
              <w:t>$                         3.224</w:t>
            </w:r>
          </w:p>
        </w:tc>
      </w:tr>
      <w:tr w:rsidR="00C02282" w:rsidRPr="00025183" w14:paraId="67EE6991" w14:textId="77777777" w:rsidTr="00025183">
        <w:trPr>
          <w:trHeight w:val="346"/>
        </w:trPr>
        <w:tc>
          <w:tcPr>
            <w:tcW w:w="3922" w:type="dxa"/>
            <w:tcBorders>
              <w:top w:val="nil"/>
              <w:left w:val="single" w:sz="4" w:space="0" w:color="auto"/>
              <w:bottom w:val="single" w:sz="4" w:space="0" w:color="auto"/>
              <w:right w:val="single" w:sz="4" w:space="0" w:color="auto"/>
            </w:tcBorders>
            <w:shd w:val="clear" w:color="auto" w:fill="4F81BD" w:themeFill="accent1"/>
            <w:noWrap/>
            <w:vAlign w:val="bottom"/>
            <w:hideMark/>
          </w:tcPr>
          <w:p w14:paraId="344F74EC" w14:textId="77777777" w:rsidR="00C02282" w:rsidRPr="00025183" w:rsidRDefault="00C02282" w:rsidP="006A67B4">
            <w:pPr>
              <w:rPr>
                <w:rFonts w:ascii="Arial Narrow" w:hAnsi="Arial Narrow"/>
                <w:b/>
                <w:color w:val="000000"/>
                <w:lang w:eastAsia="es-CO"/>
              </w:rPr>
            </w:pPr>
            <w:r w:rsidRPr="00025183">
              <w:rPr>
                <w:rFonts w:ascii="Arial Narrow" w:hAnsi="Arial Narrow"/>
                <w:b/>
                <w:color w:val="000000"/>
                <w:lang w:eastAsia="es-CO"/>
              </w:rPr>
              <w:t>TOTAL</w:t>
            </w:r>
          </w:p>
        </w:tc>
        <w:tc>
          <w:tcPr>
            <w:tcW w:w="2740" w:type="dxa"/>
            <w:tcBorders>
              <w:top w:val="nil"/>
              <w:left w:val="nil"/>
              <w:bottom w:val="single" w:sz="4" w:space="0" w:color="auto"/>
              <w:right w:val="single" w:sz="4" w:space="0" w:color="auto"/>
            </w:tcBorders>
            <w:shd w:val="clear" w:color="auto" w:fill="4F81BD" w:themeFill="accent1"/>
            <w:noWrap/>
            <w:vAlign w:val="bottom"/>
            <w:hideMark/>
          </w:tcPr>
          <w:p w14:paraId="6745482A" w14:textId="77777777" w:rsidR="00C02282" w:rsidRPr="00025183" w:rsidRDefault="00C02282" w:rsidP="006A67B4">
            <w:pPr>
              <w:jc w:val="center"/>
              <w:rPr>
                <w:rFonts w:ascii="Arial Narrow" w:hAnsi="Arial Narrow"/>
                <w:color w:val="000000"/>
                <w:lang w:eastAsia="es-CO"/>
              </w:rPr>
            </w:pPr>
            <w:r w:rsidRPr="00025183">
              <w:rPr>
                <w:rFonts w:ascii="Arial Narrow" w:hAnsi="Arial Narrow"/>
                <w:color w:val="000000"/>
                <w:lang w:eastAsia="es-CO"/>
              </w:rPr>
              <w:t>$                       34.541</w:t>
            </w:r>
          </w:p>
        </w:tc>
      </w:tr>
    </w:tbl>
    <w:p w14:paraId="4054D89C" w14:textId="77777777" w:rsidR="00C02282" w:rsidRPr="00025183" w:rsidRDefault="00C02282" w:rsidP="00C02282">
      <w:pPr>
        <w:spacing w:after="0"/>
        <w:ind w:left="708"/>
        <w:jc w:val="center"/>
        <w:rPr>
          <w:rFonts w:ascii="Arial" w:hAnsi="Arial" w:cs="Arial"/>
          <w:color w:val="000000"/>
          <w:sz w:val="16"/>
          <w:szCs w:val="16"/>
        </w:rPr>
      </w:pPr>
      <w:r w:rsidRPr="00025183">
        <w:rPr>
          <w:rFonts w:ascii="Arial" w:hAnsi="Arial" w:cs="Arial"/>
          <w:color w:val="000000"/>
          <w:sz w:val="16"/>
          <w:szCs w:val="16"/>
        </w:rPr>
        <w:t>Millones de pesos</w:t>
      </w:r>
    </w:p>
    <w:p w14:paraId="1206B8F5" w14:textId="77777777" w:rsidR="00C02282" w:rsidRPr="00025183" w:rsidRDefault="00C02282" w:rsidP="00C02282">
      <w:pPr>
        <w:spacing w:after="0"/>
        <w:ind w:left="708"/>
        <w:jc w:val="center"/>
        <w:rPr>
          <w:rFonts w:eastAsia="Calibri" w:cs="Arial"/>
        </w:rPr>
      </w:pPr>
      <w:r w:rsidRPr="00025183">
        <w:rPr>
          <w:rFonts w:ascii="Arial" w:eastAsia="Calibri" w:hAnsi="Arial" w:cs="Arial"/>
          <w:sz w:val="16"/>
          <w:szCs w:val="16"/>
        </w:rPr>
        <w:t>Fuente: SIIF Nación UPME</w:t>
      </w:r>
    </w:p>
    <w:p w14:paraId="26F25224" w14:textId="77777777" w:rsidR="00C02282" w:rsidRPr="00025183" w:rsidRDefault="00C02282" w:rsidP="00C02282">
      <w:pPr>
        <w:spacing w:after="0" w:line="240" w:lineRule="auto"/>
        <w:jc w:val="center"/>
        <w:rPr>
          <w:rFonts w:eastAsia="Calibri" w:cs="Arial"/>
        </w:rPr>
      </w:pPr>
    </w:p>
    <w:p w14:paraId="3945FF54" w14:textId="77777777" w:rsidR="00C02282" w:rsidRPr="00025183" w:rsidRDefault="00C02282" w:rsidP="00C02282">
      <w:pPr>
        <w:spacing w:after="0" w:line="240" w:lineRule="auto"/>
        <w:jc w:val="center"/>
        <w:rPr>
          <w:rFonts w:eastAsia="Calibri" w:cs="Arial"/>
        </w:rPr>
      </w:pPr>
    </w:p>
    <w:p w14:paraId="32CDC444" w14:textId="743A4670" w:rsidR="00025183" w:rsidRDefault="00025183" w:rsidP="00025183">
      <w:pPr>
        <w:jc w:val="both"/>
        <w:rPr>
          <w:rFonts w:ascii="Arial" w:hAnsi="Arial" w:cs="Arial"/>
          <w:bCs/>
          <w:lang w:val="es-ES_tradnl"/>
        </w:rPr>
      </w:pPr>
      <w:r w:rsidRPr="00025183">
        <w:rPr>
          <w:rFonts w:ascii="Arial" w:hAnsi="Arial" w:cs="Arial"/>
          <w:bCs/>
          <w:lang w:val="es-ES_tradnl"/>
        </w:rPr>
        <w:t>De acuerdo con la Ley 1873 del 20 de Diciembre de 2017</w:t>
      </w:r>
      <w:r w:rsidRPr="00025183">
        <w:rPr>
          <w:rStyle w:val="Refdenotaalpie"/>
          <w:rFonts w:ascii="Arial" w:hAnsi="Arial" w:cs="Arial"/>
          <w:bCs/>
          <w:lang w:val="es-ES_tradnl"/>
        </w:rPr>
        <w:footnoteReference w:id="2"/>
      </w:r>
      <w:r w:rsidRPr="00025183">
        <w:rPr>
          <w:rFonts w:ascii="Arial" w:hAnsi="Arial" w:cs="Arial"/>
          <w:bCs/>
          <w:lang w:val="es-ES_tradnl"/>
        </w:rPr>
        <w:t xml:space="preserve"> y el Decreto de Liquidación 2236 del 27 de diciembre de 2017</w:t>
      </w:r>
      <w:r w:rsidRPr="00025183">
        <w:rPr>
          <w:rStyle w:val="Refdenotaalpie"/>
          <w:rFonts w:ascii="Arial" w:hAnsi="Arial" w:cs="Arial"/>
          <w:bCs/>
          <w:lang w:val="es-ES_tradnl"/>
        </w:rPr>
        <w:footnoteReference w:id="3"/>
      </w:r>
      <w:r w:rsidRPr="00025183">
        <w:rPr>
          <w:rFonts w:ascii="Arial" w:hAnsi="Arial" w:cs="Arial"/>
          <w:bCs/>
          <w:lang w:val="es-ES_tradnl"/>
        </w:rPr>
        <w:t>, la UPME cuenta durante la presente vigencia fiscal con una apropiación presupuestal inicial aprobada de $34.541 millones, distribuidos de la siguiente manera:</w:t>
      </w:r>
    </w:p>
    <w:p w14:paraId="7AAD2A99" w14:textId="630F52C1" w:rsidR="008A4B8C" w:rsidRDefault="008A4B8C" w:rsidP="00025183">
      <w:pPr>
        <w:jc w:val="both"/>
        <w:rPr>
          <w:rFonts w:ascii="Arial" w:hAnsi="Arial" w:cs="Arial"/>
          <w:bCs/>
          <w:lang w:val="es-ES_tradnl"/>
        </w:rPr>
      </w:pPr>
    </w:p>
    <w:p w14:paraId="5DE6A71B" w14:textId="77777777" w:rsidR="008A4B8C" w:rsidRPr="00025183" w:rsidRDefault="008A4B8C" w:rsidP="00025183">
      <w:pPr>
        <w:jc w:val="both"/>
        <w:rPr>
          <w:rFonts w:ascii="Arial" w:hAnsi="Arial" w:cs="Arial"/>
          <w:bCs/>
          <w:lang w:val="es-ES_tradnl"/>
        </w:rPr>
      </w:pPr>
    </w:p>
    <w:p w14:paraId="1D871A62" w14:textId="77777777" w:rsidR="00C02282" w:rsidRPr="00025183" w:rsidRDefault="00C02282" w:rsidP="00C02282">
      <w:pPr>
        <w:pStyle w:val="Descripcin"/>
        <w:keepNext/>
        <w:jc w:val="center"/>
      </w:pPr>
      <w:bookmarkStart w:id="291" w:name="_Toc525652570"/>
      <w:r w:rsidRPr="00025183">
        <w:lastRenderedPageBreak/>
        <w:t xml:space="preserve">Tabla </w:t>
      </w:r>
      <w:r w:rsidRPr="00025183">
        <w:fldChar w:fldCharType="begin"/>
      </w:r>
      <w:r w:rsidRPr="00025183">
        <w:instrText xml:space="preserve"> SEQ Tabla \* ARABIC </w:instrText>
      </w:r>
      <w:r w:rsidRPr="00025183">
        <w:fldChar w:fldCharType="separate"/>
      </w:r>
      <w:r w:rsidR="008B4625">
        <w:rPr>
          <w:noProof/>
        </w:rPr>
        <w:t>125</w:t>
      </w:r>
      <w:r w:rsidRPr="00025183">
        <w:fldChar w:fldCharType="end"/>
      </w:r>
      <w:r w:rsidRPr="00025183">
        <w:t xml:space="preserve"> Vigencia Fiscal 2018 UPME</w:t>
      </w:r>
      <w:bookmarkEnd w:id="291"/>
    </w:p>
    <w:tbl>
      <w:tblPr>
        <w:tblW w:w="5040" w:type="dxa"/>
        <w:tblInd w:w="1894" w:type="dxa"/>
        <w:tblCellMar>
          <w:left w:w="70" w:type="dxa"/>
          <w:right w:w="70" w:type="dxa"/>
        </w:tblCellMar>
        <w:tblLook w:val="04A0" w:firstRow="1" w:lastRow="0" w:firstColumn="1" w:lastColumn="0" w:noHBand="0" w:noVBand="1"/>
      </w:tblPr>
      <w:tblGrid>
        <w:gridCol w:w="2320"/>
        <w:gridCol w:w="1735"/>
        <w:gridCol w:w="985"/>
      </w:tblGrid>
      <w:tr w:rsidR="00C02282" w:rsidRPr="00025183" w14:paraId="069FC36E" w14:textId="77777777" w:rsidTr="00025183">
        <w:trPr>
          <w:trHeight w:val="300"/>
        </w:trPr>
        <w:tc>
          <w:tcPr>
            <w:tcW w:w="2320"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30BE63C" w14:textId="77777777" w:rsidR="00C02282" w:rsidRPr="00025183" w:rsidRDefault="00C02282" w:rsidP="006A67B4">
            <w:pPr>
              <w:rPr>
                <w:rFonts w:ascii="Arial Narrow" w:hAnsi="Arial Narrow"/>
                <w:b/>
                <w:bCs/>
                <w:color w:val="000000"/>
                <w:sz w:val="18"/>
                <w:szCs w:val="18"/>
                <w:lang w:eastAsia="es-CO"/>
              </w:rPr>
            </w:pPr>
            <w:r w:rsidRPr="00025183">
              <w:rPr>
                <w:rFonts w:ascii="Arial Narrow" w:hAnsi="Arial Narrow"/>
                <w:b/>
                <w:bCs/>
                <w:color w:val="000000"/>
                <w:sz w:val="18"/>
                <w:szCs w:val="18"/>
                <w:lang w:eastAsia="es-CO"/>
              </w:rPr>
              <w:t xml:space="preserve">DESCRIPCIÓN </w:t>
            </w:r>
          </w:p>
        </w:tc>
        <w:tc>
          <w:tcPr>
            <w:tcW w:w="1735" w:type="dxa"/>
            <w:tcBorders>
              <w:top w:val="single" w:sz="4" w:space="0" w:color="auto"/>
              <w:left w:val="nil"/>
              <w:bottom w:val="single" w:sz="4" w:space="0" w:color="auto"/>
              <w:right w:val="single" w:sz="4" w:space="0" w:color="auto"/>
            </w:tcBorders>
            <w:shd w:val="clear" w:color="auto" w:fill="4F81BD" w:themeFill="accent1"/>
            <w:vAlign w:val="center"/>
            <w:hideMark/>
          </w:tcPr>
          <w:p w14:paraId="5A8C7452" w14:textId="77777777" w:rsidR="00C02282" w:rsidRPr="00025183" w:rsidRDefault="00C02282" w:rsidP="006A67B4">
            <w:pPr>
              <w:jc w:val="center"/>
              <w:rPr>
                <w:rFonts w:ascii="Arial Narrow" w:hAnsi="Arial Narrow"/>
                <w:b/>
                <w:bCs/>
                <w:color w:val="000000"/>
                <w:sz w:val="18"/>
                <w:szCs w:val="18"/>
                <w:lang w:eastAsia="es-CO"/>
              </w:rPr>
            </w:pPr>
            <w:r w:rsidRPr="00025183">
              <w:rPr>
                <w:rFonts w:ascii="Arial Narrow" w:hAnsi="Arial Narrow"/>
                <w:b/>
                <w:bCs/>
                <w:color w:val="000000"/>
                <w:sz w:val="18"/>
                <w:szCs w:val="18"/>
                <w:lang w:eastAsia="es-CO"/>
              </w:rPr>
              <w:t>APR.INICIAL</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957568A" w14:textId="77777777" w:rsidR="00C02282" w:rsidRPr="00025183" w:rsidRDefault="00C02282" w:rsidP="006A67B4">
            <w:pPr>
              <w:jc w:val="center"/>
              <w:rPr>
                <w:rFonts w:ascii="Arial Narrow" w:hAnsi="Arial Narrow"/>
                <w:b/>
                <w:bCs/>
                <w:color w:val="000000"/>
                <w:sz w:val="18"/>
                <w:szCs w:val="18"/>
                <w:lang w:eastAsia="es-CO"/>
              </w:rPr>
            </w:pPr>
            <w:r w:rsidRPr="00025183">
              <w:rPr>
                <w:rFonts w:ascii="Arial Narrow" w:hAnsi="Arial Narrow"/>
                <w:b/>
                <w:bCs/>
                <w:color w:val="000000"/>
                <w:sz w:val="18"/>
                <w:szCs w:val="18"/>
                <w:lang w:eastAsia="es-CO"/>
              </w:rPr>
              <w:t xml:space="preserve">% </w:t>
            </w:r>
          </w:p>
        </w:tc>
      </w:tr>
      <w:tr w:rsidR="00C02282" w:rsidRPr="00025183" w14:paraId="03AF8371" w14:textId="77777777" w:rsidTr="00025183">
        <w:trPr>
          <w:trHeight w:val="300"/>
        </w:trPr>
        <w:tc>
          <w:tcPr>
            <w:tcW w:w="2320"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A18F787" w14:textId="77777777" w:rsidR="00C02282" w:rsidRPr="00025183" w:rsidRDefault="00C02282" w:rsidP="006A67B4">
            <w:pPr>
              <w:rPr>
                <w:rFonts w:ascii="Arial Narrow" w:hAnsi="Arial Narrow"/>
                <w:b/>
                <w:bCs/>
                <w:color w:val="000000"/>
                <w:sz w:val="18"/>
                <w:szCs w:val="18"/>
                <w:lang w:eastAsia="es-CO"/>
              </w:rPr>
            </w:pPr>
          </w:p>
        </w:tc>
        <w:tc>
          <w:tcPr>
            <w:tcW w:w="1735" w:type="dxa"/>
            <w:tcBorders>
              <w:top w:val="nil"/>
              <w:left w:val="nil"/>
              <w:bottom w:val="single" w:sz="4" w:space="0" w:color="auto"/>
              <w:right w:val="single" w:sz="4" w:space="0" w:color="auto"/>
            </w:tcBorders>
            <w:shd w:val="clear" w:color="auto" w:fill="4F81BD" w:themeFill="accent1"/>
            <w:vAlign w:val="center"/>
            <w:hideMark/>
          </w:tcPr>
          <w:p w14:paraId="6ADCC218" w14:textId="35853741" w:rsidR="00C02282" w:rsidRPr="00025183" w:rsidRDefault="00C02282" w:rsidP="00025183">
            <w:pPr>
              <w:jc w:val="center"/>
              <w:rPr>
                <w:rFonts w:ascii="Arial Narrow" w:hAnsi="Arial Narrow"/>
                <w:b/>
                <w:bCs/>
                <w:color w:val="000000"/>
                <w:sz w:val="18"/>
                <w:szCs w:val="18"/>
                <w:lang w:eastAsia="es-CO"/>
              </w:rPr>
            </w:pPr>
            <w:r w:rsidRPr="00025183">
              <w:rPr>
                <w:rFonts w:ascii="Arial Narrow" w:hAnsi="Arial Narrow"/>
                <w:color w:val="000000"/>
                <w:sz w:val="18"/>
                <w:szCs w:val="18"/>
                <w:lang w:eastAsia="es-CO"/>
              </w:rPr>
              <w:t>(Millones)</w:t>
            </w:r>
          </w:p>
        </w:tc>
        <w:tc>
          <w:tcPr>
            <w:tcW w:w="985"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20EFA92" w14:textId="77777777" w:rsidR="00C02282" w:rsidRPr="00025183" w:rsidRDefault="00C02282" w:rsidP="006A67B4">
            <w:pPr>
              <w:rPr>
                <w:rFonts w:ascii="Arial Narrow" w:hAnsi="Arial Narrow"/>
                <w:b/>
                <w:bCs/>
                <w:color w:val="000000"/>
                <w:sz w:val="18"/>
                <w:szCs w:val="18"/>
                <w:lang w:eastAsia="es-CO"/>
              </w:rPr>
            </w:pPr>
          </w:p>
        </w:tc>
      </w:tr>
      <w:tr w:rsidR="00C02282" w:rsidRPr="00025183" w14:paraId="25CDB8C5" w14:textId="77777777" w:rsidTr="006A67B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F5235B4" w14:textId="77777777" w:rsidR="00C02282" w:rsidRPr="00025183" w:rsidRDefault="00C02282" w:rsidP="006A67B4">
            <w:pPr>
              <w:rPr>
                <w:rFonts w:ascii="Arial Narrow" w:hAnsi="Arial Narrow"/>
                <w:color w:val="000000"/>
                <w:lang w:eastAsia="es-CO"/>
              </w:rPr>
            </w:pPr>
            <w:r w:rsidRPr="00025183">
              <w:rPr>
                <w:rFonts w:ascii="Arial Narrow" w:hAnsi="Arial Narrow"/>
                <w:color w:val="000000"/>
                <w:lang w:eastAsia="es-CO"/>
              </w:rPr>
              <w:t>Funcionamiento</w:t>
            </w:r>
          </w:p>
        </w:tc>
        <w:tc>
          <w:tcPr>
            <w:tcW w:w="1735" w:type="dxa"/>
            <w:tcBorders>
              <w:top w:val="nil"/>
              <w:left w:val="nil"/>
              <w:bottom w:val="single" w:sz="4" w:space="0" w:color="auto"/>
              <w:right w:val="single" w:sz="4" w:space="0" w:color="auto"/>
            </w:tcBorders>
            <w:shd w:val="clear" w:color="auto" w:fill="auto"/>
            <w:vAlign w:val="center"/>
            <w:hideMark/>
          </w:tcPr>
          <w:p w14:paraId="0FE32850" w14:textId="77777777" w:rsidR="00C02282" w:rsidRPr="00025183" w:rsidRDefault="00C02282" w:rsidP="006A67B4">
            <w:pPr>
              <w:jc w:val="right"/>
              <w:rPr>
                <w:rFonts w:ascii="Arial Narrow" w:hAnsi="Arial Narrow"/>
                <w:color w:val="000000"/>
                <w:lang w:eastAsia="es-CO"/>
              </w:rPr>
            </w:pPr>
            <w:r w:rsidRPr="00025183">
              <w:rPr>
                <w:rFonts w:ascii="Arial Narrow" w:hAnsi="Arial Narrow"/>
                <w:color w:val="000000"/>
                <w:lang w:eastAsia="es-CO"/>
              </w:rPr>
              <w:t>15.269</w:t>
            </w:r>
          </w:p>
        </w:tc>
        <w:tc>
          <w:tcPr>
            <w:tcW w:w="985" w:type="dxa"/>
            <w:tcBorders>
              <w:top w:val="nil"/>
              <w:left w:val="nil"/>
              <w:bottom w:val="single" w:sz="4" w:space="0" w:color="auto"/>
              <w:right w:val="single" w:sz="4" w:space="0" w:color="auto"/>
            </w:tcBorders>
            <w:shd w:val="clear" w:color="auto" w:fill="auto"/>
            <w:vAlign w:val="center"/>
            <w:hideMark/>
          </w:tcPr>
          <w:p w14:paraId="188E4A86" w14:textId="77777777" w:rsidR="00C02282" w:rsidRPr="00025183" w:rsidRDefault="00C02282" w:rsidP="006A67B4">
            <w:pPr>
              <w:jc w:val="center"/>
              <w:rPr>
                <w:rFonts w:ascii="Arial Narrow" w:hAnsi="Arial Narrow"/>
                <w:color w:val="000000"/>
                <w:lang w:eastAsia="es-CO"/>
              </w:rPr>
            </w:pPr>
            <w:r w:rsidRPr="00025183">
              <w:rPr>
                <w:rFonts w:ascii="Arial Narrow" w:hAnsi="Arial Narrow"/>
                <w:color w:val="000000"/>
                <w:lang w:eastAsia="es-CO"/>
              </w:rPr>
              <w:t>44%</w:t>
            </w:r>
          </w:p>
        </w:tc>
      </w:tr>
      <w:tr w:rsidR="00C02282" w:rsidRPr="00025183" w14:paraId="62365E4E" w14:textId="77777777" w:rsidTr="006A67B4">
        <w:trPr>
          <w:trHeight w:val="330"/>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03618FC" w14:textId="77777777" w:rsidR="00C02282" w:rsidRPr="00025183" w:rsidRDefault="00C02282" w:rsidP="006A67B4">
            <w:pPr>
              <w:rPr>
                <w:rFonts w:ascii="Arial Narrow" w:hAnsi="Arial Narrow"/>
                <w:color w:val="000000"/>
                <w:lang w:eastAsia="es-CO"/>
              </w:rPr>
            </w:pPr>
            <w:r w:rsidRPr="00025183">
              <w:rPr>
                <w:rFonts w:ascii="Arial Narrow" w:hAnsi="Arial Narrow"/>
                <w:color w:val="000000"/>
                <w:lang w:eastAsia="es-CO"/>
              </w:rPr>
              <w:t>Inversión</w:t>
            </w:r>
          </w:p>
        </w:tc>
        <w:tc>
          <w:tcPr>
            <w:tcW w:w="1735" w:type="dxa"/>
            <w:tcBorders>
              <w:top w:val="nil"/>
              <w:left w:val="nil"/>
              <w:bottom w:val="single" w:sz="4" w:space="0" w:color="auto"/>
              <w:right w:val="single" w:sz="4" w:space="0" w:color="auto"/>
            </w:tcBorders>
            <w:shd w:val="clear" w:color="auto" w:fill="auto"/>
            <w:vAlign w:val="center"/>
            <w:hideMark/>
          </w:tcPr>
          <w:p w14:paraId="166956F6" w14:textId="77777777" w:rsidR="00C02282" w:rsidRPr="00025183" w:rsidRDefault="00C02282" w:rsidP="006A67B4">
            <w:pPr>
              <w:jc w:val="right"/>
              <w:rPr>
                <w:rFonts w:ascii="Arial Narrow" w:hAnsi="Arial Narrow"/>
                <w:color w:val="000000"/>
                <w:lang w:eastAsia="es-CO"/>
              </w:rPr>
            </w:pPr>
            <w:r w:rsidRPr="00025183">
              <w:rPr>
                <w:rFonts w:ascii="Arial Narrow" w:hAnsi="Arial Narrow"/>
                <w:color w:val="000000"/>
                <w:lang w:eastAsia="es-CO"/>
              </w:rPr>
              <w:t>19.272</w:t>
            </w:r>
          </w:p>
        </w:tc>
        <w:tc>
          <w:tcPr>
            <w:tcW w:w="985" w:type="dxa"/>
            <w:tcBorders>
              <w:top w:val="nil"/>
              <w:left w:val="nil"/>
              <w:bottom w:val="single" w:sz="4" w:space="0" w:color="auto"/>
              <w:right w:val="single" w:sz="4" w:space="0" w:color="auto"/>
            </w:tcBorders>
            <w:shd w:val="clear" w:color="auto" w:fill="auto"/>
            <w:vAlign w:val="center"/>
            <w:hideMark/>
          </w:tcPr>
          <w:p w14:paraId="6239E5EB" w14:textId="77777777" w:rsidR="00C02282" w:rsidRPr="00025183" w:rsidRDefault="00C02282" w:rsidP="006A67B4">
            <w:pPr>
              <w:jc w:val="center"/>
              <w:rPr>
                <w:rFonts w:ascii="Arial Narrow" w:hAnsi="Arial Narrow"/>
                <w:color w:val="000000"/>
                <w:lang w:eastAsia="es-CO"/>
              </w:rPr>
            </w:pPr>
            <w:r w:rsidRPr="00025183">
              <w:rPr>
                <w:rFonts w:ascii="Arial Narrow" w:hAnsi="Arial Narrow"/>
                <w:color w:val="000000"/>
                <w:lang w:eastAsia="es-CO"/>
              </w:rPr>
              <w:t>56%</w:t>
            </w:r>
          </w:p>
        </w:tc>
      </w:tr>
      <w:tr w:rsidR="00C02282" w:rsidRPr="00025183" w14:paraId="4A9F923B" w14:textId="77777777" w:rsidTr="00025183">
        <w:trPr>
          <w:trHeight w:val="375"/>
        </w:trPr>
        <w:tc>
          <w:tcPr>
            <w:tcW w:w="2320" w:type="dxa"/>
            <w:tcBorders>
              <w:top w:val="nil"/>
              <w:left w:val="single" w:sz="4" w:space="0" w:color="auto"/>
              <w:bottom w:val="single" w:sz="4" w:space="0" w:color="auto"/>
              <w:right w:val="single" w:sz="4" w:space="0" w:color="auto"/>
            </w:tcBorders>
            <w:shd w:val="clear" w:color="auto" w:fill="4F81BD" w:themeFill="accent1"/>
            <w:vAlign w:val="center"/>
            <w:hideMark/>
          </w:tcPr>
          <w:p w14:paraId="5ACCD2CA" w14:textId="77777777" w:rsidR="00C02282" w:rsidRPr="00025183" w:rsidRDefault="00C02282" w:rsidP="006A67B4">
            <w:pPr>
              <w:rPr>
                <w:rFonts w:ascii="Arial Narrow" w:hAnsi="Arial Narrow"/>
                <w:b/>
                <w:color w:val="000000"/>
                <w:lang w:eastAsia="es-CO"/>
              </w:rPr>
            </w:pPr>
            <w:r w:rsidRPr="00025183">
              <w:rPr>
                <w:rFonts w:ascii="Arial Narrow" w:hAnsi="Arial Narrow"/>
                <w:b/>
                <w:color w:val="000000"/>
                <w:lang w:eastAsia="es-CO"/>
              </w:rPr>
              <w:t xml:space="preserve">Total </w:t>
            </w:r>
          </w:p>
        </w:tc>
        <w:tc>
          <w:tcPr>
            <w:tcW w:w="1735" w:type="dxa"/>
            <w:tcBorders>
              <w:top w:val="nil"/>
              <w:left w:val="nil"/>
              <w:bottom w:val="single" w:sz="4" w:space="0" w:color="auto"/>
              <w:right w:val="single" w:sz="4" w:space="0" w:color="auto"/>
            </w:tcBorders>
            <w:shd w:val="clear" w:color="auto" w:fill="4F81BD" w:themeFill="accent1"/>
            <w:vAlign w:val="center"/>
            <w:hideMark/>
          </w:tcPr>
          <w:p w14:paraId="7EBF8444" w14:textId="77777777" w:rsidR="00C02282" w:rsidRPr="00025183" w:rsidRDefault="00C02282" w:rsidP="006A67B4">
            <w:pPr>
              <w:jc w:val="right"/>
              <w:rPr>
                <w:rFonts w:ascii="Arial Narrow" w:hAnsi="Arial Narrow"/>
                <w:b/>
                <w:bCs/>
                <w:color w:val="000000"/>
                <w:lang w:eastAsia="es-CO"/>
              </w:rPr>
            </w:pPr>
            <w:r w:rsidRPr="00025183">
              <w:rPr>
                <w:rFonts w:ascii="Arial Narrow" w:hAnsi="Arial Narrow"/>
                <w:b/>
                <w:bCs/>
                <w:color w:val="000000"/>
                <w:lang w:eastAsia="es-CO"/>
              </w:rPr>
              <w:t>34.541</w:t>
            </w:r>
          </w:p>
        </w:tc>
        <w:tc>
          <w:tcPr>
            <w:tcW w:w="985" w:type="dxa"/>
            <w:tcBorders>
              <w:top w:val="nil"/>
              <w:left w:val="nil"/>
              <w:bottom w:val="single" w:sz="4" w:space="0" w:color="auto"/>
              <w:right w:val="single" w:sz="4" w:space="0" w:color="auto"/>
            </w:tcBorders>
            <w:shd w:val="clear" w:color="auto" w:fill="4F81BD" w:themeFill="accent1"/>
            <w:vAlign w:val="center"/>
            <w:hideMark/>
          </w:tcPr>
          <w:p w14:paraId="144232B2" w14:textId="77777777" w:rsidR="00C02282" w:rsidRPr="00025183" w:rsidRDefault="00C02282" w:rsidP="006A67B4">
            <w:pPr>
              <w:jc w:val="center"/>
              <w:rPr>
                <w:rFonts w:ascii="Arial Narrow" w:hAnsi="Arial Narrow"/>
                <w:b/>
                <w:bCs/>
                <w:color w:val="000000"/>
                <w:lang w:eastAsia="es-CO"/>
              </w:rPr>
            </w:pPr>
            <w:r w:rsidRPr="00025183">
              <w:rPr>
                <w:rFonts w:ascii="Arial Narrow" w:hAnsi="Arial Narrow"/>
                <w:b/>
                <w:bCs/>
                <w:color w:val="000000"/>
                <w:lang w:eastAsia="es-CO"/>
              </w:rPr>
              <w:t> </w:t>
            </w:r>
          </w:p>
        </w:tc>
      </w:tr>
    </w:tbl>
    <w:p w14:paraId="66B9CAC8" w14:textId="77777777" w:rsidR="00C02282" w:rsidRPr="00025183" w:rsidRDefault="00C02282" w:rsidP="00C02282">
      <w:pPr>
        <w:spacing w:after="0"/>
        <w:ind w:left="708"/>
        <w:jc w:val="center"/>
        <w:rPr>
          <w:rFonts w:ascii="Arial" w:hAnsi="Arial" w:cs="Arial"/>
          <w:color w:val="000000"/>
          <w:sz w:val="16"/>
          <w:szCs w:val="16"/>
        </w:rPr>
      </w:pPr>
      <w:r w:rsidRPr="00025183">
        <w:rPr>
          <w:rFonts w:ascii="Arial" w:hAnsi="Arial" w:cs="Arial"/>
          <w:color w:val="000000"/>
          <w:sz w:val="16"/>
          <w:szCs w:val="16"/>
        </w:rPr>
        <w:t>Millones de pesos</w:t>
      </w:r>
    </w:p>
    <w:p w14:paraId="00A54356" w14:textId="77777777" w:rsidR="00C02282" w:rsidRPr="00025183" w:rsidRDefault="00C02282" w:rsidP="00C02282">
      <w:pPr>
        <w:spacing w:after="0"/>
        <w:ind w:left="708"/>
        <w:jc w:val="center"/>
        <w:rPr>
          <w:rFonts w:eastAsia="Calibri" w:cs="Arial"/>
        </w:rPr>
      </w:pPr>
      <w:r w:rsidRPr="00025183">
        <w:rPr>
          <w:rFonts w:ascii="Arial" w:eastAsia="Calibri" w:hAnsi="Arial" w:cs="Arial"/>
          <w:sz w:val="16"/>
          <w:szCs w:val="16"/>
        </w:rPr>
        <w:t>Fuente: SIIF Nación UPME</w:t>
      </w:r>
    </w:p>
    <w:p w14:paraId="5F14E433" w14:textId="77777777" w:rsidR="00C02282" w:rsidRPr="00025183" w:rsidRDefault="00C02282" w:rsidP="00C02282">
      <w:pPr>
        <w:jc w:val="both"/>
        <w:rPr>
          <w:rFonts w:ascii="Arial Narrow" w:hAnsi="Arial Narrow" w:cs="Arial"/>
          <w:bCs/>
          <w:lang w:val="es-ES_tradnl"/>
        </w:rPr>
      </w:pPr>
    </w:p>
    <w:p w14:paraId="301D8DB2" w14:textId="7C7E9C41" w:rsidR="00C02282" w:rsidRPr="00025183" w:rsidRDefault="00C02282" w:rsidP="008112A2">
      <w:pPr>
        <w:jc w:val="both"/>
        <w:rPr>
          <w:rFonts w:ascii="Arial Narrow" w:hAnsi="Arial Narrow" w:cs="Arial"/>
          <w:bCs/>
          <w:lang w:val="es-ES_tradnl"/>
        </w:rPr>
      </w:pPr>
      <w:r w:rsidRPr="00025183">
        <w:rPr>
          <w:rFonts w:ascii="Arial Narrow" w:hAnsi="Arial Narrow" w:cs="Arial"/>
          <w:bCs/>
          <w:lang w:val="es-ES_tradnl"/>
        </w:rPr>
        <w:t xml:space="preserve">Tal y como se observa, el presupuesto de funcionamiento asciende al 44% del presupuesto </w:t>
      </w:r>
      <w:r w:rsidR="008112A2" w:rsidRPr="00025183">
        <w:rPr>
          <w:rFonts w:ascii="Arial Narrow" w:hAnsi="Arial Narrow" w:cs="Arial"/>
          <w:bCs/>
          <w:lang w:val="es-ES_tradnl"/>
        </w:rPr>
        <w:t>total y el de inversión al 56%.</w:t>
      </w:r>
    </w:p>
    <w:p w14:paraId="78D1A2A7" w14:textId="77777777" w:rsidR="00C02282" w:rsidRPr="00025183" w:rsidRDefault="00C02282" w:rsidP="007B6220">
      <w:pPr>
        <w:pStyle w:val="Ttulo2"/>
        <w:numPr>
          <w:ilvl w:val="1"/>
          <w:numId w:val="24"/>
        </w:numPr>
        <w:rPr>
          <w:rFonts w:ascii="Arial" w:eastAsia="Calibri" w:hAnsi="Arial" w:cs="Arial"/>
          <w:color w:val="auto"/>
          <w:sz w:val="22"/>
          <w:szCs w:val="22"/>
        </w:rPr>
      </w:pPr>
      <w:bookmarkStart w:id="292" w:name="_Toc525652089"/>
      <w:r w:rsidRPr="00025183">
        <w:rPr>
          <w:rFonts w:ascii="Arial" w:eastAsia="Calibri" w:hAnsi="Arial" w:cs="Arial"/>
          <w:color w:val="auto"/>
          <w:sz w:val="22"/>
          <w:szCs w:val="22"/>
        </w:rPr>
        <w:t>Composición del Presupuesto de Funcionamiento de la UPME</w:t>
      </w:r>
      <w:bookmarkEnd w:id="292"/>
    </w:p>
    <w:p w14:paraId="7D7402EC" w14:textId="77777777" w:rsidR="00C02282" w:rsidRPr="006A67B4" w:rsidRDefault="00C02282" w:rsidP="00C02282">
      <w:pPr>
        <w:spacing w:after="0" w:line="240" w:lineRule="auto"/>
        <w:rPr>
          <w:rFonts w:ascii="Arial" w:hAnsi="Arial" w:cs="Arial"/>
          <w:highlight w:val="yellow"/>
          <w:lang w:eastAsia="es-ES"/>
        </w:rPr>
      </w:pPr>
    </w:p>
    <w:p w14:paraId="66A112D7" w14:textId="6A4B2428" w:rsidR="00C02282" w:rsidRPr="00025183" w:rsidRDefault="00C02282" w:rsidP="00C02282">
      <w:pPr>
        <w:pStyle w:val="Descripcin"/>
        <w:keepNext/>
        <w:jc w:val="center"/>
      </w:pPr>
      <w:bookmarkStart w:id="293" w:name="_Toc525652571"/>
      <w:r w:rsidRPr="00025183">
        <w:t xml:space="preserve">Tabla </w:t>
      </w:r>
      <w:r w:rsidRPr="00025183">
        <w:fldChar w:fldCharType="begin"/>
      </w:r>
      <w:r w:rsidRPr="00025183">
        <w:instrText xml:space="preserve"> SEQ Tabla \* ARABIC </w:instrText>
      </w:r>
      <w:r w:rsidRPr="00025183">
        <w:fldChar w:fldCharType="separate"/>
      </w:r>
      <w:r w:rsidR="008B4625">
        <w:rPr>
          <w:noProof/>
        </w:rPr>
        <w:t>126</w:t>
      </w:r>
      <w:r w:rsidRPr="00025183">
        <w:fldChar w:fldCharType="end"/>
      </w:r>
      <w:r w:rsidR="00025183" w:rsidRPr="00025183">
        <w:t xml:space="preserve"> </w:t>
      </w:r>
      <w:r w:rsidRPr="00025183">
        <w:t>Distribución Presupuesto Funcionamiento - vigencia 2018 UPME</w:t>
      </w:r>
      <w:bookmarkEnd w:id="293"/>
    </w:p>
    <w:tbl>
      <w:tblPr>
        <w:tblW w:w="8253" w:type="dxa"/>
        <w:jc w:val="center"/>
        <w:tblCellMar>
          <w:left w:w="70" w:type="dxa"/>
          <w:right w:w="70" w:type="dxa"/>
        </w:tblCellMar>
        <w:tblLook w:val="04A0" w:firstRow="1" w:lastRow="0" w:firstColumn="1" w:lastColumn="0" w:noHBand="0" w:noVBand="1"/>
      </w:tblPr>
      <w:tblGrid>
        <w:gridCol w:w="2000"/>
        <w:gridCol w:w="1307"/>
        <w:gridCol w:w="1102"/>
        <w:gridCol w:w="596"/>
        <w:gridCol w:w="1180"/>
        <w:gridCol w:w="596"/>
        <w:gridCol w:w="979"/>
        <w:gridCol w:w="541"/>
      </w:tblGrid>
      <w:tr w:rsidR="00025183" w:rsidRPr="00D156D5" w14:paraId="7C14BE3F" w14:textId="77777777" w:rsidTr="00025183">
        <w:trPr>
          <w:trHeight w:val="300"/>
          <w:jc w:val="center"/>
        </w:trPr>
        <w:tc>
          <w:tcPr>
            <w:tcW w:w="2000"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22A162C"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Objeto del Gasto</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3A19C8E"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Apropiación vigente</w:t>
            </w:r>
          </w:p>
        </w:tc>
        <w:tc>
          <w:tcPr>
            <w:tcW w:w="1650" w:type="dxa"/>
            <w:gridSpan w:val="2"/>
            <w:tcBorders>
              <w:top w:val="single" w:sz="4" w:space="0" w:color="auto"/>
              <w:left w:val="nil"/>
              <w:bottom w:val="single" w:sz="4" w:space="0" w:color="auto"/>
              <w:right w:val="single" w:sz="4" w:space="0" w:color="auto"/>
            </w:tcBorders>
            <w:shd w:val="clear" w:color="auto" w:fill="4F81BD" w:themeFill="accent1"/>
            <w:vAlign w:val="bottom"/>
            <w:hideMark/>
          </w:tcPr>
          <w:p w14:paraId="79FFD61D"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Compromisos</w:t>
            </w:r>
          </w:p>
        </w:tc>
        <w:tc>
          <w:tcPr>
            <w:tcW w:w="1776" w:type="dxa"/>
            <w:gridSpan w:val="2"/>
            <w:tcBorders>
              <w:top w:val="single" w:sz="4" w:space="0" w:color="auto"/>
              <w:left w:val="nil"/>
              <w:bottom w:val="single" w:sz="4" w:space="0" w:color="auto"/>
              <w:right w:val="single" w:sz="4" w:space="0" w:color="auto"/>
            </w:tcBorders>
            <w:shd w:val="clear" w:color="auto" w:fill="4F81BD" w:themeFill="accent1"/>
            <w:vAlign w:val="bottom"/>
            <w:hideMark/>
          </w:tcPr>
          <w:p w14:paraId="66C61144"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Obligaciones</w:t>
            </w:r>
          </w:p>
        </w:tc>
        <w:tc>
          <w:tcPr>
            <w:tcW w:w="1520" w:type="dxa"/>
            <w:gridSpan w:val="2"/>
            <w:tcBorders>
              <w:top w:val="single" w:sz="4" w:space="0" w:color="auto"/>
              <w:left w:val="nil"/>
              <w:bottom w:val="single" w:sz="4" w:space="0" w:color="auto"/>
              <w:right w:val="single" w:sz="4" w:space="0" w:color="auto"/>
            </w:tcBorders>
            <w:shd w:val="clear" w:color="auto" w:fill="4F81BD" w:themeFill="accent1"/>
            <w:vAlign w:val="bottom"/>
            <w:hideMark/>
          </w:tcPr>
          <w:p w14:paraId="57914BC6"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Pagos</w:t>
            </w:r>
          </w:p>
        </w:tc>
      </w:tr>
      <w:tr w:rsidR="00025183" w:rsidRPr="00D156D5" w14:paraId="19AB906F" w14:textId="77777777" w:rsidTr="00025183">
        <w:trPr>
          <w:trHeight w:val="300"/>
          <w:jc w:val="center"/>
        </w:trPr>
        <w:tc>
          <w:tcPr>
            <w:tcW w:w="2000"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2D3767D" w14:textId="77777777" w:rsidR="00025183" w:rsidRPr="00D156D5" w:rsidRDefault="00025183" w:rsidP="00025183">
            <w:pPr>
              <w:rPr>
                <w:rFonts w:ascii="Arial" w:hAnsi="Arial" w:cs="Arial"/>
                <w:b/>
                <w:bCs/>
                <w:color w:val="000000"/>
                <w:sz w:val="20"/>
                <w:szCs w:val="20"/>
                <w:lang w:eastAsia="es-CO"/>
              </w:rPr>
            </w:pPr>
          </w:p>
        </w:tc>
        <w:tc>
          <w:tcPr>
            <w:tcW w:w="1307"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5758023" w14:textId="77777777" w:rsidR="00025183" w:rsidRPr="00D156D5" w:rsidRDefault="00025183" w:rsidP="00025183">
            <w:pPr>
              <w:rPr>
                <w:rFonts w:ascii="Arial" w:hAnsi="Arial" w:cs="Arial"/>
                <w:b/>
                <w:bCs/>
                <w:color w:val="000000"/>
                <w:sz w:val="20"/>
                <w:szCs w:val="20"/>
                <w:lang w:eastAsia="es-CO"/>
              </w:rPr>
            </w:pPr>
          </w:p>
        </w:tc>
        <w:tc>
          <w:tcPr>
            <w:tcW w:w="1102" w:type="dxa"/>
            <w:tcBorders>
              <w:top w:val="nil"/>
              <w:left w:val="nil"/>
              <w:bottom w:val="single" w:sz="4" w:space="0" w:color="auto"/>
              <w:right w:val="single" w:sz="4" w:space="0" w:color="auto"/>
            </w:tcBorders>
            <w:shd w:val="clear" w:color="auto" w:fill="4F81BD" w:themeFill="accent1"/>
            <w:vAlign w:val="bottom"/>
            <w:hideMark/>
          </w:tcPr>
          <w:p w14:paraId="47C199AD"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Valor</w:t>
            </w:r>
          </w:p>
        </w:tc>
        <w:tc>
          <w:tcPr>
            <w:tcW w:w="548" w:type="dxa"/>
            <w:tcBorders>
              <w:top w:val="nil"/>
              <w:left w:val="nil"/>
              <w:bottom w:val="single" w:sz="4" w:space="0" w:color="auto"/>
              <w:right w:val="single" w:sz="4" w:space="0" w:color="auto"/>
            </w:tcBorders>
            <w:shd w:val="clear" w:color="auto" w:fill="4F81BD" w:themeFill="accent1"/>
            <w:vAlign w:val="bottom"/>
            <w:hideMark/>
          </w:tcPr>
          <w:p w14:paraId="69316F51"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w:t>
            </w:r>
          </w:p>
        </w:tc>
        <w:tc>
          <w:tcPr>
            <w:tcW w:w="1180" w:type="dxa"/>
            <w:tcBorders>
              <w:top w:val="nil"/>
              <w:left w:val="nil"/>
              <w:bottom w:val="single" w:sz="4" w:space="0" w:color="auto"/>
              <w:right w:val="single" w:sz="4" w:space="0" w:color="auto"/>
            </w:tcBorders>
            <w:shd w:val="clear" w:color="auto" w:fill="4F81BD" w:themeFill="accent1"/>
            <w:vAlign w:val="bottom"/>
            <w:hideMark/>
          </w:tcPr>
          <w:p w14:paraId="28885EBA"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Valor</w:t>
            </w:r>
          </w:p>
        </w:tc>
        <w:tc>
          <w:tcPr>
            <w:tcW w:w="596" w:type="dxa"/>
            <w:tcBorders>
              <w:top w:val="nil"/>
              <w:left w:val="nil"/>
              <w:bottom w:val="single" w:sz="4" w:space="0" w:color="auto"/>
              <w:right w:val="single" w:sz="4" w:space="0" w:color="auto"/>
            </w:tcBorders>
            <w:shd w:val="clear" w:color="auto" w:fill="4F81BD" w:themeFill="accent1"/>
            <w:vAlign w:val="bottom"/>
            <w:hideMark/>
          </w:tcPr>
          <w:p w14:paraId="12A6D96B"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w:t>
            </w:r>
          </w:p>
        </w:tc>
        <w:tc>
          <w:tcPr>
            <w:tcW w:w="979" w:type="dxa"/>
            <w:tcBorders>
              <w:top w:val="nil"/>
              <w:left w:val="nil"/>
              <w:bottom w:val="single" w:sz="4" w:space="0" w:color="auto"/>
              <w:right w:val="single" w:sz="4" w:space="0" w:color="auto"/>
            </w:tcBorders>
            <w:shd w:val="clear" w:color="auto" w:fill="4F81BD" w:themeFill="accent1"/>
            <w:vAlign w:val="bottom"/>
            <w:hideMark/>
          </w:tcPr>
          <w:p w14:paraId="25EF9B2A"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Valor</w:t>
            </w:r>
          </w:p>
        </w:tc>
        <w:tc>
          <w:tcPr>
            <w:tcW w:w="541" w:type="dxa"/>
            <w:tcBorders>
              <w:top w:val="nil"/>
              <w:left w:val="nil"/>
              <w:bottom w:val="single" w:sz="4" w:space="0" w:color="auto"/>
              <w:right w:val="single" w:sz="4" w:space="0" w:color="auto"/>
            </w:tcBorders>
            <w:shd w:val="clear" w:color="auto" w:fill="4F81BD" w:themeFill="accent1"/>
            <w:vAlign w:val="bottom"/>
            <w:hideMark/>
          </w:tcPr>
          <w:p w14:paraId="7420640F"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w:t>
            </w:r>
          </w:p>
        </w:tc>
      </w:tr>
      <w:tr w:rsidR="00025183" w:rsidRPr="00D156D5" w14:paraId="585E8CFA" w14:textId="77777777" w:rsidTr="00025183">
        <w:trPr>
          <w:trHeight w:val="300"/>
          <w:jc w:val="center"/>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5D0A4E6"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FUNCIONAMIENTO</w:t>
            </w:r>
          </w:p>
        </w:tc>
        <w:tc>
          <w:tcPr>
            <w:tcW w:w="1307" w:type="dxa"/>
            <w:tcBorders>
              <w:top w:val="nil"/>
              <w:left w:val="nil"/>
              <w:bottom w:val="single" w:sz="4" w:space="0" w:color="auto"/>
              <w:right w:val="single" w:sz="4" w:space="0" w:color="auto"/>
            </w:tcBorders>
            <w:shd w:val="clear" w:color="auto" w:fill="auto"/>
            <w:noWrap/>
            <w:vAlign w:val="bottom"/>
            <w:hideMark/>
          </w:tcPr>
          <w:p w14:paraId="1052FCB3" w14:textId="77777777" w:rsidR="00025183" w:rsidRPr="00D156D5" w:rsidRDefault="00025183" w:rsidP="00025183">
            <w:pPr>
              <w:jc w:val="right"/>
              <w:rPr>
                <w:rFonts w:ascii="Arial" w:eastAsia="Times New Roman" w:hAnsi="Arial" w:cs="Arial"/>
                <w:b/>
                <w:bCs/>
                <w:color w:val="000000"/>
                <w:sz w:val="20"/>
                <w:szCs w:val="20"/>
                <w:lang w:eastAsia="es-CO"/>
              </w:rPr>
            </w:pPr>
            <w:r w:rsidRPr="00D156D5">
              <w:rPr>
                <w:rFonts w:ascii="Arial" w:hAnsi="Arial" w:cs="Arial"/>
                <w:b/>
                <w:bCs/>
                <w:color w:val="000000"/>
                <w:sz w:val="20"/>
                <w:szCs w:val="20"/>
                <w:lang w:eastAsia="es-CO"/>
              </w:rPr>
              <w:t>$</w:t>
            </w:r>
            <w:r w:rsidRPr="00D156D5">
              <w:rPr>
                <w:rFonts w:ascii="Arial" w:eastAsia="Times New Roman" w:hAnsi="Arial" w:cs="Arial"/>
                <w:b/>
                <w:bCs/>
                <w:color w:val="000000"/>
                <w:sz w:val="20"/>
                <w:szCs w:val="20"/>
                <w:lang w:eastAsia="es-CO"/>
              </w:rPr>
              <w:t xml:space="preserve">15.270 </w:t>
            </w:r>
          </w:p>
        </w:tc>
        <w:tc>
          <w:tcPr>
            <w:tcW w:w="1102" w:type="dxa"/>
            <w:tcBorders>
              <w:top w:val="nil"/>
              <w:left w:val="nil"/>
              <w:bottom w:val="single" w:sz="4" w:space="0" w:color="auto"/>
              <w:right w:val="single" w:sz="4" w:space="0" w:color="auto"/>
            </w:tcBorders>
            <w:shd w:val="clear" w:color="auto" w:fill="auto"/>
            <w:noWrap/>
            <w:vAlign w:val="bottom"/>
            <w:hideMark/>
          </w:tcPr>
          <w:p w14:paraId="5AB51D24" w14:textId="77777777" w:rsidR="00025183" w:rsidRPr="00D156D5" w:rsidRDefault="00025183" w:rsidP="00025183">
            <w:pPr>
              <w:jc w:val="right"/>
              <w:rPr>
                <w:rFonts w:ascii="Arial" w:eastAsia="Times New Roman" w:hAnsi="Arial" w:cs="Arial"/>
                <w:b/>
                <w:bCs/>
                <w:color w:val="000000"/>
                <w:sz w:val="20"/>
                <w:szCs w:val="20"/>
                <w:lang w:eastAsia="es-CO"/>
              </w:rPr>
            </w:pPr>
            <w:r w:rsidRPr="00D156D5">
              <w:rPr>
                <w:rFonts w:ascii="Arial" w:hAnsi="Arial" w:cs="Arial"/>
                <w:b/>
                <w:bCs/>
                <w:color w:val="000000"/>
                <w:sz w:val="20"/>
                <w:szCs w:val="20"/>
                <w:lang w:eastAsia="es-CO"/>
              </w:rPr>
              <w:t>$6</w:t>
            </w:r>
            <w:r w:rsidRPr="00D156D5">
              <w:rPr>
                <w:rFonts w:ascii="Arial" w:eastAsia="Times New Roman" w:hAnsi="Arial" w:cs="Arial"/>
                <w:b/>
                <w:bCs/>
                <w:color w:val="000000"/>
                <w:sz w:val="20"/>
                <w:szCs w:val="20"/>
                <w:lang w:eastAsia="es-CO"/>
              </w:rPr>
              <w:t>.755</w:t>
            </w:r>
          </w:p>
        </w:tc>
        <w:tc>
          <w:tcPr>
            <w:tcW w:w="548" w:type="dxa"/>
            <w:tcBorders>
              <w:top w:val="nil"/>
              <w:left w:val="nil"/>
              <w:bottom w:val="single" w:sz="4" w:space="0" w:color="auto"/>
              <w:right w:val="single" w:sz="4" w:space="0" w:color="auto"/>
            </w:tcBorders>
            <w:shd w:val="clear" w:color="auto" w:fill="auto"/>
            <w:noWrap/>
            <w:vAlign w:val="bottom"/>
            <w:hideMark/>
          </w:tcPr>
          <w:p w14:paraId="712BDE2B"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44%</w:t>
            </w:r>
          </w:p>
        </w:tc>
        <w:tc>
          <w:tcPr>
            <w:tcW w:w="1180" w:type="dxa"/>
            <w:tcBorders>
              <w:top w:val="nil"/>
              <w:left w:val="nil"/>
              <w:bottom w:val="single" w:sz="4" w:space="0" w:color="auto"/>
              <w:right w:val="single" w:sz="4" w:space="0" w:color="auto"/>
            </w:tcBorders>
            <w:shd w:val="clear" w:color="auto" w:fill="auto"/>
            <w:noWrap/>
            <w:vAlign w:val="bottom"/>
            <w:hideMark/>
          </w:tcPr>
          <w:p w14:paraId="3AF70DA2" w14:textId="77777777" w:rsidR="00025183" w:rsidRPr="00D156D5" w:rsidRDefault="00025183" w:rsidP="00025183">
            <w:pPr>
              <w:jc w:val="right"/>
              <w:rPr>
                <w:rFonts w:ascii="Arial" w:eastAsia="Times New Roman" w:hAnsi="Arial" w:cs="Arial"/>
                <w:b/>
                <w:bCs/>
                <w:color w:val="000000"/>
                <w:sz w:val="20"/>
                <w:szCs w:val="20"/>
                <w:lang w:eastAsia="es-CO"/>
              </w:rPr>
            </w:pPr>
            <w:r w:rsidRPr="00D156D5">
              <w:rPr>
                <w:rFonts w:ascii="Arial" w:hAnsi="Arial" w:cs="Arial"/>
                <w:b/>
                <w:bCs/>
                <w:color w:val="000000"/>
                <w:sz w:val="20"/>
                <w:szCs w:val="20"/>
                <w:lang w:eastAsia="es-CO"/>
              </w:rPr>
              <w:t>$5</w:t>
            </w:r>
            <w:r w:rsidRPr="00D156D5">
              <w:rPr>
                <w:rFonts w:ascii="Arial" w:eastAsia="Times New Roman" w:hAnsi="Arial" w:cs="Arial"/>
                <w:b/>
                <w:bCs/>
                <w:color w:val="000000"/>
                <w:sz w:val="20"/>
                <w:szCs w:val="20"/>
                <w:lang w:eastAsia="es-CO"/>
              </w:rPr>
              <w:t xml:space="preserve">.883 </w:t>
            </w:r>
          </w:p>
        </w:tc>
        <w:tc>
          <w:tcPr>
            <w:tcW w:w="596" w:type="dxa"/>
            <w:tcBorders>
              <w:top w:val="nil"/>
              <w:left w:val="nil"/>
              <w:bottom w:val="single" w:sz="4" w:space="0" w:color="auto"/>
              <w:right w:val="single" w:sz="4" w:space="0" w:color="auto"/>
            </w:tcBorders>
            <w:shd w:val="clear" w:color="auto" w:fill="auto"/>
            <w:noWrap/>
            <w:vAlign w:val="bottom"/>
            <w:hideMark/>
          </w:tcPr>
          <w:p w14:paraId="32D2DCFD"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39%</w:t>
            </w:r>
          </w:p>
        </w:tc>
        <w:tc>
          <w:tcPr>
            <w:tcW w:w="979" w:type="dxa"/>
            <w:tcBorders>
              <w:top w:val="nil"/>
              <w:left w:val="nil"/>
              <w:bottom w:val="single" w:sz="4" w:space="0" w:color="auto"/>
              <w:right w:val="single" w:sz="4" w:space="0" w:color="auto"/>
            </w:tcBorders>
            <w:shd w:val="clear" w:color="auto" w:fill="auto"/>
            <w:noWrap/>
            <w:vAlign w:val="bottom"/>
            <w:hideMark/>
          </w:tcPr>
          <w:p w14:paraId="5E74A748" w14:textId="77777777" w:rsidR="00025183" w:rsidRPr="00D156D5" w:rsidRDefault="00025183" w:rsidP="00025183">
            <w:pPr>
              <w:jc w:val="right"/>
              <w:rPr>
                <w:rFonts w:ascii="Arial" w:eastAsia="Times New Roman" w:hAnsi="Arial" w:cs="Arial"/>
                <w:b/>
                <w:bCs/>
                <w:color w:val="000000"/>
                <w:sz w:val="20"/>
                <w:szCs w:val="20"/>
                <w:lang w:eastAsia="es-CO"/>
              </w:rPr>
            </w:pPr>
            <w:r w:rsidRPr="00D156D5">
              <w:rPr>
                <w:rFonts w:ascii="Arial" w:hAnsi="Arial" w:cs="Arial"/>
                <w:b/>
                <w:bCs/>
                <w:color w:val="000000"/>
                <w:sz w:val="20"/>
                <w:szCs w:val="20"/>
                <w:lang w:eastAsia="es-CO"/>
              </w:rPr>
              <w:t>$5</w:t>
            </w:r>
            <w:r w:rsidRPr="00D156D5">
              <w:rPr>
                <w:rFonts w:ascii="Arial" w:eastAsia="Times New Roman" w:hAnsi="Arial" w:cs="Arial"/>
                <w:b/>
                <w:bCs/>
                <w:color w:val="000000"/>
                <w:sz w:val="20"/>
                <w:szCs w:val="20"/>
                <w:lang w:eastAsia="es-CO"/>
              </w:rPr>
              <w:t>.883</w:t>
            </w:r>
          </w:p>
        </w:tc>
        <w:tc>
          <w:tcPr>
            <w:tcW w:w="541" w:type="dxa"/>
            <w:tcBorders>
              <w:top w:val="nil"/>
              <w:left w:val="nil"/>
              <w:bottom w:val="single" w:sz="4" w:space="0" w:color="auto"/>
              <w:right w:val="single" w:sz="4" w:space="0" w:color="auto"/>
            </w:tcBorders>
            <w:shd w:val="clear" w:color="auto" w:fill="auto"/>
            <w:noWrap/>
            <w:vAlign w:val="bottom"/>
            <w:hideMark/>
          </w:tcPr>
          <w:p w14:paraId="3C425909"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39%</w:t>
            </w:r>
          </w:p>
        </w:tc>
      </w:tr>
      <w:tr w:rsidR="00025183" w:rsidRPr="00D156D5" w14:paraId="3A1A5540" w14:textId="77777777" w:rsidTr="00025183">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E534370" w14:textId="77777777" w:rsidR="00025183" w:rsidRPr="00D156D5" w:rsidRDefault="00025183" w:rsidP="00025183">
            <w:pPr>
              <w:rPr>
                <w:rFonts w:ascii="Arial" w:hAnsi="Arial" w:cs="Arial"/>
                <w:color w:val="000000"/>
                <w:sz w:val="20"/>
                <w:szCs w:val="20"/>
                <w:lang w:eastAsia="es-CO"/>
              </w:rPr>
            </w:pPr>
            <w:r w:rsidRPr="00D156D5">
              <w:rPr>
                <w:rFonts w:ascii="Arial" w:hAnsi="Arial" w:cs="Arial"/>
                <w:color w:val="000000"/>
                <w:sz w:val="20"/>
                <w:szCs w:val="20"/>
                <w:lang w:eastAsia="es-CO"/>
              </w:rPr>
              <w:t>Gastos de Personal</w:t>
            </w:r>
          </w:p>
        </w:tc>
        <w:tc>
          <w:tcPr>
            <w:tcW w:w="1307" w:type="dxa"/>
            <w:tcBorders>
              <w:top w:val="nil"/>
              <w:left w:val="nil"/>
              <w:bottom w:val="single" w:sz="4" w:space="0" w:color="auto"/>
              <w:right w:val="single" w:sz="4" w:space="0" w:color="auto"/>
            </w:tcBorders>
            <w:shd w:val="clear" w:color="auto" w:fill="auto"/>
            <w:noWrap/>
            <w:vAlign w:val="center"/>
            <w:hideMark/>
          </w:tcPr>
          <w:p w14:paraId="1B4EF9C1"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$13.121 </w:t>
            </w:r>
          </w:p>
        </w:tc>
        <w:tc>
          <w:tcPr>
            <w:tcW w:w="1102" w:type="dxa"/>
            <w:tcBorders>
              <w:top w:val="nil"/>
              <w:left w:val="nil"/>
              <w:bottom w:val="single" w:sz="4" w:space="0" w:color="auto"/>
              <w:right w:val="single" w:sz="4" w:space="0" w:color="auto"/>
            </w:tcBorders>
            <w:shd w:val="clear" w:color="auto" w:fill="auto"/>
            <w:noWrap/>
            <w:vAlign w:val="center"/>
            <w:hideMark/>
          </w:tcPr>
          <w:p w14:paraId="3FD02154"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$5</w:t>
            </w:r>
            <w:r w:rsidRPr="00D156D5">
              <w:rPr>
                <w:rFonts w:ascii="Arial" w:eastAsia="Times New Roman" w:hAnsi="Arial" w:cs="Arial"/>
                <w:color w:val="000000"/>
                <w:sz w:val="20"/>
                <w:szCs w:val="20"/>
                <w:lang w:eastAsia="es-CO"/>
              </w:rPr>
              <w:t xml:space="preserve">.604 </w:t>
            </w:r>
          </w:p>
        </w:tc>
        <w:tc>
          <w:tcPr>
            <w:tcW w:w="548" w:type="dxa"/>
            <w:tcBorders>
              <w:top w:val="nil"/>
              <w:left w:val="nil"/>
              <w:bottom w:val="single" w:sz="4" w:space="0" w:color="auto"/>
              <w:right w:val="single" w:sz="4" w:space="0" w:color="auto"/>
            </w:tcBorders>
            <w:shd w:val="clear" w:color="auto" w:fill="auto"/>
            <w:noWrap/>
            <w:vAlign w:val="center"/>
            <w:hideMark/>
          </w:tcPr>
          <w:p w14:paraId="2E9B608B"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43%</w:t>
            </w:r>
          </w:p>
        </w:tc>
        <w:tc>
          <w:tcPr>
            <w:tcW w:w="1180" w:type="dxa"/>
            <w:tcBorders>
              <w:top w:val="nil"/>
              <w:left w:val="nil"/>
              <w:bottom w:val="single" w:sz="4" w:space="0" w:color="auto"/>
              <w:right w:val="single" w:sz="4" w:space="0" w:color="auto"/>
            </w:tcBorders>
            <w:shd w:val="clear" w:color="auto" w:fill="auto"/>
            <w:noWrap/>
            <w:vAlign w:val="center"/>
            <w:hideMark/>
          </w:tcPr>
          <w:p w14:paraId="19D383D9"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$5</w:t>
            </w:r>
            <w:r w:rsidRPr="00D156D5">
              <w:rPr>
                <w:rFonts w:ascii="Arial" w:eastAsia="Times New Roman" w:hAnsi="Arial" w:cs="Arial"/>
                <w:color w:val="000000"/>
                <w:sz w:val="20"/>
                <w:szCs w:val="20"/>
                <w:lang w:eastAsia="es-CO"/>
              </w:rPr>
              <w:t xml:space="preserve">.285 </w:t>
            </w:r>
          </w:p>
        </w:tc>
        <w:tc>
          <w:tcPr>
            <w:tcW w:w="596" w:type="dxa"/>
            <w:tcBorders>
              <w:top w:val="nil"/>
              <w:left w:val="nil"/>
              <w:bottom w:val="single" w:sz="4" w:space="0" w:color="auto"/>
              <w:right w:val="single" w:sz="4" w:space="0" w:color="auto"/>
            </w:tcBorders>
            <w:shd w:val="clear" w:color="auto" w:fill="auto"/>
            <w:noWrap/>
            <w:vAlign w:val="center"/>
            <w:hideMark/>
          </w:tcPr>
          <w:p w14:paraId="6275DD05"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40%</w:t>
            </w:r>
          </w:p>
        </w:tc>
        <w:tc>
          <w:tcPr>
            <w:tcW w:w="979" w:type="dxa"/>
            <w:tcBorders>
              <w:top w:val="nil"/>
              <w:left w:val="nil"/>
              <w:bottom w:val="single" w:sz="4" w:space="0" w:color="auto"/>
              <w:right w:val="single" w:sz="4" w:space="0" w:color="auto"/>
            </w:tcBorders>
            <w:shd w:val="clear" w:color="auto" w:fill="auto"/>
            <w:noWrap/>
            <w:vAlign w:val="center"/>
            <w:hideMark/>
          </w:tcPr>
          <w:p w14:paraId="5EACE3B4"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$5</w:t>
            </w:r>
            <w:r w:rsidRPr="00D156D5">
              <w:rPr>
                <w:rFonts w:ascii="Arial" w:eastAsia="Times New Roman" w:hAnsi="Arial" w:cs="Arial"/>
                <w:color w:val="000000"/>
                <w:sz w:val="20"/>
                <w:szCs w:val="20"/>
                <w:lang w:eastAsia="es-CO"/>
              </w:rPr>
              <w:t xml:space="preserve">.285 </w:t>
            </w:r>
          </w:p>
        </w:tc>
        <w:tc>
          <w:tcPr>
            <w:tcW w:w="541" w:type="dxa"/>
            <w:tcBorders>
              <w:top w:val="nil"/>
              <w:left w:val="nil"/>
              <w:bottom w:val="single" w:sz="4" w:space="0" w:color="auto"/>
              <w:right w:val="single" w:sz="4" w:space="0" w:color="auto"/>
            </w:tcBorders>
            <w:shd w:val="clear" w:color="auto" w:fill="auto"/>
            <w:noWrap/>
            <w:vAlign w:val="center"/>
            <w:hideMark/>
          </w:tcPr>
          <w:p w14:paraId="29A856E5"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40%</w:t>
            </w:r>
          </w:p>
        </w:tc>
      </w:tr>
      <w:tr w:rsidR="00025183" w:rsidRPr="00D156D5" w14:paraId="520D8013" w14:textId="77777777" w:rsidTr="00025183">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1F454BB9" w14:textId="77777777" w:rsidR="00025183" w:rsidRPr="00D156D5" w:rsidRDefault="00025183" w:rsidP="00025183">
            <w:pPr>
              <w:rPr>
                <w:rFonts w:ascii="Arial" w:hAnsi="Arial" w:cs="Arial"/>
                <w:color w:val="000000"/>
                <w:sz w:val="20"/>
                <w:szCs w:val="20"/>
                <w:lang w:eastAsia="es-CO"/>
              </w:rPr>
            </w:pPr>
            <w:r w:rsidRPr="00D156D5">
              <w:rPr>
                <w:rFonts w:ascii="Arial" w:hAnsi="Arial" w:cs="Arial"/>
                <w:color w:val="000000"/>
                <w:sz w:val="20"/>
                <w:szCs w:val="20"/>
                <w:lang w:eastAsia="es-CO"/>
              </w:rPr>
              <w:t>Gastos Generales</w:t>
            </w:r>
          </w:p>
        </w:tc>
        <w:tc>
          <w:tcPr>
            <w:tcW w:w="1307" w:type="dxa"/>
            <w:tcBorders>
              <w:top w:val="nil"/>
              <w:left w:val="nil"/>
              <w:bottom w:val="single" w:sz="4" w:space="0" w:color="auto"/>
              <w:right w:val="single" w:sz="4" w:space="0" w:color="auto"/>
            </w:tcBorders>
            <w:shd w:val="clear" w:color="auto" w:fill="auto"/>
            <w:noWrap/>
            <w:vAlign w:val="center"/>
            <w:hideMark/>
          </w:tcPr>
          <w:p w14:paraId="4076B905"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$1.744 </w:t>
            </w:r>
          </w:p>
        </w:tc>
        <w:tc>
          <w:tcPr>
            <w:tcW w:w="1102" w:type="dxa"/>
            <w:tcBorders>
              <w:top w:val="nil"/>
              <w:left w:val="nil"/>
              <w:bottom w:val="single" w:sz="4" w:space="0" w:color="auto"/>
              <w:right w:val="single" w:sz="4" w:space="0" w:color="auto"/>
            </w:tcBorders>
            <w:shd w:val="clear" w:color="auto" w:fill="auto"/>
            <w:noWrap/>
            <w:vAlign w:val="center"/>
            <w:hideMark/>
          </w:tcPr>
          <w:p w14:paraId="25A4D33A"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w:t>
            </w:r>
            <w:r w:rsidRPr="00D156D5">
              <w:rPr>
                <w:rFonts w:ascii="Arial" w:eastAsia="Times New Roman" w:hAnsi="Arial" w:cs="Arial"/>
                <w:color w:val="000000"/>
                <w:sz w:val="20"/>
                <w:szCs w:val="20"/>
                <w:lang w:eastAsia="es-CO"/>
              </w:rPr>
              <w:t xml:space="preserve">1.151 </w:t>
            </w:r>
          </w:p>
        </w:tc>
        <w:tc>
          <w:tcPr>
            <w:tcW w:w="548" w:type="dxa"/>
            <w:tcBorders>
              <w:top w:val="nil"/>
              <w:left w:val="nil"/>
              <w:bottom w:val="single" w:sz="4" w:space="0" w:color="auto"/>
              <w:right w:val="single" w:sz="4" w:space="0" w:color="auto"/>
            </w:tcBorders>
            <w:shd w:val="clear" w:color="auto" w:fill="auto"/>
            <w:noWrap/>
            <w:vAlign w:val="center"/>
            <w:hideMark/>
          </w:tcPr>
          <w:p w14:paraId="3F482CD1"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66%</w:t>
            </w:r>
          </w:p>
        </w:tc>
        <w:tc>
          <w:tcPr>
            <w:tcW w:w="1180" w:type="dxa"/>
            <w:tcBorders>
              <w:top w:val="nil"/>
              <w:left w:val="nil"/>
              <w:bottom w:val="single" w:sz="4" w:space="0" w:color="auto"/>
              <w:right w:val="single" w:sz="4" w:space="0" w:color="auto"/>
            </w:tcBorders>
            <w:shd w:val="clear" w:color="auto" w:fill="auto"/>
            <w:noWrap/>
            <w:vAlign w:val="center"/>
            <w:hideMark/>
          </w:tcPr>
          <w:p w14:paraId="4EEC121C"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w:t>
            </w:r>
            <w:r w:rsidRPr="00D156D5">
              <w:rPr>
                <w:rFonts w:ascii="Arial" w:eastAsia="Times New Roman" w:hAnsi="Arial" w:cs="Arial"/>
                <w:color w:val="000000"/>
                <w:sz w:val="20"/>
                <w:szCs w:val="20"/>
                <w:lang w:eastAsia="es-CO"/>
              </w:rPr>
              <w:t xml:space="preserve">598 </w:t>
            </w:r>
          </w:p>
        </w:tc>
        <w:tc>
          <w:tcPr>
            <w:tcW w:w="596" w:type="dxa"/>
            <w:tcBorders>
              <w:top w:val="nil"/>
              <w:left w:val="nil"/>
              <w:bottom w:val="single" w:sz="4" w:space="0" w:color="auto"/>
              <w:right w:val="single" w:sz="4" w:space="0" w:color="auto"/>
            </w:tcBorders>
            <w:shd w:val="clear" w:color="auto" w:fill="auto"/>
            <w:noWrap/>
            <w:vAlign w:val="center"/>
            <w:hideMark/>
          </w:tcPr>
          <w:p w14:paraId="517FA140"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34%</w:t>
            </w:r>
          </w:p>
        </w:tc>
        <w:tc>
          <w:tcPr>
            <w:tcW w:w="979" w:type="dxa"/>
            <w:tcBorders>
              <w:top w:val="nil"/>
              <w:left w:val="nil"/>
              <w:bottom w:val="single" w:sz="4" w:space="0" w:color="auto"/>
              <w:right w:val="single" w:sz="4" w:space="0" w:color="auto"/>
            </w:tcBorders>
            <w:shd w:val="clear" w:color="auto" w:fill="auto"/>
            <w:noWrap/>
            <w:vAlign w:val="center"/>
            <w:hideMark/>
          </w:tcPr>
          <w:p w14:paraId="2859EF5D"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w:t>
            </w:r>
            <w:r w:rsidRPr="00D156D5">
              <w:rPr>
                <w:rFonts w:ascii="Arial" w:eastAsia="Times New Roman" w:hAnsi="Arial" w:cs="Arial"/>
                <w:color w:val="000000"/>
                <w:sz w:val="20"/>
                <w:szCs w:val="20"/>
                <w:lang w:eastAsia="es-CO"/>
              </w:rPr>
              <w:t xml:space="preserve">598 </w:t>
            </w:r>
          </w:p>
        </w:tc>
        <w:tc>
          <w:tcPr>
            <w:tcW w:w="541" w:type="dxa"/>
            <w:tcBorders>
              <w:top w:val="nil"/>
              <w:left w:val="nil"/>
              <w:bottom w:val="single" w:sz="4" w:space="0" w:color="auto"/>
              <w:right w:val="single" w:sz="4" w:space="0" w:color="auto"/>
            </w:tcBorders>
            <w:shd w:val="clear" w:color="auto" w:fill="auto"/>
            <w:noWrap/>
            <w:vAlign w:val="center"/>
            <w:hideMark/>
          </w:tcPr>
          <w:p w14:paraId="1D4097D5"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34%</w:t>
            </w:r>
          </w:p>
        </w:tc>
      </w:tr>
      <w:tr w:rsidR="00025183" w:rsidRPr="00D156D5" w14:paraId="42F92812" w14:textId="77777777" w:rsidTr="00025183">
        <w:trPr>
          <w:trHeight w:val="300"/>
          <w:jc w:val="center"/>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6AF72D7E" w14:textId="77777777" w:rsidR="00025183" w:rsidRPr="00D156D5" w:rsidRDefault="00025183" w:rsidP="00025183">
            <w:pPr>
              <w:rPr>
                <w:rFonts w:ascii="Arial" w:hAnsi="Arial" w:cs="Arial"/>
                <w:color w:val="000000"/>
                <w:sz w:val="20"/>
                <w:szCs w:val="20"/>
                <w:lang w:eastAsia="es-CO"/>
              </w:rPr>
            </w:pPr>
            <w:r w:rsidRPr="00D156D5">
              <w:rPr>
                <w:rFonts w:ascii="Arial" w:hAnsi="Arial" w:cs="Arial"/>
                <w:color w:val="000000"/>
                <w:sz w:val="20"/>
                <w:szCs w:val="20"/>
                <w:lang w:eastAsia="es-CO"/>
              </w:rPr>
              <w:t>Transferencias Corrientes</w:t>
            </w:r>
          </w:p>
        </w:tc>
        <w:tc>
          <w:tcPr>
            <w:tcW w:w="1307" w:type="dxa"/>
            <w:tcBorders>
              <w:top w:val="nil"/>
              <w:left w:val="nil"/>
              <w:bottom w:val="single" w:sz="4" w:space="0" w:color="auto"/>
              <w:right w:val="single" w:sz="4" w:space="0" w:color="auto"/>
            </w:tcBorders>
            <w:shd w:val="clear" w:color="auto" w:fill="auto"/>
            <w:noWrap/>
            <w:vAlign w:val="center"/>
            <w:hideMark/>
          </w:tcPr>
          <w:p w14:paraId="27993DC0"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$405 </w:t>
            </w:r>
          </w:p>
        </w:tc>
        <w:tc>
          <w:tcPr>
            <w:tcW w:w="1102" w:type="dxa"/>
            <w:tcBorders>
              <w:top w:val="nil"/>
              <w:left w:val="nil"/>
              <w:bottom w:val="single" w:sz="4" w:space="0" w:color="auto"/>
              <w:right w:val="single" w:sz="4" w:space="0" w:color="auto"/>
            </w:tcBorders>
            <w:shd w:val="clear" w:color="auto" w:fill="auto"/>
            <w:noWrap/>
            <w:vAlign w:val="center"/>
            <w:hideMark/>
          </w:tcPr>
          <w:p w14:paraId="3CE2B5B5"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$0,2</w:t>
            </w:r>
            <w:r w:rsidRPr="00D156D5">
              <w:rPr>
                <w:rFonts w:ascii="Arial" w:eastAsia="Times New Roman" w:hAnsi="Arial" w:cs="Arial"/>
                <w:color w:val="000000"/>
                <w:sz w:val="20"/>
                <w:szCs w:val="20"/>
                <w:lang w:eastAsia="es-CO"/>
              </w:rPr>
              <w:t xml:space="preserve">   </w:t>
            </w:r>
          </w:p>
        </w:tc>
        <w:tc>
          <w:tcPr>
            <w:tcW w:w="548" w:type="dxa"/>
            <w:tcBorders>
              <w:top w:val="nil"/>
              <w:left w:val="nil"/>
              <w:bottom w:val="single" w:sz="4" w:space="0" w:color="auto"/>
              <w:right w:val="single" w:sz="4" w:space="0" w:color="auto"/>
            </w:tcBorders>
            <w:shd w:val="clear" w:color="auto" w:fill="auto"/>
            <w:noWrap/>
            <w:vAlign w:val="center"/>
            <w:hideMark/>
          </w:tcPr>
          <w:p w14:paraId="6061BB1E"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0,1%</w:t>
            </w:r>
          </w:p>
        </w:tc>
        <w:tc>
          <w:tcPr>
            <w:tcW w:w="1180" w:type="dxa"/>
            <w:tcBorders>
              <w:top w:val="nil"/>
              <w:left w:val="nil"/>
              <w:bottom w:val="single" w:sz="4" w:space="0" w:color="auto"/>
              <w:right w:val="single" w:sz="4" w:space="0" w:color="auto"/>
            </w:tcBorders>
            <w:shd w:val="clear" w:color="auto" w:fill="auto"/>
            <w:noWrap/>
            <w:vAlign w:val="center"/>
            <w:hideMark/>
          </w:tcPr>
          <w:p w14:paraId="205449FD"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$0</w:t>
            </w:r>
            <w:r w:rsidRPr="00D156D5">
              <w:rPr>
                <w:rFonts w:ascii="Arial" w:eastAsia="Times New Roman" w:hAnsi="Arial" w:cs="Arial"/>
                <w:color w:val="000000"/>
                <w:sz w:val="20"/>
                <w:szCs w:val="20"/>
                <w:lang w:eastAsia="es-CO"/>
              </w:rPr>
              <w:t xml:space="preserve">   </w:t>
            </w:r>
          </w:p>
        </w:tc>
        <w:tc>
          <w:tcPr>
            <w:tcW w:w="596" w:type="dxa"/>
            <w:tcBorders>
              <w:top w:val="nil"/>
              <w:left w:val="nil"/>
              <w:bottom w:val="single" w:sz="4" w:space="0" w:color="auto"/>
              <w:right w:val="single" w:sz="4" w:space="0" w:color="auto"/>
            </w:tcBorders>
            <w:shd w:val="clear" w:color="auto" w:fill="auto"/>
            <w:noWrap/>
            <w:vAlign w:val="center"/>
            <w:hideMark/>
          </w:tcPr>
          <w:p w14:paraId="5CA72B73"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0%</w:t>
            </w:r>
          </w:p>
        </w:tc>
        <w:tc>
          <w:tcPr>
            <w:tcW w:w="979" w:type="dxa"/>
            <w:tcBorders>
              <w:top w:val="nil"/>
              <w:left w:val="nil"/>
              <w:bottom w:val="single" w:sz="4" w:space="0" w:color="auto"/>
              <w:right w:val="single" w:sz="4" w:space="0" w:color="auto"/>
            </w:tcBorders>
            <w:shd w:val="clear" w:color="auto" w:fill="auto"/>
            <w:noWrap/>
            <w:vAlign w:val="center"/>
            <w:hideMark/>
          </w:tcPr>
          <w:p w14:paraId="143AD1FE" w14:textId="77777777" w:rsidR="00025183" w:rsidRPr="00D156D5" w:rsidRDefault="00025183" w:rsidP="00025183">
            <w:pPr>
              <w:jc w:val="right"/>
              <w:rPr>
                <w:rFonts w:ascii="Arial" w:eastAsia="Times New Roman" w:hAnsi="Arial" w:cs="Arial"/>
                <w:color w:val="000000"/>
                <w:sz w:val="20"/>
                <w:szCs w:val="20"/>
                <w:lang w:eastAsia="es-CO"/>
              </w:rPr>
            </w:pPr>
            <w:r w:rsidRPr="00D156D5">
              <w:rPr>
                <w:rFonts w:ascii="Arial" w:hAnsi="Arial" w:cs="Arial"/>
                <w:color w:val="000000"/>
                <w:sz w:val="20"/>
                <w:szCs w:val="20"/>
                <w:lang w:eastAsia="es-CO"/>
              </w:rPr>
              <w:t>$0</w:t>
            </w:r>
            <w:r w:rsidRPr="00D156D5">
              <w:rPr>
                <w:rFonts w:ascii="Arial" w:eastAsia="Times New Roman" w:hAnsi="Arial" w:cs="Arial"/>
                <w:color w:val="000000"/>
                <w:sz w:val="20"/>
                <w:szCs w:val="20"/>
                <w:lang w:eastAsia="es-CO"/>
              </w:rPr>
              <w:t xml:space="preserve">   </w:t>
            </w:r>
          </w:p>
        </w:tc>
        <w:tc>
          <w:tcPr>
            <w:tcW w:w="541" w:type="dxa"/>
            <w:tcBorders>
              <w:top w:val="nil"/>
              <w:left w:val="nil"/>
              <w:bottom w:val="single" w:sz="4" w:space="0" w:color="auto"/>
              <w:right w:val="single" w:sz="4" w:space="0" w:color="auto"/>
            </w:tcBorders>
            <w:shd w:val="clear" w:color="auto" w:fill="auto"/>
            <w:noWrap/>
            <w:vAlign w:val="center"/>
            <w:hideMark/>
          </w:tcPr>
          <w:p w14:paraId="2F96B060" w14:textId="77777777" w:rsidR="00025183" w:rsidRPr="00D156D5" w:rsidRDefault="00025183" w:rsidP="00025183">
            <w:pPr>
              <w:jc w:val="center"/>
              <w:rPr>
                <w:rFonts w:ascii="Arial" w:hAnsi="Arial" w:cs="Arial"/>
                <w:color w:val="000000"/>
                <w:sz w:val="20"/>
                <w:szCs w:val="20"/>
                <w:lang w:eastAsia="es-CO"/>
              </w:rPr>
            </w:pPr>
            <w:r w:rsidRPr="00D156D5">
              <w:rPr>
                <w:rFonts w:ascii="Arial" w:hAnsi="Arial" w:cs="Arial"/>
                <w:color w:val="000000"/>
                <w:sz w:val="20"/>
                <w:szCs w:val="20"/>
                <w:lang w:eastAsia="es-CO"/>
              </w:rPr>
              <w:t>0%</w:t>
            </w:r>
          </w:p>
        </w:tc>
      </w:tr>
    </w:tbl>
    <w:p w14:paraId="1887AA0E" w14:textId="77777777" w:rsidR="00C02282" w:rsidRPr="00025183" w:rsidRDefault="00C02282" w:rsidP="00C02282">
      <w:pPr>
        <w:spacing w:after="0"/>
        <w:ind w:left="708"/>
        <w:jc w:val="center"/>
        <w:rPr>
          <w:rFonts w:ascii="Arial" w:hAnsi="Arial" w:cs="Arial"/>
          <w:color w:val="000000"/>
          <w:sz w:val="16"/>
          <w:szCs w:val="16"/>
        </w:rPr>
      </w:pPr>
      <w:r w:rsidRPr="00025183">
        <w:rPr>
          <w:rFonts w:ascii="Arial" w:hAnsi="Arial" w:cs="Arial"/>
          <w:color w:val="000000"/>
          <w:sz w:val="16"/>
          <w:szCs w:val="16"/>
        </w:rPr>
        <w:t>Millones de pesos</w:t>
      </w:r>
    </w:p>
    <w:p w14:paraId="2793ABA3" w14:textId="77777777" w:rsidR="00C02282" w:rsidRPr="00025183" w:rsidRDefault="00C02282" w:rsidP="00C02282">
      <w:pPr>
        <w:spacing w:after="0"/>
        <w:ind w:left="708"/>
        <w:jc w:val="center"/>
        <w:rPr>
          <w:rFonts w:eastAsia="Calibri" w:cs="Arial"/>
        </w:rPr>
      </w:pPr>
      <w:r w:rsidRPr="00025183">
        <w:rPr>
          <w:rFonts w:ascii="Arial" w:eastAsia="Calibri" w:hAnsi="Arial" w:cs="Arial"/>
          <w:sz w:val="16"/>
          <w:szCs w:val="16"/>
        </w:rPr>
        <w:t>Fuente: SIIF Nación UPME</w:t>
      </w:r>
    </w:p>
    <w:p w14:paraId="27B4A3C5" w14:textId="77777777" w:rsidR="00025183" w:rsidRPr="00D156D5" w:rsidRDefault="00025183" w:rsidP="00025183">
      <w:pPr>
        <w:spacing w:after="0" w:line="240" w:lineRule="auto"/>
        <w:jc w:val="both"/>
        <w:rPr>
          <w:rFonts w:ascii="Arial" w:hAnsi="Arial" w:cs="Arial"/>
        </w:rPr>
      </w:pPr>
      <w:r w:rsidRPr="00D156D5">
        <w:rPr>
          <w:rFonts w:ascii="Arial" w:hAnsi="Arial" w:cs="Arial"/>
        </w:rPr>
        <w:t>Como se puede observar el comportamiento de ejecución presupuestal en funcionamiento al 30 de junio de 2018, reflejó el 44% ejecutado, con un 39% obligado y pagado.</w:t>
      </w:r>
    </w:p>
    <w:p w14:paraId="672C49CE" w14:textId="26A56BEB" w:rsidR="00C02282" w:rsidRDefault="00C02282" w:rsidP="00C02282">
      <w:pPr>
        <w:spacing w:after="0" w:line="240" w:lineRule="auto"/>
        <w:rPr>
          <w:rFonts w:ascii="Arial" w:eastAsia="Calibri" w:hAnsi="Arial" w:cs="Arial"/>
          <w:sz w:val="16"/>
          <w:szCs w:val="16"/>
          <w:highlight w:val="yellow"/>
        </w:rPr>
      </w:pPr>
    </w:p>
    <w:p w14:paraId="3329F049" w14:textId="42D96CCB" w:rsidR="008A4B8C" w:rsidRDefault="008A4B8C" w:rsidP="00C02282">
      <w:pPr>
        <w:spacing w:after="0" w:line="240" w:lineRule="auto"/>
        <w:rPr>
          <w:rFonts w:ascii="Arial" w:eastAsia="Calibri" w:hAnsi="Arial" w:cs="Arial"/>
          <w:sz w:val="16"/>
          <w:szCs w:val="16"/>
          <w:highlight w:val="yellow"/>
        </w:rPr>
      </w:pPr>
    </w:p>
    <w:p w14:paraId="2A2F74ED" w14:textId="3FA48C52" w:rsidR="008A4B8C" w:rsidRDefault="008A4B8C" w:rsidP="00C02282">
      <w:pPr>
        <w:spacing w:after="0" w:line="240" w:lineRule="auto"/>
        <w:rPr>
          <w:rFonts w:ascii="Arial" w:eastAsia="Calibri" w:hAnsi="Arial" w:cs="Arial"/>
          <w:sz w:val="16"/>
          <w:szCs w:val="16"/>
          <w:highlight w:val="yellow"/>
        </w:rPr>
      </w:pPr>
    </w:p>
    <w:p w14:paraId="26A80E64" w14:textId="060EB137" w:rsidR="008A4B8C" w:rsidRDefault="008A4B8C" w:rsidP="00C02282">
      <w:pPr>
        <w:spacing w:after="0" w:line="240" w:lineRule="auto"/>
        <w:rPr>
          <w:rFonts w:ascii="Arial" w:eastAsia="Calibri" w:hAnsi="Arial" w:cs="Arial"/>
          <w:sz w:val="16"/>
          <w:szCs w:val="16"/>
          <w:highlight w:val="yellow"/>
        </w:rPr>
      </w:pPr>
    </w:p>
    <w:p w14:paraId="7CB13A1B" w14:textId="1C8CE5D4" w:rsidR="008A4B8C" w:rsidRDefault="008A4B8C" w:rsidP="00C02282">
      <w:pPr>
        <w:spacing w:after="0" w:line="240" w:lineRule="auto"/>
        <w:rPr>
          <w:rFonts w:ascii="Arial" w:eastAsia="Calibri" w:hAnsi="Arial" w:cs="Arial"/>
          <w:sz w:val="16"/>
          <w:szCs w:val="16"/>
          <w:highlight w:val="yellow"/>
        </w:rPr>
      </w:pPr>
    </w:p>
    <w:p w14:paraId="6459AD89" w14:textId="4548231E" w:rsidR="008A4B8C" w:rsidRDefault="008A4B8C" w:rsidP="00C02282">
      <w:pPr>
        <w:spacing w:after="0" w:line="240" w:lineRule="auto"/>
        <w:rPr>
          <w:rFonts w:ascii="Arial" w:eastAsia="Calibri" w:hAnsi="Arial" w:cs="Arial"/>
          <w:sz w:val="16"/>
          <w:szCs w:val="16"/>
          <w:highlight w:val="yellow"/>
        </w:rPr>
      </w:pPr>
    </w:p>
    <w:p w14:paraId="7B781488" w14:textId="26FA8F07" w:rsidR="008A4B8C" w:rsidRDefault="008A4B8C" w:rsidP="00C02282">
      <w:pPr>
        <w:spacing w:after="0" w:line="240" w:lineRule="auto"/>
        <w:rPr>
          <w:rFonts w:ascii="Arial" w:eastAsia="Calibri" w:hAnsi="Arial" w:cs="Arial"/>
          <w:sz w:val="16"/>
          <w:szCs w:val="16"/>
          <w:highlight w:val="yellow"/>
        </w:rPr>
      </w:pPr>
    </w:p>
    <w:p w14:paraId="754DBA49" w14:textId="77777777" w:rsidR="008A4B8C" w:rsidRPr="006A67B4" w:rsidRDefault="008A4B8C" w:rsidP="00C02282">
      <w:pPr>
        <w:spacing w:after="0" w:line="240" w:lineRule="auto"/>
        <w:rPr>
          <w:rFonts w:ascii="Arial" w:eastAsia="Calibri" w:hAnsi="Arial" w:cs="Arial"/>
          <w:sz w:val="16"/>
          <w:szCs w:val="16"/>
          <w:highlight w:val="yellow"/>
        </w:rPr>
      </w:pPr>
    </w:p>
    <w:p w14:paraId="29184984" w14:textId="77777777" w:rsidR="00C02282" w:rsidRPr="00025183" w:rsidRDefault="00C02282" w:rsidP="007B6220">
      <w:pPr>
        <w:pStyle w:val="Ttulo2"/>
        <w:numPr>
          <w:ilvl w:val="1"/>
          <w:numId w:val="24"/>
        </w:numPr>
        <w:rPr>
          <w:rFonts w:ascii="Arial" w:eastAsia="Calibri" w:hAnsi="Arial" w:cs="Arial"/>
          <w:color w:val="auto"/>
          <w:sz w:val="22"/>
          <w:szCs w:val="22"/>
        </w:rPr>
      </w:pPr>
      <w:bookmarkStart w:id="294" w:name="_Toc525652090"/>
      <w:r w:rsidRPr="00025183">
        <w:rPr>
          <w:rFonts w:ascii="Arial" w:eastAsia="Calibri" w:hAnsi="Arial" w:cs="Arial"/>
          <w:color w:val="auto"/>
          <w:sz w:val="22"/>
          <w:szCs w:val="22"/>
        </w:rPr>
        <w:lastRenderedPageBreak/>
        <w:t>Composición del Presupuesto de Inversión de la UPME</w:t>
      </w:r>
      <w:bookmarkEnd w:id="294"/>
    </w:p>
    <w:p w14:paraId="3DCAF5D2" w14:textId="77777777" w:rsidR="008A4B8C" w:rsidRDefault="008A4B8C" w:rsidP="00025183">
      <w:pPr>
        <w:pStyle w:val="Prrafodelista"/>
        <w:spacing w:after="0" w:line="240" w:lineRule="auto"/>
        <w:ind w:left="420"/>
        <w:jc w:val="both"/>
        <w:rPr>
          <w:rFonts w:cs="Arial"/>
          <w:bCs/>
          <w:lang w:val="es-ES_tradnl"/>
        </w:rPr>
      </w:pPr>
    </w:p>
    <w:p w14:paraId="693ECB87" w14:textId="280E0B0F" w:rsidR="00025183" w:rsidRPr="00D156D5" w:rsidRDefault="00025183" w:rsidP="00025183">
      <w:pPr>
        <w:pStyle w:val="Prrafodelista"/>
        <w:spacing w:after="0" w:line="240" w:lineRule="auto"/>
        <w:ind w:left="420"/>
        <w:jc w:val="both"/>
        <w:rPr>
          <w:rFonts w:cs="Arial"/>
          <w:bCs/>
          <w:lang w:val="es-ES_tradnl"/>
        </w:rPr>
      </w:pPr>
      <w:r w:rsidRPr="00D156D5">
        <w:rPr>
          <w:rFonts w:cs="Arial"/>
          <w:bCs/>
          <w:lang w:val="es-ES_tradnl"/>
        </w:rPr>
        <w:t xml:space="preserve">En materia de </w:t>
      </w:r>
      <w:r w:rsidRPr="00D156D5">
        <w:rPr>
          <w:rFonts w:cs="Arial"/>
          <w:bCs/>
          <w:i/>
          <w:lang w:val="es-ES_tradnl"/>
        </w:rPr>
        <w:t xml:space="preserve">gastos de inversión </w:t>
      </w:r>
      <w:r w:rsidRPr="00D156D5">
        <w:rPr>
          <w:rFonts w:cs="Arial"/>
          <w:bCs/>
          <w:lang w:val="es-ES_tradnl"/>
        </w:rPr>
        <w:t>con corte al 30 de junio de 2018, la ejecución presupuestal de cada uno de los 6 proyectos de la UPME, es la siguiente:</w:t>
      </w:r>
    </w:p>
    <w:p w14:paraId="0E861805" w14:textId="77777777" w:rsidR="00C02282" w:rsidRPr="006A67B4" w:rsidRDefault="00C02282" w:rsidP="00C02282">
      <w:pPr>
        <w:spacing w:after="0" w:line="240" w:lineRule="auto"/>
        <w:jc w:val="center"/>
        <w:rPr>
          <w:rFonts w:ascii="Arial" w:hAnsi="Arial" w:cs="Arial"/>
          <w:b/>
          <w:sz w:val="20"/>
          <w:szCs w:val="20"/>
          <w:highlight w:val="yellow"/>
          <w:lang w:eastAsia="es-ES"/>
        </w:rPr>
      </w:pPr>
      <w:r w:rsidRPr="006A67B4">
        <w:rPr>
          <w:rFonts w:ascii="Arial" w:hAnsi="Arial" w:cs="Arial"/>
          <w:b/>
          <w:sz w:val="20"/>
          <w:szCs w:val="20"/>
          <w:highlight w:val="yellow"/>
          <w:lang w:eastAsia="es-ES"/>
        </w:rPr>
        <w:t xml:space="preserve"> </w:t>
      </w:r>
    </w:p>
    <w:p w14:paraId="4954303D" w14:textId="77777777" w:rsidR="00C02282" w:rsidRPr="00025183" w:rsidRDefault="00C02282" w:rsidP="00C02282">
      <w:pPr>
        <w:pStyle w:val="Descripcin"/>
        <w:keepNext/>
        <w:jc w:val="center"/>
      </w:pPr>
      <w:bookmarkStart w:id="295" w:name="_Toc525652572"/>
      <w:r w:rsidRPr="00025183">
        <w:t xml:space="preserve">Tabla </w:t>
      </w:r>
      <w:r w:rsidRPr="00025183">
        <w:fldChar w:fldCharType="begin"/>
      </w:r>
      <w:r w:rsidRPr="00025183">
        <w:instrText xml:space="preserve"> SEQ Tabla \* ARABIC </w:instrText>
      </w:r>
      <w:r w:rsidRPr="00025183">
        <w:fldChar w:fldCharType="separate"/>
      </w:r>
      <w:r w:rsidR="008B4625">
        <w:rPr>
          <w:noProof/>
        </w:rPr>
        <w:t>127</w:t>
      </w:r>
      <w:r w:rsidRPr="00025183">
        <w:fldChar w:fldCharType="end"/>
      </w:r>
      <w:r w:rsidRPr="00025183">
        <w:t xml:space="preserve"> Distribución Presupuesto de Inversión - vigencia 2018 UPME</w:t>
      </w:r>
      <w:bookmarkEnd w:id="295"/>
    </w:p>
    <w:tbl>
      <w:tblPr>
        <w:tblW w:w="9341" w:type="dxa"/>
        <w:jc w:val="center"/>
        <w:tblLayout w:type="fixed"/>
        <w:tblCellMar>
          <w:left w:w="70" w:type="dxa"/>
          <w:right w:w="70" w:type="dxa"/>
        </w:tblCellMar>
        <w:tblLook w:val="04A0" w:firstRow="1" w:lastRow="0" w:firstColumn="1" w:lastColumn="0" w:noHBand="0" w:noVBand="1"/>
      </w:tblPr>
      <w:tblGrid>
        <w:gridCol w:w="1261"/>
        <w:gridCol w:w="567"/>
        <w:gridCol w:w="2977"/>
        <w:gridCol w:w="1134"/>
        <w:gridCol w:w="1099"/>
        <w:gridCol w:w="670"/>
        <w:gridCol w:w="1066"/>
        <w:gridCol w:w="567"/>
      </w:tblGrid>
      <w:tr w:rsidR="00025183" w:rsidRPr="00D156D5" w14:paraId="63427EE2" w14:textId="77777777" w:rsidTr="00025183">
        <w:trPr>
          <w:trHeight w:val="330"/>
          <w:tblHeader/>
          <w:jc w:val="center"/>
        </w:trPr>
        <w:tc>
          <w:tcPr>
            <w:tcW w:w="1261" w:type="dxa"/>
            <w:vMerge w:val="restart"/>
            <w:tcBorders>
              <w:top w:val="single" w:sz="12" w:space="0" w:color="auto"/>
              <w:left w:val="single" w:sz="12" w:space="0" w:color="auto"/>
              <w:bottom w:val="single" w:sz="6" w:space="0" w:color="auto"/>
              <w:right w:val="single" w:sz="6" w:space="0" w:color="auto"/>
            </w:tcBorders>
            <w:shd w:val="clear" w:color="auto" w:fill="4F81BD" w:themeFill="accent1"/>
            <w:noWrap/>
            <w:vAlign w:val="center"/>
            <w:hideMark/>
          </w:tcPr>
          <w:p w14:paraId="35D246C1"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Rubro</w:t>
            </w:r>
          </w:p>
        </w:tc>
        <w:tc>
          <w:tcPr>
            <w:tcW w:w="567" w:type="dxa"/>
            <w:vMerge w:val="restart"/>
            <w:tcBorders>
              <w:top w:val="single" w:sz="12" w:space="0" w:color="auto"/>
              <w:left w:val="single" w:sz="6" w:space="0" w:color="auto"/>
              <w:bottom w:val="single" w:sz="6" w:space="0" w:color="auto"/>
              <w:right w:val="single" w:sz="6" w:space="0" w:color="auto"/>
            </w:tcBorders>
            <w:shd w:val="clear" w:color="auto" w:fill="4F81BD" w:themeFill="accent1"/>
            <w:noWrap/>
            <w:vAlign w:val="center"/>
            <w:hideMark/>
          </w:tcPr>
          <w:p w14:paraId="5EF117ED" w14:textId="77777777" w:rsidR="00025183" w:rsidRPr="00D156D5" w:rsidRDefault="00025183" w:rsidP="00025183">
            <w:pPr>
              <w:jc w:val="center"/>
              <w:rPr>
                <w:rFonts w:ascii="Arial" w:hAnsi="Arial" w:cs="Arial"/>
                <w:b/>
                <w:bCs/>
                <w:color w:val="000000"/>
                <w:sz w:val="16"/>
                <w:szCs w:val="16"/>
                <w:lang w:eastAsia="es-CO" w:bidi="he-IL"/>
              </w:rPr>
            </w:pPr>
            <w:proofErr w:type="spellStart"/>
            <w:r w:rsidRPr="00D156D5">
              <w:rPr>
                <w:rFonts w:ascii="Arial" w:hAnsi="Arial" w:cs="Arial"/>
                <w:b/>
                <w:bCs/>
                <w:color w:val="000000"/>
                <w:sz w:val="16"/>
                <w:szCs w:val="16"/>
                <w:lang w:eastAsia="es-CO" w:bidi="he-IL"/>
              </w:rPr>
              <w:t>Rec</w:t>
            </w:r>
            <w:proofErr w:type="spellEnd"/>
          </w:p>
        </w:tc>
        <w:tc>
          <w:tcPr>
            <w:tcW w:w="2977" w:type="dxa"/>
            <w:vMerge w:val="restart"/>
            <w:tcBorders>
              <w:top w:val="single" w:sz="12" w:space="0" w:color="auto"/>
              <w:left w:val="single" w:sz="6" w:space="0" w:color="auto"/>
              <w:bottom w:val="single" w:sz="6" w:space="0" w:color="auto"/>
              <w:right w:val="single" w:sz="6" w:space="0" w:color="auto"/>
            </w:tcBorders>
            <w:shd w:val="clear" w:color="auto" w:fill="4F81BD" w:themeFill="accent1"/>
            <w:noWrap/>
            <w:vAlign w:val="center"/>
            <w:hideMark/>
          </w:tcPr>
          <w:p w14:paraId="622FD9AE"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Descripción</w:t>
            </w:r>
          </w:p>
        </w:tc>
        <w:tc>
          <w:tcPr>
            <w:tcW w:w="1134" w:type="dxa"/>
            <w:vMerge w:val="restart"/>
            <w:tcBorders>
              <w:top w:val="single" w:sz="12" w:space="0" w:color="auto"/>
              <w:left w:val="single" w:sz="6" w:space="0" w:color="auto"/>
              <w:bottom w:val="single" w:sz="6" w:space="0" w:color="auto"/>
              <w:right w:val="single" w:sz="6" w:space="0" w:color="auto"/>
            </w:tcBorders>
            <w:shd w:val="clear" w:color="auto" w:fill="4F81BD" w:themeFill="accent1"/>
            <w:vAlign w:val="center"/>
            <w:hideMark/>
          </w:tcPr>
          <w:p w14:paraId="60BEC858"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Apropiación  Vigente</w:t>
            </w:r>
          </w:p>
        </w:tc>
        <w:tc>
          <w:tcPr>
            <w:tcW w:w="1769" w:type="dxa"/>
            <w:gridSpan w:val="2"/>
            <w:tcBorders>
              <w:top w:val="single" w:sz="12" w:space="0" w:color="auto"/>
              <w:left w:val="single" w:sz="6" w:space="0" w:color="auto"/>
              <w:bottom w:val="single" w:sz="6" w:space="0" w:color="auto"/>
              <w:right w:val="single" w:sz="6" w:space="0" w:color="auto"/>
            </w:tcBorders>
            <w:shd w:val="clear" w:color="auto" w:fill="4F81BD" w:themeFill="accent1"/>
            <w:noWrap/>
            <w:vAlign w:val="center"/>
            <w:hideMark/>
          </w:tcPr>
          <w:p w14:paraId="1218B389"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Compromisos</w:t>
            </w:r>
          </w:p>
        </w:tc>
        <w:tc>
          <w:tcPr>
            <w:tcW w:w="1633" w:type="dxa"/>
            <w:gridSpan w:val="2"/>
            <w:tcBorders>
              <w:top w:val="single" w:sz="12" w:space="0" w:color="auto"/>
              <w:left w:val="single" w:sz="6" w:space="0" w:color="auto"/>
              <w:bottom w:val="single" w:sz="6" w:space="0" w:color="auto"/>
              <w:right w:val="single" w:sz="12" w:space="0" w:color="auto"/>
            </w:tcBorders>
            <w:shd w:val="clear" w:color="auto" w:fill="4F81BD" w:themeFill="accent1"/>
            <w:noWrap/>
            <w:vAlign w:val="center"/>
            <w:hideMark/>
          </w:tcPr>
          <w:p w14:paraId="58AC40E5"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Obligaciones</w:t>
            </w:r>
          </w:p>
        </w:tc>
      </w:tr>
      <w:tr w:rsidR="00025183" w:rsidRPr="00D156D5" w14:paraId="235E448D" w14:textId="77777777" w:rsidTr="00025183">
        <w:trPr>
          <w:trHeight w:val="334"/>
          <w:tblHeader/>
          <w:jc w:val="center"/>
        </w:trPr>
        <w:tc>
          <w:tcPr>
            <w:tcW w:w="1261" w:type="dxa"/>
            <w:vMerge/>
            <w:tcBorders>
              <w:top w:val="single" w:sz="6" w:space="0" w:color="auto"/>
              <w:left w:val="single" w:sz="12" w:space="0" w:color="auto"/>
              <w:bottom w:val="single" w:sz="6" w:space="0" w:color="auto"/>
              <w:right w:val="single" w:sz="6" w:space="0" w:color="auto"/>
            </w:tcBorders>
            <w:shd w:val="clear" w:color="auto" w:fill="4F81BD" w:themeFill="accent1"/>
            <w:vAlign w:val="center"/>
            <w:hideMark/>
          </w:tcPr>
          <w:p w14:paraId="090AA14F" w14:textId="77777777" w:rsidR="00025183" w:rsidRPr="00D156D5" w:rsidRDefault="00025183" w:rsidP="00025183">
            <w:pPr>
              <w:rPr>
                <w:rFonts w:ascii="Arial" w:hAnsi="Arial" w:cs="Arial"/>
                <w:b/>
                <w:bCs/>
                <w:color w:val="000000"/>
                <w:sz w:val="16"/>
                <w:szCs w:val="16"/>
                <w:lang w:eastAsia="es-CO" w:bidi="he-IL"/>
              </w:rPr>
            </w:pPr>
          </w:p>
        </w:tc>
        <w:tc>
          <w:tcPr>
            <w:tcW w:w="567" w:type="dxa"/>
            <w:vMerge/>
            <w:tcBorders>
              <w:top w:val="single" w:sz="6" w:space="0" w:color="auto"/>
              <w:left w:val="single" w:sz="6" w:space="0" w:color="auto"/>
              <w:bottom w:val="single" w:sz="6" w:space="0" w:color="auto"/>
              <w:right w:val="single" w:sz="6" w:space="0" w:color="auto"/>
            </w:tcBorders>
            <w:shd w:val="clear" w:color="auto" w:fill="4F81BD" w:themeFill="accent1"/>
            <w:vAlign w:val="center"/>
            <w:hideMark/>
          </w:tcPr>
          <w:p w14:paraId="77DB1B2D" w14:textId="77777777" w:rsidR="00025183" w:rsidRPr="00D156D5" w:rsidRDefault="00025183" w:rsidP="00025183">
            <w:pPr>
              <w:rPr>
                <w:rFonts w:ascii="Arial" w:hAnsi="Arial" w:cs="Arial"/>
                <w:b/>
                <w:bCs/>
                <w:color w:val="000000"/>
                <w:sz w:val="16"/>
                <w:szCs w:val="16"/>
                <w:lang w:eastAsia="es-CO" w:bidi="he-IL"/>
              </w:rPr>
            </w:pPr>
          </w:p>
        </w:tc>
        <w:tc>
          <w:tcPr>
            <w:tcW w:w="2977" w:type="dxa"/>
            <w:vMerge/>
            <w:tcBorders>
              <w:top w:val="single" w:sz="6" w:space="0" w:color="auto"/>
              <w:left w:val="single" w:sz="6" w:space="0" w:color="auto"/>
              <w:bottom w:val="single" w:sz="6" w:space="0" w:color="auto"/>
              <w:right w:val="single" w:sz="6" w:space="0" w:color="auto"/>
            </w:tcBorders>
            <w:shd w:val="clear" w:color="auto" w:fill="4F81BD" w:themeFill="accent1"/>
            <w:vAlign w:val="center"/>
            <w:hideMark/>
          </w:tcPr>
          <w:p w14:paraId="2BAE987E" w14:textId="77777777" w:rsidR="00025183" w:rsidRPr="00D156D5" w:rsidRDefault="00025183" w:rsidP="00025183">
            <w:pPr>
              <w:jc w:val="both"/>
              <w:rPr>
                <w:rFonts w:ascii="Arial" w:hAnsi="Arial" w:cs="Arial"/>
                <w:b/>
                <w:bCs/>
                <w:color w:val="000000"/>
                <w:sz w:val="16"/>
                <w:szCs w:val="16"/>
                <w:lang w:eastAsia="es-CO" w:bidi="he-IL"/>
              </w:rPr>
            </w:pPr>
          </w:p>
        </w:tc>
        <w:tc>
          <w:tcPr>
            <w:tcW w:w="1134" w:type="dxa"/>
            <w:vMerge/>
            <w:tcBorders>
              <w:top w:val="single" w:sz="6" w:space="0" w:color="auto"/>
              <w:left w:val="single" w:sz="6" w:space="0" w:color="auto"/>
              <w:bottom w:val="single" w:sz="6" w:space="0" w:color="auto"/>
              <w:right w:val="single" w:sz="6" w:space="0" w:color="auto"/>
            </w:tcBorders>
            <w:shd w:val="clear" w:color="auto" w:fill="4F81BD" w:themeFill="accent1"/>
            <w:vAlign w:val="center"/>
            <w:hideMark/>
          </w:tcPr>
          <w:p w14:paraId="641CD916" w14:textId="77777777" w:rsidR="00025183" w:rsidRPr="00D156D5" w:rsidRDefault="00025183" w:rsidP="00025183">
            <w:pPr>
              <w:rPr>
                <w:rFonts w:ascii="Arial" w:hAnsi="Arial" w:cs="Arial"/>
                <w:b/>
                <w:bCs/>
                <w:color w:val="000000"/>
                <w:sz w:val="16"/>
                <w:szCs w:val="16"/>
                <w:lang w:eastAsia="es-CO" w:bidi="he-IL"/>
              </w:rPr>
            </w:pPr>
          </w:p>
        </w:tc>
        <w:tc>
          <w:tcPr>
            <w:tcW w:w="1099"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hideMark/>
          </w:tcPr>
          <w:p w14:paraId="41C10D7D"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Valor</w:t>
            </w:r>
          </w:p>
        </w:tc>
        <w:tc>
          <w:tcPr>
            <w:tcW w:w="670"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hideMark/>
          </w:tcPr>
          <w:p w14:paraId="262F4EDA"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w:t>
            </w:r>
          </w:p>
        </w:tc>
        <w:tc>
          <w:tcPr>
            <w:tcW w:w="1066"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hideMark/>
          </w:tcPr>
          <w:p w14:paraId="7FF0BDE2"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Valor</w:t>
            </w:r>
          </w:p>
        </w:tc>
        <w:tc>
          <w:tcPr>
            <w:tcW w:w="567" w:type="dxa"/>
            <w:tcBorders>
              <w:top w:val="single" w:sz="6" w:space="0" w:color="auto"/>
              <w:left w:val="single" w:sz="6" w:space="0" w:color="auto"/>
              <w:bottom w:val="single" w:sz="6" w:space="0" w:color="auto"/>
              <w:right w:val="single" w:sz="12" w:space="0" w:color="auto"/>
            </w:tcBorders>
            <w:shd w:val="clear" w:color="auto" w:fill="4F81BD" w:themeFill="accent1"/>
            <w:noWrap/>
            <w:vAlign w:val="center"/>
            <w:hideMark/>
          </w:tcPr>
          <w:p w14:paraId="51B18C40"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w:t>
            </w:r>
          </w:p>
        </w:tc>
      </w:tr>
      <w:tr w:rsidR="00025183" w:rsidRPr="00D156D5" w14:paraId="162AB3E2" w14:textId="77777777" w:rsidTr="00025183">
        <w:trPr>
          <w:trHeight w:val="345"/>
          <w:jc w:val="center"/>
        </w:trPr>
        <w:tc>
          <w:tcPr>
            <w:tcW w:w="1261"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72788BC5"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 </w:t>
            </w:r>
          </w:p>
        </w:tc>
        <w:tc>
          <w:tcPr>
            <w:tcW w:w="567"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1596E766"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 </w:t>
            </w:r>
          </w:p>
        </w:tc>
        <w:tc>
          <w:tcPr>
            <w:tcW w:w="2977"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937FE02" w14:textId="77777777" w:rsidR="00025183" w:rsidRPr="00D156D5" w:rsidRDefault="00025183" w:rsidP="00025183">
            <w:pPr>
              <w:jc w:val="center"/>
              <w:rPr>
                <w:rFonts w:ascii="Arial" w:hAnsi="Arial" w:cs="Arial"/>
                <w:b/>
                <w:bCs/>
                <w:color w:val="000000"/>
                <w:sz w:val="2"/>
                <w:szCs w:val="2"/>
                <w:lang w:eastAsia="es-CO" w:bidi="he-IL"/>
              </w:rPr>
            </w:pPr>
          </w:p>
          <w:p w14:paraId="54187748"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INVERSIÓN</w:t>
            </w:r>
          </w:p>
        </w:tc>
        <w:tc>
          <w:tcPr>
            <w:tcW w:w="1134"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49A4D5DB" w14:textId="77777777" w:rsidR="00025183" w:rsidRPr="00D156D5" w:rsidRDefault="00025183" w:rsidP="00025183">
            <w:pPr>
              <w:jc w:val="right"/>
              <w:rPr>
                <w:rFonts w:ascii="Arial" w:hAnsi="Arial" w:cs="Arial"/>
                <w:b/>
                <w:bCs/>
                <w:color w:val="000000"/>
                <w:sz w:val="2"/>
                <w:szCs w:val="2"/>
                <w:lang w:eastAsia="es-CO" w:bidi="he-IL"/>
              </w:rPr>
            </w:pPr>
          </w:p>
          <w:p w14:paraId="53ACFE16" w14:textId="77777777" w:rsidR="00025183" w:rsidRPr="00D156D5" w:rsidRDefault="00025183" w:rsidP="00025183">
            <w:pPr>
              <w:jc w:val="right"/>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$19.271,9</w:t>
            </w:r>
          </w:p>
        </w:tc>
        <w:tc>
          <w:tcPr>
            <w:tcW w:w="109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2E9C6F6E" w14:textId="77777777" w:rsidR="00025183" w:rsidRPr="00D156D5" w:rsidRDefault="00025183" w:rsidP="00025183">
            <w:pPr>
              <w:jc w:val="right"/>
              <w:rPr>
                <w:rFonts w:ascii="Arial" w:hAnsi="Arial" w:cs="Arial"/>
                <w:b/>
                <w:bCs/>
                <w:color w:val="000000"/>
                <w:sz w:val="2"/>
                <w:szCs w:val="2"/>
                <w:lang w:eastAsia="es-CO" w:bidi="he-IL"/>
              </w:rPr>
            </w:pPr>
          </w:p>
          <w:p w14:paraId="426B95D8" w14:textId="77777777" w:rsidR="00025183" w:rsidRPr="00D156D5" w:rsidRDefault="00025183" w:rsidP="00025183">
            <w:pPr>
              <w:jc w:val="right"/>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$4.721,3</w:t>
            </w:r>
          </w:p>
        </w:tc>
        <w:tc>
          <w:tcPr>
            <w:tcW w:w="670"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46052DD" w14:textId="77777777" w:rsidR="00025183" w:rsidRPr="00D156D5" w:rsidRDefault="00025183" w:rsidP="00025183">
            <w:pPr>
              <w:jc w:val="right"/>
              <w:rPr>
                <w:rFonts w:ascii="Arial" w:hAnsi="Arial" w:cs="Arial"/>
                <w:b/>
                <w:bCs/>
                <w:color w:val="000000"/>
                <w:sz w:val="2"/>
                <w:szCs w:val="2"/>
                <w:lang w:eastAsia="es-CO" w:bidi="he-IL"/>
              </w:rPr>
            </w:pPr>
          </w:p>
          <w:p w14:paraId="6E57C87E" w14:textId="77777777" w:rsidR="00025183" w:rsidRPr="00D156D5" w:rsidRDefault="00025183" w:rsidP="00025183">
            <w:pPr>
              <w:jc w:val="right"/>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24%</w:t>
            </w:r>
          </w:p>
        </w:tc>
        <w:tc>
          <w:tcPr>
            <w:tcW w:w="1066"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38B36C4E" w14:textId="77777777" w:rsidR="00025183" w:rsidRPr="00D156D5" w:rsidRDefault="00025183" w:rsidP="00025183">
            <w:pPr>
              <w:jc w:val="right"/>
              <w:rPr>
                <w:rFonts w:ascii="Arial" w:hAnsi="Arial" w:cs="Arial"/>
                <w:b/>
                <w:bCs/>
                <w:color w:val="000000"/>
                <w:sz w:val="2"/>
                <w:szCs w:val="2"/>
                <w:lang w:eastAsia="es-CO" w:bidi="he-IL"/>
              </w:rPr>
            </w:pPr>
          </w:p>
          <w:p w14:paraId="564EC0C7" w14:textId="77777777" w:rsidR="00025183" w:rsidRPr="00D156D5" w:rsidRDefault="00025183" w:rsidP="00025183">
            <w:pPr>
              <w:jc w:val="right"/>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$1.731,6</w:t>
            </w:r>
          </w:p>
        </w:tc>
        <w:tc>
          <w:tcPr>
            <w:tcW w:w="567"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26468755" w14:textId="77777777" w:rsidR="00025183" w:rsidRPr="00D156D5" w:rsidRDefault="00025183" w:rsidP="00025183">
            <w:pPr>
              <w:jc w:val="center"/>
              <w:rPr>
                <w:rFonts w:ascii="Arial" w:hAnsi="Arial" w:cs="Arial"/>
                <w:b/>
                <w:bCs/>
                <w:color w:val="000000"/>
                <w:sz w:val="2"/>
                <w:szCs w:val="2"/>
                <w:lang w:eastAsia="es-CO" w:bidi="he-IL"/>
              </w:rPr>
            </w:pPr>
          </w:p>
          <w:p w14:paraId="7AC29713" w14:textId="77777777" w:rsidR="00025183" w:rsidRPr="00D156D5" w:rsidRDefault="00025183" w:rsidP="00025183">
            <w:pPr>
              <w:jc w:val="center"/>
              <w:rPr>
                <w:rFonts w:ascii="Arial" w:hAnsi="Arial" w:cs="Arial"/>
                <w:b/>
                <w:bCs/>
                <w:color w:val="000000"/>
                <w:sz w:val="16"/>
                <w:szCs w:val="16"/>
                <w:lang w:eastAsia="es-CO" w:bidi="he-IL"/>
              </w:rPr>
            </w:pPr>
            <w:r w:rsidRPr="00D156D5">
              <w:rPr>
                <w:rFonts w:ascii="Arial" w:hAnsi="Arial" w:cs="Arial"/>
                <w:b/>
                <w:bCs/>
                <w:color w:val="000000"/>
                <w:sz w:val="16"/>
                <w:szCs w:val="16"/>
                <w:lang w:eastAsia="es-CO" w:bidi="he-IL"/>
              </w:rPr>
              <w:t>9%</w:t>
            </w:r>
          </w:p>
        </w:tc>
      </w:tr>
      <w:tr w:rsidR="00025183" w:rsidRPr="00D156D5" w14:paraId="4B2B9743" w14:textId="77777777" w:rsidTr="00025183">
        <w:trPr>
          <w:trHeight w:val="690"/>
          <w:jc w:val="center"/>
        </w:trPr>
        <w:tc>
          <w:tcPr>
            <w:tcW w:w="1261"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F43A1DD" w14:textId="77777777" w:rsidR="00025183" w:rsidRPr="00D156D5" w:rsidRDefault="00025183" w:rsidP="00025183">
            <w:pPr>
              <w:jc w:val="center"/>
              <w:rPr>
                <w:rFonts w:ascii="Arial" w:hAnsi="Arial" w:cs="Arial"/>
                <w:b/>
                <w:color w:val="000000"/>
                <w:sz w:val="16"/>
                <w:szCs w:val="16"/>
                <w:u w:val="single"/>
                <w:lang w:eastAsia="es-CO" w:bidi="he-IL"/>
              </w:rPr>
            </w:pPr>
            <w:r w:rsidRPr="00D156D5">
              <w:rPr>
                <w:rFonts w:ascii="Arial" w:hAnsi="Arial" w:cs="Arial"/>
                <w:b/>
                <w:color w:val="000000"/>
                <w:sz w:val="16"/>
                <w:szCs w:val="16"/>
                <w:u w:val="single"/>
                <w:lang w:eastAsia="es-CO" w:bidi="he-IL"/>
              </w:rPr>
              <w:t>Proyecto 1</w:t>
            </w:r>
          </w:p>
          <w:p w14:paraId="60A5A766"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C-2102-1900-1</w:t>
            </w:r>
          </w:p>
        </w:tc>
        <w:tc>
          <w:tcPr>
            <w:tcW w:w="56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E13E785"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c>
          <w:tcPr>
            <w:tcW w:w="2977"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6CA5AFA2"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ARTICULACION DE ACCIONES PARA LA EXPANSION DEL SUBSECTOR ELÉCTRICO A NIVEL NACIONAL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B4FBD48"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$1.847,9</w:t>
            </w:r>
          </w:p>
        </w:tc>
        <w:tc>
          <w:tcPr>
            <w:tcW w:w="109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D1D4E7F"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$815,7</w:t>
            </w:r>
          </w:p>
        </w:tc>
        <w:tc>
          <w:tcPr>
            <w:tcW w:w="670"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85921B9"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44%</w:t>
            </w:r>
          </w:p>
        </w:tc>
        <w:tc>
          <w:tcPr>
            <w:tcW w:w="1066"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6E6F89E6"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$376,4</w:t>
            </w:r>
          </w:p>
        </w:tc>
        <w:tc>
          <w:tcPr>
            <w:tcW w:w="567"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80A38A3"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r>
      <w:tr w:rsidR="00025183" w:rsidRPr="00D156D5" w14:paraId="1EF5A8F1" w14:textId="77777777" w:rsidTr="00025183">
        <w:trPr>
          <w:trHeight w:val="1320"/>
          <w:jc w:val="center"/>
        </w:trPr>
        <w:tc>
          <w:tcPr>
            <w:tcW w:w="1261"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256BB35" w14:textId="77777777" w:rsidR="00025183" w:rsidRPr="00D156D5" w:rsidRDefault="00025183" w:rsidP="00025183">
            <w:pPr>
              <w:jc w:val="center"/>
              <w:rPr>
                <w:rFonts w:ascii="Arial" w:hAnsi="Arial" w:cs="Arial"/>
                <w:b/>
                <w:color w:val="000000"/>
                <w:sz w:val="16"/>
                <w:szCs w:val="16"/>
                <w:u w:val="single"/>
                <w:lang w:eastAsia="es-CO" w:bidi="he-IL"/>
              </w:rPr>
            </w:pPr>
            <w:r w:rsidRPr="00D156D5">
              <w:rPr>
                <w:rFonts w:ascii="Arial" w:hAnsi="Arial" w:cs="Arial"/>
                <w:b/>
                <w:color w:val="000000"/>
                <w:sz w:val="16"/>
                <w:szCs w:val="16"/>
                <w:u w:val="single"/>
                <w:lang w:eastAsia="es-CO" w:bidi="he-IL"/>
              </w:rPr>
              <w:t>Proyecto 2</w:t>
            </w:r>
          </w:p>
          <w:p w14:paraId="3458C03D"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C-2105-1900-1</w:t>
            </w:r>
          </w:p>
        </w:tc>
        <w:tc>
          <w:tcPr>
            <w:tcW w:w="56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BD3B1C9"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c>
          <w:tcPr>
            <w:tcW w:w="2977"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13584CC1"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DESARROLLO DE ELEMENTOS PARA INTEGRACION DE LA DIMENSION AMBIENTAL Y SOCIAL EN LA PLANEACION DEL SECTOR MINERO ENERGÉTICO A NIVEL NACIONAL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3D854EB2"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$2.444,0</w:t>
            </w:r>
          </w:p>
        </w:tc>
        <w:tc>
          <w:tcPr>
            <w:tcW w:w="109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3E28E08D"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$312,8</w:t>
            </w:r>
          </w:p>
        </w:tc>
        <w:tc>
          <w:tcPr>
            <w:tcW w:w="670"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13B4B8D"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13%</w:t>
            </w:r>
          </w:p>
        </w:tc>
        <w:tc>
          <w:tcPr>
            <w:tcW w:w="1066"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ACE4142"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$0   </w:t>
            </w:r>
          </w:p>
        </w:tc>
        <w:tc>
          <w:tcPr>
            <w:tcW w:w="567"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75AA3D11"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0%</w:t>
            </w:r>
          </w:p>
        </w:tc>
      </w:tr>
      <w:tr w:rsidR="00025183" w:rsidRPr="00D156D5" w14:paraId="15AAFFBA" w14:textId="77777777" w:rsidTr="00025183">
        <w:trPr>
          <w:trHeight w:val="660"/>
          <w:jc w:val="center"/>
        </w:trPr>
        <w:tc>
          <w:tcPr>
            <w:tcW w:w="1261" w:type="dxa"/>
            <w:tcBorders>
              <w:top w:val="single" w:sz="12" w:space="0" w:color="auto"/>
              <w:left w:val="single" w:sz="12" w:space="0" w:color="auto"/>
              <w:bottom w:val="single" w:sz="6" w:space="0" w:color="auto"/>
              <w:right w:val="single" w:sz="6" w:space="0" w:color="auto"/>
            </w:tcBorders>
            <w:shd w:val="clear" w:color="auto" w:fill="auto"/>
            <w:noWrap/>
            <w:vAlign w:val="center"/>
            <w:hideMark/>
          </w:tcPr>
          <w:p w14:paraId="515EF174" w14:textId="77777777" w:rsidR="00025183" w:rsidRPr="00D156D5" w:rsidRDefault="00025183" w:rsidP="00025183">
            <w:pPr>
              <w:jc w:val="center"/>
              <w:rPr>
                <w:rFonts w:ascii="Arial" w:hAnsi="Arial" w:cs="Arial"/>
                <w:b/>
                <w:color w:val="000000"/>
                <w:sz w:val="16"/>
                <w:szCs w:val="16"/>
                <w:u w:val="single"/>
                <w:lang w:eastAsia="es-CO" w:bidi="he-IL"/>
              </w:rPr>
            </w:pPr>
            <w:r w:rsidRPr="00D156D5">
              <w:rPr>
                <w:rFonts w:ascii="Arial" w:hAnsi="Arial" w:cs="Arial"/>
                <w:b/>
                <w:color w:val="000000"/>
                <w:sz w:val="16"/>
                <w:szCs w:val="16"/>
                <w:u w:val="single"/>
                <w:lang w:eastAsia="es-CO" w:bidi="he-IL"/>
              </w:rPr>
              <w:t>Proyecto 3</w:t>
            </w:r>
          </w:p>
          <w:p w14:paraId="4261C90E"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C-2106-1900-1</w:t>
            </w:r>
          </w:p>
        </w:tc>
        <w:tc>
          <w:tcPr>
            <w:tcW w:w="567" w:type="dxa"/>
            <w:vMerge w:val="restart"/>
            <w:tcBorders>
              <w:top w:val="single" w:sz="12" w:space="0" w:color="auto"/>
              <w:left w:val="single" w:sz="6" w:space="0" w:color="auto"/>
              <w:right w:val="single" w:sz="6" w:space="0" w:color="auto"/>
            </w:tcBorders>
            <w:shd w:val="clear" w:color="auto" w:fill="auto"/>
            <w:noWrap/>
            <w:vAlign w:val="center"/>
            <w:hideMark/>
          </w:tcPr>
          <w:p w14:paraId="3C6AF6BA"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c>
          <w:tcPr>
            <w:tcW w:w="2977" w:type="dxa"/>
            <w:tcBorders>
              <w:top w:val="single" w:sz="12" w:space="0" w:color="auto"/>
              <w:left w:val="single" w:sz="6" w:space="0" w:color="auto"/>
              <w:bottom w:val="single" w:sz="6" w:space="0" w:color="auto"/>
              <w:right w:val="single" w:sz="6" w:space="0" w:color="auto"/>
            </w:tcBorders>
            <w:shd w:val="clear" w:color="auto" w:fill="auto"/>
            <w:vAlign w:val="center"/>
            <w:hideMark/>
          </w:tcPr>
          <w:p w14:paraId="6E8812D6"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PLANEACIÓN INTEGRAL DEL SECTOR MINERO ENERGÉTICO A NIVEL NACIONAL</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54790B4"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$7.455,0</w:t>
            </w:r>
          </w:p>
        </w:tc>
        <w:tc>
          <w:tcPr>
            <w:tcW w:w="109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5587380F"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$714,6</w:t>
            </w:r>
          </w:p>
        </w:tc>
        <w:tc>
          <w:tcPr>
            <w:tcW w:w="670"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3F7E7C3A"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10%</w:t>
            </w:r>
          </w:p>
        </w:tc>
        <w:tc>
          <w:tcPr>
            <w:tcW w:w="1066"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14:paraId="7270A2AC"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$267,5</w:t>
            </w:r>
          </w:p>
        </w:tc>
        <w:tc>
          <w:tcPr>
            <w:tcW w:w="567" w:type="dxa"/>
            <w:tcBorders>
              <w:top w:val="single" w:sz="12" w:space="0" w:color="auto"/>
              <w:left w:val="single" w:sz="6" w:space="0" w:color="auto"/>
              <w:bottom w:val="single" w:sz="6" w:space="0" w:color="auto"/>
              <w:right w:val="single" w:sz="12" w:space="0" w:color="auto"/>
            </w:tcBorders>
            <w:shd w:val="clear" w:color="auto" w:fill="auto"/>
            <w:noWrap/>
            <w:vAlign w:val="center"/>
            <w:hideMark/>
          </w:tcPr>
          <w:p w14:paraId="661D8603"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4%</w:t>
            </w:r>
          </w:p>
        </w:tc>
      </w:tr>
      <w:tr w:rsidR="00025183" w:rsidRPr="00D156D5" w14:paraId="374557B3" w14:textId="77777777" w:rsidTr="00025183">
        <w:trPr>
          <w:trHeight w:val="990"/>
          <w:jc w:val="center"/>
        </w:trPr>
        <w:tc>
          <w:tcPr>
            <w:tcW w:w="1261"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5C2145DB"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C-2106-1900-2</w:t>
            </w:r>
          </w:p>
        </w:tc>
        <w:tc>
          <w:tcPr>
            <w:tcW w:w="567" w:type="dxa"/>
            <w:vMerge/>
            <w:tcBorders>
              <w:left w:val="single" w:sz="6" w:space="0" w:color="auto"/>
              <w:bottom w:val="single" w:sz="6" w:space="0" w:color="auto"/>
              <w:right w:val="single" w:sz="6" w:space="0" w:color="auto"/>
            </w:tcBorders>
            <w:shd w:val="clear" w:color="auto" w:fill="auto"/>
            <w:noWrap/>
            <w:vAlign w:val="center"/>
            <w:hideMark/>
          </w:tcPr>
          <w:p w14:paraId="0381C0BF" w14:textId="77777777" w:rsidR="00025183" w:rsidRPr="00D156D5" w:rsidRDefault="00025183" w:rsidP="00025183">
            <w:pPr>
              <w:jc w:val="center"/>
              <w:rPr>
                <w:rFonts w:ascii="Arial" w:hAnsi="Arial" w:cs="Arial"/>
                <w:color w:val="000000"/>
                <w:sz w:val="16"/>
                <w:szCs w:val="16"/>
                <w:lang w:eastAsia="es-CO" w:bidi="he-IL"/>
              </w:rPr>
            </w:pPr>
          </w:p>
        </w:tc>
        <w:tc>
          <w:tcPr>
            <w:tcW w:w="297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C1F3A"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ASESORIA PARA LA INVESTIGACIÓN Y LA PROYECCIÓN INTEGRADA DE DEMANDA MINERO ENERGÉTICA</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D6C49E"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$1.644,0</w:t>
            </w:r>
          </w:p>
        </w:tc>
        <w:tc>
          <w:tcPr>
            <w:tcW w:w="109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41C55B"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$1.024,7</w:t>
            </w:r>
          </w:p>
        </w:tc>
        <w:tc>
          <w:tcPr>
            <w:tcW w:w="67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3CF361"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62%</w:t>
            </w:r>
          </w:p>
        </w:tc>
        <w:tc>
          <w:tcPr>
            <w:tcW w:w="106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517002"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$350,5</w:t>
            </w:r>
          </w:p>
        </w:tc>
        <w:tc>
          <w:tcPr>
            <w:tcW w:w="567"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7842D72A"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21%</w:t>
            </w:r>
          </w:p>
        </w:tc>
      </w:tr>
      <w:tr w:rsidR="00025183" w:rsidRPr="00D156D5" w14:paraId="4D451E23" w14:textId="77777777" w:rsidTr="00025183">
        <w:trPr>
          <w:trHeight w:val="990"/>
          <w:jc w:val="center"/>
        </w:trPr>
        <w:tc>
          <w:tcPr>
            <w:tcW w:w="1261" w:type="dxa"/>
            <w:tcBorders>
              <w:top w:val="single" w:sz="6" w:space="0" w:color="auto"/>
              <w:left w:val="single" w:sz="12" w:space="0" w:color="auto"/>
              <w:bottom w:val="single" w:sz="12" w:space="0" w:color="auto"/>
              <w:right w:val="single" w:sz="6" w:space="0" w:color="auto"/>
            </w:tcBorders>
            <w:shd w:val="clear" w:color="auto" w:fill="auto"/>
            <w:noWrap/>
            <w:vAlign w:val="center"/>
            <w:hideMark/>
          </w:tcPr>
          <w:p w14:paraId="7A424803"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C-2106-1900-2</w:t>
            </w:r>
          </w:p>
        </w:tc>
        <w:tc>
          <w:tcPr>
            <w:tcW w:w="567"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5BD1A10F"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21</w:t>
            </w:r>
          </w:p>
        </w:tc>
        <w:tc>
          <w:tcPr>
            <w:tcW w:w="2977" w:type="dxa"/>
            <w:tcBorders>
              <w:top w:val="single" w:sz="6" w:space="0" w:color="auto"/>
              <w:left w:val="single" w:sz="6" w:space="0" w:color="auto"/>
              <w:bottom w:val="single" w:sz="12" w:space="0" w:color="auto"/>
              <w:right w:val="single" w:sz="6" w:space="0" w:color="auto"/>
            </w:tcBorders>
            <w:shd w:val="clear" w:color="auto" w:fill="auto"/>
            <w:vAlign w:val="center"/>
            <w:hideMark/>
          </w:tcPr>
          <w:p w14:paraId="141CB3F6"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ASESORIA PARA LA INVESTIGACIÓN Y LA PROYECCIÓN INTEGRADA DE DEMANDA MINERO ENERGÉTICA</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2C30B358"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$1.612,0</w:t>
            </w:r>
          </w:p>
        </w:tc>
        <w:tc>
          <w:tcPr>
            <w:tcW w:w="1099"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635CFBAD"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$766,9</w:t>
            </w:r>
          </w:p>
        </w:tc>
        <w:tc>
          <w:tcPr>
            <w:tcW w:w="670"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01300B58"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48%</w:t>
            </w:r>
          </w:p>
        </w:tc>
        <w:tc>
          <w:tcPr>
            <w:tcW w:w="1066" w:type="dxa"/>
            <w:tcBorders>
              <w:top w:val="single" w:sz="6" w:space="0" w:color="auto"/>
              <w:left w:val="single" w:sz="6" w:space="0" w:color="auto"/>
              <w:bottom w:val="single" w:sz="12" w:space="0" w:color="auto"/>
              <w:right w:val="single" w:sz="6" w:space="0" w:color="auto"/>
            </w:tcBorders>
            <w:shd w:val="clear" w:color="auto" w:fill="auto"/>
            <w:noWrap/>
            <w:vAlign w:val="center"/>
            <w:hideMark/>
          </w:tcPr>
          <w:p w14:paraId="2B2FED3C"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$266,2</w:t>
            </w:r>
          </w:p>
        </w:tc>
        <w:tc>
          <w:tcPr>
            <w:tcW w:w="567" w:type="dxa"/>
            <w:tcBorders>
              <w:top w:val="single" w:sz="6" w:space="0" w:color="auto"/>
              <w:left w:val="single" w:sz="6" w:space="0" w:color="auto"/>
              <w:bottom w:val="single" w:sz="12" w:space="0" w:color="auto"/>
              <w:right w:val="single" w:sz="12" w:space="0" w:color="auto"/>
            </w:tcBorders>
            <w:shd w:val="clear" w:color="auto" w:fill="auto"/>
            <w:noWrap/>
            <w:vAlign w:val="center"/>
            <w:hideMark/>
          </w:tcPr>
          <w:p w14:paraId="68ACEE76"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17%</w:t>
            </w:r>
          </w:p>
        </w:tc>
      </w:tr>
      <w:tr w:rsidR="00025183" w:rsidRPr="00D156D5" w14:paraId="03CF7F51" w14:textId="77777777" w:rsidTr="00025183">
        <w:trPr>
          <w:trHeight w:val="660"/>
          <w:jc w:val="center"/>
        </w:trPr>
        <w:tc>
          <w:tcPr>
            <w:tcW w:w="1261"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FA21135" w14:textId="77777777" w:rsidR="00025183" w:rsidRPr="00D156D5" w:rsidRDefault="00025183" w:rsidP="00025183">
            <w:pPr>
              <w:jc w:val="center"/>
              <w:rPr>
                <w:rFonts w:ascii="Arial" w:hAnsi="Arial" w:cs="Arial"/>
                <w:b/>
                <w:color w:val="000000"/>
                <w:sz w:val="16"/>
                <w:szCs w:val="16"/>
                <w:u w:val="single"/>
                <w:lang w:eastAsia="es-CO" w:bidi="he-IL"/>
              </w:rPr>
            </w:pPr>
            <w:r w:rsidRPr="00D156D5">
              <w:rPr>
                <w:rFonts w:ascii="Arial" w:hAnsi="Arial" w:cs="Arial"/>
                <w:b/>
                <w:color w:val="000000"/>
                <w:sz w:val="16"/>
                <w:szCs w:val="16"/>
                <w:u w:val="single"/>
                <w:lang w:eastAsia="es-CO" w:bidi="he-IL"/>
              </w:rPr>
              <w:t>Proyecto 4</w:t>
            </w:r>
          </w:p>
          <w:p w14:paraId="377B1F0E"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C-2199-1900-1</w:t>
            </w:r>
          </w:p>
        </w:tc>
        <w:tc>
          <w:tcPr>
            <w:tcW w:w="56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09633F38"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c>
          <w:tcPr>
            <w:tcW w:w="2977"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3F7D06BC"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GESTIÓN DEL CONOCIMIENTO APLICADO A LA UNIDAD DE PLANEACIÓN MINEROENERGÉTICO</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3A782766"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$530,0</w:t>
            </w:r>
          </w:p>
        </w:tc>
        <w:tc>
          <w:tcPr>
            <w:tcW w:w="109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E8C4A60"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$210,9</w:t>
            </w:r>
          </w:p>
        </w:tc>
        <w:tc>
          <w:tcPr>
            <w:tcW w:w="670"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70E01F1"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40%</w:t>
            </w:r>
          </w:p>
        </w:tc>
        <w:tc>
          <w:tcPr>
            <w:tcW w:w="1066"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F6D55D0"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$44,1</w:t>
            </w:r>
          </w:p>
        </w:tc>
        <w:tc>
          <w:tcPr>
            <w:tcW w:w="567"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081EF8B"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8%</w:t>
            </w:r>
          </w:p>
        </w:tc>
      </w:tr>
      <w:tr w:rsidR="00025183" w:rsidRPr="00D156D5" w14:paraId="0DCA6D51" w14:textId="77777777" w:rsidTr="00025183">
        <w:trPr>
          <w:trHeight w:val="660"/>
          <w:jc w:val="center"/>
        </w:trPr>
        <w:tc>
          <w:tcPr>
            <w:tcW w:w="1261"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53F568" w14:textId="77777777" w:rsidR="00025183" w:rsidRPr="00D156D5" w:rsidRDefault="00025183" w:rsidP="00025183">
            <w:pPr>
              <w:jc w:val="center"/>
              <w:rPr>
                <w:rFonts w:ascii="Arial" w:hAnsi="Arial" w:cs="Arial"/>
                <w:b/>
                <w:color w:val="000000"/>
                <w:sz w:val="16"/>
                <w:szCs w:val="16"/>
                <w:u w:val="single"/>
                <w:lang w:eastAsia="es-CO" w:bidi="he-IL"/>
              </w:rPr>
            </w:pPr>
            <w:r w:rsidRPr="00D156D5">
              <w:rPr>
                <w:rFonts w:ascii="Arial" w:hAnsi="Arial" w:cs="Arial"/>
                <w:b/>
                <w:color w:val="000000"/>
                <w:sz w:val="16"/>
                <w:szCs w:val="16"/>
                <w:u w:val="single"/>
                <w:lang w:eastAsia="es-CO" w:bidi="he-IL"/>
              </w:rPr>
              <w:t>Proyecto 5</w:t>
            </w:r>
          </w:p>
          <w:p w14:paraId="11FA6C5A"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C-2109-1900-2</w:t>
            </w:r>
          </w:p>
        </w:tc>
        <w:tc>
          <w:tcPr>
            <w:tcW w:w="56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F1B7CCE"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c>
          <w:tcPr>
            <w:tcW w:w="2977"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6C8FC8F2"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GESTION INTEGRAL DE INFORMACIÓN MINERO ENERGÉTICA A NIVEL NACIONAL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631CCB25"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$2.127,0</w:t>
            </w:r>
          </w:p>
        </w:tc>
        <w:tc>
          <w:tcPr>
            <w:tcW w:w="109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62AA458C"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$869,3</w:t>
            </w:r>
          </w:p>
        </w:tc>
        <w:tc>
          <w:tcPr>
            <w:tcW w:w="670"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393AF668"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41%</w:t>
            </w:r>
          </w:p>
        </w:tc>
        <w:tc>
          <w:tcPr>
            <w:tcW w:w="1066"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260BD8DD"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$426,7</w:t>
            </w:r>
          </w:p>
        </w:tc>
        <w:tc>
          <w:tcPr>
            <w:tcW w:w="567"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2F8B4B09"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20%</w:t>
            </w:r>
          </w:p>
        </w:tc>
      </w:tr>
      <w:tr w:rsidR="00025183" w:rsidRPr="00D156D5" w14:paraId="26C66BEE" w14:textId="77777777" w:rsidTr="00025183">
        <w:trPr>
          <w:trHeight w:val="675"/>
          <w:jc w:val="center"/>
        </w:trPr>
        <w:tc>
          <w:tcPr>
            <w:tcW w:w="1261"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9D0761F" w14:textId="77777777" w:rsidR="00025183" w:rsidRPr="00D156D5" w:rsidRDefault="00025183" w:rsidP="00025183">
            <w:pPr>
              <w:jc w:val="center"/>
              <w:rPr>
                <w:rFonts w:ascii="Arial" w:hAnsi="Arial" w:cs="Arial"/>
                <w:b/>
                <w:color w:val="000000"/>
                <w:sz w:val="16"/>
                <w:szCs w:val="16"/>
                <w:u w:val="single"/>
                <w:lang w:eastAsia="es-CO" w:bidi="he-IL"/>
              </w:rPr>
            </w:pPr>
            <w:r w:rsidRPr="00D156D5">
              <w:rPr>
                <w:rFonts w:ascii="Arial" w:hAnsi="Arial" w:cs="Arial"/>
                <w:b/>
                <w:color w:val="000000"/>
                <w:sz w:val="16"/>
                <w:szCs w:val="16"/>
                <w:u w:val="single"/>
                <w:lang w:eastAsia="es-CO" w:bidi="he-IL"/>
              </w:rPr>
              <w:t>Proyecto 6</w:t>
            </w:r>
          </w:p>
          <w:p w14:paraId="3D5057DB"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C-2199-1900-2</w:t>
            </w:r>
          </w:p>
        </w:tc>
        <w:tc>
          <w:tcPr>
            <w:tcW w:w="567"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E47492B"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21</w:t>
            </w:r>
          </w:p>
        </w:tc>
        <w:tc>
          <w:tcPr>
            <w:tcW w:w="2977" w:type="dxa"/>
            <w:tcBorders>
              <w:top w:val="single" w:sz="12" w:space="0" w:color="auto"/>
              <w:left w:val="single" w:sz="6" w:space="0" w:color="auto"/>
              <w:bottom w:val="single" w:sz="12" w:space="0" w:color="auto"/>
              <w:right w:val="single" w:sz="6" w:space="0" w:color="auto"/>
            </w:tcBorders>
            <w:shd w:val="clear" w:color="auto" w:fill="auto"/>
            <w:vAlign w:val="center"/>
            <w:hideMark/>
          </w:tcPr>
          <w:p w14:paraId="1FCEE3F2" w14:textId="77777777" w:rsidR="00025183" w:rsidRPr="00D156D5" w:rsidRDefault="00025183" w:rsidP="00025183">
            <w:pPr>
              <w:jc w:val="both"/>
              <w:rPr>
                <w:rFonts w:ascii="Arial" w:hAnsi="Arial" w:cs="Arial"/>
                <w:color w:val="000000"/>
                <w:sz w:val="16"/>
                <w:szCs w:val="16"/>
                <w:lang w:eastAsia="es-CO" w:bidi="he-IL"/>
              </w:rPr>
            </w:pPr>
            <w:r w:rsidRPr="00D156D5">
              <w:rPr>
                <w:rFonts w:ascii="Arial" w:hAnsi="Arial" w:cs="Arial"/>
                <w:color w:val="000000"/>
                <w:sz w:val="16"/>
                <w:szCs w:val="16"/>
                <w:lang w:eastAsia="es-CO" w:bidi="he-IL"/>
              </w:rPr>
              <w:t>GESTION INTEGRAL DE INFORMACIÓN MINERO ENERGÉTICA A NIVEL NACIONAL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F0B6EEA"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$1.612,0</w:t>
            </w:r>
          </w:p>
        </w:tc>
        <w:tc>
          <w:tcPr>
            <w:tcW w:w="1099"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54AAE318"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$6,4</w:t>
            </w:r>
          </w:p>
        </w:tc>
        <w:tc>
          <w:tcPr>
            <w:tcW w:w="670"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3AD6F2A0"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0,4%</w:t>
            </w:r>
          </w:p>
        </w:tc>
        <w:tc>
          <w:tcPr>
            <w:tcW w:w="1066" w:type="dxa"/>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6326B4F9" w14:textId="77777777" w:rsidR="00025183" w:rsidRPr="00D156D5" w:rsidRDefault="00025183" w:rsidP="00025183">
            <w:pPr>
              <w:jc w:val="right"/>
              <w:rPr>
                <w:rFonts w:ascii="Arial" w:hAnsi="Arial" w:cs="Arial"/>
                <w:color w:val="000000"/>
                <w:sz w:val="16"/>
                <w:szCs w:val="16"/>
                <w:lang w:eastAsia="es-CO" w:bidi="he-IL"/>
              </w:rPr>
            </w:pPr>
            <w:r w:rsidRPr="00D156D5">
              <w:rPr>
                <w:rFonts w:ascii="Arial" w:hAnsi="Arial" w:cs="Arial"/>
                <w:color w:val="000000"/>
                <w:sz w:val="16"/>
                <w:szCs w:val="16"/>
                <w:lang w:eastAsia="es-CO" w:bidi="he-IL"/>
              </w:rPr>
              <w:t xml:space="preserve"> $0,1   </w:t>
            </w:r>
          </w:p>
        </w:tc>
        <w:tc>
          <w:tcPr>
            <w:tcW w:w="567" w:type="dxa"/>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EF98DEB" w14:textId="77777777" w:rsidR="00025183" w:rsidRPr="00D156D5" w:rsidRDefault="00025183" w:rsidP="00025183">
            <w:pPr>
              <w:jc w:val="center"/>
              <w:rPr>
                <w:rFonts w:ascii="Arial" w:hAnsi="Arial" w:cs="Arial"/>
                <w:color w:val="000000"/>
                <w:sz w:val="16"/>
                <w:szCs w:val="16"/>
                <w:lang w:eastAsia="es-CO" w:bidi="he-IL"/>
              </w:rPr>
            </w:pPr>
            <w:r w:rsidRPr="00D156D5">
              <w:rPr>
                <w:rFonts w:ascii="Arial" w:hAnsi="Arial" w:cs="Arial"/>
                <w:color w:val="000000"/>
                <w:sz w:val="16"/>
                <w:szCs w:val="16"/>
                <w:lang w:eastAsia="es-CO" w:bidi="he-IL"/>
              </w:rPr>
              <w:t>0%</w:t>
            </w:r>
          </w:p>
        </w:tc>
      </w:tr>
    </w:tbl>
    <w:p w14:paraId="612873E8" w14:textId="77777777" w:rsidR="00C02282" w:rsidRPr="00025183" w:rsidRDefault="00C02282" w:rsidP="00C02282">
      <w:pPr>
        <w:spacing w:after="0"/>
        <w:ind w:left="708"/>
        <w:jc w:val="center"/>
        <w:rPr>
          <w:rFonts w:ascii="Arial" w:hAnsi="Arial" w:cs="Arial"/>
          <w:color w:val="000000"/>
          <w:sz w:val="16"/>
          <w:szCs w:val="16"/>
        </w:rPr>
      </w:pPr>
      <w:r w:rsidRPr="00025183">
        <w:rPr>
          <w:rFonts w:ascii="Arial" w:hAnsi="Arial" w:cs="Arial"/>
          <w:color w:val="000000"/>
          <w:sz w:val="16"/>
          <w:szCs w:val="16"/>
        </w:rPr>
        <w:t>Millones de pesos</w:t>
      </w:r>
    </w:p>
    <w:p w14:paraId="67F38078" w14:textId="77777777" w:rsidR="00C02282" w:rsidRPr="00025183" w:rsidRDefault="00C02282" w:rsidP="00C02282">
      <w:pPr>
        <w:spacing w:after="0"/>
        <w:ind w:left="708"/>
        <w:jc w:val="center"/>
        <w:rPr>
          <w:rFonts w:eastAsia="Calibri" w:cs="Arial"/>
        </w:rPr>
      </w:pPr>
      <w:r w:rsidRPr="00025183">
        <w:rPr>
          <w:rFonts w:ascii="Arial" w:eastAsia="Calibri" w:hAnsi="Arial" w:cs="Arial"/>
          <w:sz w:val="16"/>
          <w:szCs w:val="16"/>
        </w:rPr>
        <w:t>Fuente: SIIF Nación UPME</w:t>
      </w:r>
    </w:p>
    <w:p w14:paraId="039458BC" w14:textId="77777777" w:rsidR="00C02282" w:rsidRPr="00025183" w:rsidRDefault="00C02282" w:rsidP="00C02282">
      <w:pPr>
        <w:pStyle w:val="Ttulo1"/>
        <w:ind w:left="360"/>
        <w:rPr>
          <w:rFonts w:ascii="Arial" w:eastAsia="Arial" w:hAnsi="Arial" w:cs="Arial"/>
          <w:b/>
          <w:color w:val="auto"/>
          <w:sz w:val="22"/>
          <w:szCs w:val="22"/>
          <w:lang w:eastAsia="es-CO"/>
        </w:rPr>
      </w:pPr>
      <w:bookmarkStart w:id="296" w:name="_Toc525652091"/>
      <w:r w:rsidRPr="00025183">
        <w:rPr>
          <w:rFonts w:ascii="Arial" w:eastAsia="Arial" w:hAnsi="Arial" w:cs="Arial"/>
          <w:b/>
          <w:color w:val="auto"/>
          <w:sz w:val="22"/>
          <w:szCs w:val="22"/>
          <w:lang w:eastAsia="es-CO"/>
        </w:rPr>
        <w:lastRenderedPageBreak/>
        <w:t>2. INGRESOS Y GASTOS DE LA UPME</w:t>
      </w:r>
      <w:bookmarkEnd w:id="296"/>
    </w:p>
    <w:p w14:paraId="6D1CCF4E" w14:textId="77777777" w:rsidR="00C02282" w:rsidRPr="00025183" w:rsidRDefault="00C02282" w:rsidP="00C02282">
      <w:pPr>
        <w:spacing w:after="0" w:line="240" w:lineRule="auto"/>
        <w:rPr>
          <w:rFonts w:ascii="Arial" w:eastAsia="Calibri" w:hAnsi="Arial" w:cs="Arial"/>
        </w:rPr>
      </w:pPr>
    </w:p>
    <w:p w14:paraId="0549C738" w14:textId="77777777" w:rsidR="00C02282" w:rsidRPr="00025183" w:rsidRDefault="00C02282" w:rsidP="00055F7C">
      <w:pPr>
        <w:pStyle w:val="Ttulo2"/>
        <w:numPr>
          <w:ilvl w:val="1"/>
          <w:numId w:val="12"/>
        </w:numPr>
        <w:rPr>
          <w:rFonts w:ascii="Arial" w:eastAsia="Calibri" w:hAnsi="Arial" w:cs="Arial"/>
          <w:color w:val="auto"/>
          <w:sz w:val="22"/>
          <w:szCs w:val="22"/>
        </w:rPr>
      </w:pPr>
      <w:bookmarkStart w:id="297" w:name="_Toc525652092"/>
      <w:r w:rsidRPr="00025183">
        <w:rPr>
          <w:rFonts w:ascii="Arial" w:eastAsia="Calibri" w:hAnsi="Arial" w:cs="Arial"/>
          <w:color w:val="auto"/>
          <w:sz w:val="22"/>
          <w:szCs w:val="22"/>
        </w:rPr>
        <w:t>Ingresos UPME</w:t>
      </w:r>
      <w:bookmarkEnd w:id="297"/>
      <w:r w:rsidRPr="00025183">
        <w:rPr>
          <w:rFonts w:ascii="Arial" w:eastAsia="Calibri" w:hAnsi="Arial" w:cs="Arial"/>
          <w:color w:val="auto"/>
          <w:sz w:val="22"/>
          <w:szCs w:val="22"/>
        </w:rPr>
        <w:t xml:space="preserve"> </w:t>
      </w:r>
    </w:p>
    <w:p w14:paraId="7A6C67C3" w14:textId="77777777" w:rsidR="00C02282" w:rsidRPr="006A67B4" w:rsidRDefault="00C02282" w:rsidP="00C02282">
      <w:pPr>
        <w:spacing w:before="20" w:after="20"/>
        <w:jc w:val="both"/>
        <w:rPr>
          <w:highlight w:val="yellow"/>
        </w:rPr>
      </w:pPr>
    </w:p>
    <w:p w14:paraId="705ED211" w14:textId="15067D7A" w:rsidR="00025183" w:rsidRPr="00D156D5" w:rsidRDefault="00025183" w:rsidP="00025183">
      <w:pPr>
        <w:spacing w:before="20" w:after="20"/>
        <w:jc w:val="both"/>
        <w:rPr>
          <w:rFonts w:ascii="Arial" w:eastAsia="Arial Unicode MS" w:hAnsi="Arial" w:cs="Arial"/>
        </w:rPr>
      </w:pPr>
      <w:r w:rsidRPr="00D156D5">
        <w:rPr>
          <w:rFonts w:ascii="Arial" w:eastAsia="Arial Unicode MS" w:hAnsi="Arial" w:cs="Arial"/>
        </w:rPr>
        <w:t>Como se anotó los recursos de la Unidad provienen fundamentalmente de los aportes de Inte</w:t>
      </w:r>
      <w:r>
        <w:rPr>
          <w:rFonts w:ascii="Arial" w:eastAsia="Arial Unicode MS" w:hAnsi="Arial" w:cs="Arial"/>
        </w:rPr>
        <w:t>rconexión Eléctrica S.A. – ISA,</w:t>
      </w:r>
      <w:r w:rsidRPr="00D156D5">
        <w:rPr>
          <w:rFonts w:ascii="Arial" w:eastAsia="Arial Unicode MS" w:hAnsi="Arial" w:cs="Arial"/>
        </w:rPr>
        <w:t xml:space="preserve"> la Agencia Nacional de Minería ANM; Empresa Colom</w:t>
      </w:r>
      <w:r>
        <w:rPr>
          <w:rFonts w:ascii="Arial" w:eastAsia="Arial Unicode MS" w:hAnsi="Arial" w:cs="Arial"/>
        </w:rPr>
        <w:t xml:space="preserve">biana de Petróleos - ECOPETROL </w:t>
      </w:r>
      <w:r w:rsidRPr="00D156D5">
        <w:rPr>
          <w:rFonts w:ascii="Arial" w:eastAsia="Arial Unicode MS" w:hAnsi="Arial" w:cs="Arial"/>
        </w:rPr>
        <w:t xml:space="preserve">S.A. </w:t>
      </w:r>
      <w:r w:rsidR="009E5C47" w:rsidRPr="00D156D5">
        <w:rPr>
          <w:rFonts w:ascii="Arial" w:eastAsia="Arial Unicode MS" w:hAnsi="Arial" w:cs="Arial"/>
        </w:rPr>
        <w:t>y el Ministerio</w:t>
      </w:r>
      <w:r w:rsidRPr="00D156D5">
        <w:rPr>
          <w:rFonts w:ascii="Arial" w:eastAsia="Arial Unicode MS" w:hAnsi="Arial" w:cs="Arial"/>
        </w:rPr>
        <w:t xml:space="preserve"> de Minas y </w:t>
      </w:r>
      <w:r w:rsidR="009E5C47" w:rsidRPr="00D156D5">
        <w:rPr>
          <w:rFonts w:ascii="Arial" w:eastAsia="Arial Unicode MS" w:hAnsi="Arial" w:cs="Arial"/>
        </w:rPr>
        <w:t>Energía, así</w:t>
      </w:r>
      <w:r w:rsidRPr="00D156D5">
        <w:rPr>
          <w:rFonts w:ascii="Arial" w:eastAsia="Arial Unicode MS" w:hAnsi="Arial" w:cs="Arial"/>
        </w:rPr>
        <w:t>:</w:t>
      </w:r>
    </w:p>
    <w:p w14:paraId="0C41E716" w14:textId="77777777" w:rsidR="00C02282" w:rsidRPr="006A67B4" w:rsidRDefault="00C02282" w:rsidP="00C02282">
      <w:pPr>
        <w:jc w:val="center"/>
        <w:rPr>
          <w:rFonts w:ascii="Arial Narrow" w:hAnsi="Arial Narrow" w:cs="Arial"/>
          <w:bCs/>
          <w:highlight w:val="yellow"/>
        </w:rPr>
      </w:pPr>
    </w:p>
    <w:p w14:paraId="574B007F" w14:textId="77777777" w:rsidR="00C02282" w:rsidRPr="00025183" w:rsidRDefault="00C02282" w:rsidP="00C02282">
      <w:pPr>
        <w:pStyle w:val="Descripcin"/>
        <w:keepNext/>
        <w:jc w:val="center"/>
      </w:pPr>
      <w:bookmarkStart w:id="298" w:name="_Toc525652573"/>
      <w:r w:rsidRPr="00025183">
        <w:t xml:space="preserve">Tabla </w:t>
      </w:r>
      <w:r w:rsidRPr="00025183">
        <w:fldChar w:fldCharType="begin"/>
      </w:r>
      <w:r w:rsidRPr="00025183">
        <w:instrText xml:space="preserve"> SEQ Tabla \* ARABIC </w:instrText>
      </w:r>
      <w:r w:rsidRPr="00025183">
        <w:fldChar w:fldCharType="separate"/>
      </w:r>
      <w:r w:rsidR="008B4625">
        <w:rPr>
          <w:noProof/>
        </w:rPr>
        <w:t>128</w:t>
      </w:r>
      <w:r w:rsidRPr="00025183">
        <w:fldChar w:fldCharType="end"/>
      </w:r>
      <w:r w:rsidRPr="00025183">
        <w:t xml:space="preserve"> APORTES ENTIDADES 2018 UPME</w:t>
      </w:r>
      <w:bookmarkEnd w:id="298"/>
    </w:p>
    <w:tbl>
      <w:tblPr>
        <w:tblpPr w:leftFromText="141" w:rightFromText="141" w:vertAnchor="text" w:horzAnchor="margin" w:tblpXSpec="center" w:tblpY="108"/>
        <w:tblW w:w="0" w:type="auto"/>
        <w:tblCellMar>
          <w:left w:w="70" w:type="dxa"/>
          <w:right w:w="70" w:type="dxa"/>
        </w:tblCellMar>
        <w:tblLook w:val="04A0" w:firstRow="1" w:lastRow="0" w:firstColumn="1" w:lastColumn="0" w:noHBand="0" w:noVBand="1"/>
      </w:tblPr>
      <w:tblGrid>
        <w:gridCol w:w="5087"/>
        <w:gridCol w:w="196"/>
        <w:gridCol w:w="1630"/>
      </w:tblGrid>
      <w:tr w:rsidR="00025183" w:rsidRPr="00D156D5" w14:paraId="566D6FDC" w14:textId="77777777" w:rsidTr="00025183">
        <w:trPr>
          <w:trHeight w:val="645"/>
        </w:trPr>
        <w:tc>
          <w:tcPr>
            <w:tcW w:w="0" w:type="auto"/>
            <w:tcBorders>
              <w:top w:val="nil"/>
              <w:left w:val="nil"/>
              <w:bottom w:val="single" w:sz="8" w:space="0" w:color="666666"/>
              <w:right w:val="nil"/>
            </w:tcBorders>
            <w:shd w:val="clear" w:color="auto" w:fill="4F81BD" w:themeFill="accent1"/>
            <w:vAlign w:val="center"/>
            <w:hideMark/>
          </w:tcPr>
          <w:p w14:paraId="2C630A41" w14:textId="77777777" w:rsidR="00025183" w:rsidRPr="00D156D5" w:rsidRDefault="00025183" w:rsidP="00025183">
            <w:pPr>
              <w:rPr>
                <w:rFonts w:ascii="Arial" w:eastAsia="Arial Unicode MS" w:hAnsi="Arial" w:cs="Arial"/>
                <w:b/>
                <w:bCs/>
                <w:color w:val="000000"/>
                <w:sz w:val="20"/>
                <w:szCs w:val="20"/>
                <w:lang w:eastAsia="es-CO"/>
              </w:rPr>
            </w:pPr>
            <w:r w:rsidRPr="00D156D5">
              <w:rPr>
                <w:rFonts w:ascii="Arial" w:eastAsia="Arial Unicode MS" w:hAnsi="Arial" w:cs="Arial"/>
                <w:b/>
                <w:bCs/>
                <w:color w:val="000000"/>
                <w:sz w:val="20"/>
                <w:szCs w:val="20"/>
                <w:lang w:eastAsia="es-CO"/>
              </w:rPr>
              <w:t>Aportes Entidades</w:t>
            </w:r>
          </w:p>
        </w:tc>
        <w:tc>
          <w:tcPr>
            <w:tcW w:w="0" w:type="auto"/>
            <w:tcBorders>
              <w:top w:val="nil"/>
              <w:left w:val="nil"/>
              <w:bottom w:val="single" w:sz="8" w:space="0" w:color="666666"/>
              <w:right w:val="nil"/>
            </w:tcBorders>
            <w:shd w:val="clear" w:color="auto" w:fill="4F81BD" w:themeFill="accent1"/>
            <w:vAlign w:val="center"/>
            <w:hideMark/>
          </w:tcPr>
          <w:p w14:paraId="6E8D3A33" w14:textId="77777777" w:rsidR="00025183" w:rsidRPr="00D156D5" w:rsidRDefault="00025183" w:rsidP="00025183">
            <w:pPr>
              <w:jc w:val="center"/>
              <w:rPr>
                <w:rFonts w:ascii="Arial" w:eastAsia="Arial Unicode MS" w:hAnsi="Arial" w:cs="Arial"/>
                <w:b/>
                <w:bCs/>
                <w:color w:val="000000"/>
                <w:sz w:val="20"/>
                <w:szCs w:val="20"/>
                <w:lang w:eastAsia="es-CO"/>
              </w:rPr>
            </w:pPr>
            <w:r w:rsidRPr="00D156D5">
              <w:rPr>
                <w:rFonts w:ascii="Arial" w:eastAsia="Arial Unicode MS" w:hAnsi="Arial" w:cs="Arial"/>
                <w:b/>
                <w:bCs/>
                <w:color w:val="000000"/>
                <w:sz w:val="20"/>
                <w:szCs w:val="20"/>
                <w:lang w:eastAsia="es-CO"/>
              </w:rPr>
              <w:t> </w:t>
            </w:r>
          </w:p>
        </w:tc>
        <w:tc>
          <w:tcPr>
            <w:tcW w:w="0" w:type="auto"/>
            <w:tcBorders>
              <w:top w:val="nil"/>
              <w:left w:val="nil"/>
              <w:bottom w:val="single" w:sz="8" w:space="0" w:color="666666"/>
              <w:right w:val="nil"/>
            </w:tcBorders>
            <w:shd w:val="clear" w:color="auto" w:fill="4F81BD" w:themeFill="accent1"/>
            <w:vAlign w:val="center"/>
            <w:hideMark/>
          </w:tcPr>
          <w:p w14:paraId="3AFEA785" w14:textId="77777777" w:rsidR="00025183" w:rsidRPr="00D156D5" w:rsidRDefault="00025183" w:rsidP="00025183">
            <w:pPr>
              <w:jc w:val="center"/>
              <w:rPr>
                <w:rFonts w:ascii="Arial" w:eastAsia="Arial Unicode MS" w:hAnsi="Arial" w:cs="Arial"/>
                <w:b/>
                <w:bCs/>
                <w:color w:val="000000"/>
                <w:sz w:val="20"/>
                <w:szCs w:val="20"/>
                <w:lang w:eastAsia="es-CO"/>
              </w:rPr>
            </w:pPr>
            <w:r w:rsidRPr="00D156D5">
              <w:rPr>
                <w:rFonts w:ascii="Arial" w:eastAsia="Arial Unicode MS" w:hAnsi="Arial" w:cs="Arial"/>
                <w:b/>
                <w:bCs/>
                <w:color w:val="000000"/>
                <w:sz w:val="20"/>
                <w:szCs w:val="20"/>
                <w:lang w:eastAsia="es-CO"/>
              </w:rPr>
              <w:t>Valor (Millones)</w:t>
            </w:r>
          </w:p>
        </w:tc>
      </w:tr>
      <w:tr w:rsidR="00025183" w:rsidRPr="00D156D5" w14:paraId="4E5F661E" w14:textId="77777777" w:rsidTr="00025183">
        <w:trPr>
          <w:trHeight w:val="333"/>
        </w:trPr>
        <w:tc>
          <w:tcPr>
            <w:tcW w:w="0" w:type="auto"/>
            <w:tcBorders>
              <w:top w:val="nil"/>
              <w:left w:val="nil"/>
              <w:bottom w:val="nil"/>
              <w:right w:val="nil"/>
            </w:tcBorders>
            <w:shd w:val="clear" w:color="auto" w:fill="auto"/>
            <w:vAlign w:val="center"/>
            <w:hideMark/>
          </w:tcPr>
          <w:p w14:paraId="3F691CE5" w14:textId="77777777" w:rsidR="00025183" w:rsidRPr="00D156D5" w:rsidRDefault="00025183" w:rsidP="00025183">
            <w:pPr>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Agencia Nacional de Minería ANM</w:t>
            </w:r>
          </w:p>
        </w:tc>
        <w:tc>
          <w:tcPr>
            <w:tcW w:w="0" w:type="auto"/>
            <w:tcBorders>
              <w:top w:val="nil"/>
              <w:left w:val="nil"/>
              <w:bottom w:val="nil"/>
              <w:right w:val="nil"/>
            </w:tcBorders>
            <w:shd w:val="clear" w:color="auto" w:fill="auto"/>
            <w:vAlign w:val="center"/>
            <w:hideMark/>
          </w:tcPr>
          <w:p w14:paraId="3E864C17" w14:textId="77777777" w:rsidR="00025183" w:rsidRPr="00D156D5" w:rsidRDefault="00025183" w:rsidP="00025183">
            <w:pPr>
              <w:rPr>
                <w:rFonts w:ascii="Arial" w:eastAsia="Arial Unicode MS" w:hAnsi="Arial" w:cs="Arial"/>
                <w:color w:val="000000"/>
                <w:sz w:val="20"/>
                <w:szCs w:val="20"/>
                <w:lang w:eastAsia="es-CO"/>
              </w:rPr>
            </w:pPr>
          </w:p>
        </w:tc>
        <w:tc>
          <w:tcPr>
            <w:tcW w:w="0" w:type="auto"/>
            <w:tcBorders>
              <w:top w:val="nil"/>
              <w:left w:val="nil"/>
              <w:bottom w:val="nil"/>
              <w:right w:val="nil"/>
            </w:tcBorders>
            <w:shd w:val="clear" w:color="auto" w:fill="auto"/>
            <w:vAlign w:val="center"/>
            <w:hideMark/>
          </w:tcPr>
          <w:p w14:paraId="4121F276" w14:textId="77777777" w:rsidR="00025183" w:rsidRPr="00D156D5" w:rsidRDefault="00025183" w:rsidP="00025183">
            <w:pPr>
              <w:jc w:val="right"/>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 xml:space="preserve"> $              7.829</w:t>
            </w:r>
          </w:p>
        </w:tc>
      </w:tr>
      <w:tr w:rsidR="00025183" w:rsidRPr="00D156D5" w14:paraId="52FA717A" w14:textId="77777777" w:rsidTr="00025183">
        <w:trPr>
          <w:trHeight w:val="289"/>
        </w:trPr>
        <w:tc>
          <w:tcPr>
            <w:tcW w:w="0" w:type="auto"/>
            <w:tcBorders>
              <w:top w:val="nil"/>
              <w:left w:val="nil"/>
              <w:bottom w:val="nil"/>
              <w:right w:val="nil"/>
            </w:tcBorders>
            <w:shd w:val="clear" w:color="auto" w:fill="auto"/>
            <w:vAlign w:val="center"/>
            <w:hideMark/>
          </w:tcPr>
          <w:p w14:paraId="3CDD7127" w14:textId="77777777" w:rsidR="00025183" w:rsidRPr="00D156D5" w:rsidRDefault="00025183" w:rsidP="00025183">
            <w:pPr>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Ministerio de Minas y Energía</w:t>
            </w:r>
          </w:p>
        </w:tc>
        <w:tc>
          <w:tcPr>
            <w:tcW w:w="0" w:type="auto"/>
            <w:tcBorders>
              <w:top w:val="nil"/>
              <w:left w:val="nil"/>
              <w:bottom w:val="nil"/>
              <w:right w:val="nil"/>
            </w:tcBorders>
            <w:shd w:val="clear" w:color="auto" w:fill="auto"/>
            <w:vAlign w:val="center"/>
            <w:hideMark/>
          </w:tcPr>
          <w:p w14:paraId="164AC05C" w14:textId="77777777" w:rsidR="00025183" w:rsidRPr="00D156D5" w:rsidRDefault="00025183" w:rsidP="00025183">
            <w:pPr>
              <w:rPr>
                <w:rFonts w:ascii="Arial" w:eastAsia="Arial Unicode MS" w:hAnsi="Arial" w:cs="Arial"/>
                <w:color w:val="000000"/>
                <w:sz w:val="20"/>
                <w:szCs w:val="20"/>
                <w:lang w:eastAsia="es-CO"/>
              </w:rPr>
            </w:pPr>
          </w:p>
        </w:tc>
        <w:tc>
          <w:tcPr>
            <w:tcW w:w="0" w:type="auto"/>
            <w:tcBorders>
              <w:top w:val="nil"/>
              <w:left w:val="nil"/>
              <w:bottom w:val="nil"/>
              <w:right w:val="nil"/>
            </w:tcBorders>
            <w:shd w:val="clear" w:color="auto" w:fill="auto"/>
            <w:vAlign w:val="center"/>
            <w:hideMark/>
          </w:tcPr>
          <w:p w14:paraId="4CC23F12" w14:textId="77777777" w:rsidR="00025183" w:rsidRPr="00D156D5" w:rsidRDefault="00025183" w:rsidP="00025183">
            <w:pPr>
              <w:jc w:val="right"/>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 xml:space="preserve"> $              7.829 </w:t>
            </w:r>
          </w:p>
        </w:tc>
      </w:tr>
      <w:tr w:rsidR="00025183" w:rsidRPr="00D156D5" w14:paraId="0FD3B22C" w14:textId="77777777" w:rsidTr="00025183">
        <w:trPr>
          <w:trHeight w:val="540"/>
        </w:trPr>
        <w:tc>
          <w:tcPr>
            <w:tcW w:w="0" w:type="auto"/>
            <w:tcBorders>
              <w:top w:val="nil"/>
              <w:left w:val="nil"/>
              <w:bottom w:val="nil"/>
              <w:right w:val="nil"/>
            </w:tcBorders>
            <w:shd w:val="clear" w:color="auto" w:fill="auto"/>
            <w:vAlign w:val="center"/>
            <w:hideMark/>
          </w:tcPr>
          <w:p w14:paraId="6CE02A49" w14:textId="77777777" w:rsidR="00025183" w:rsidRPr="00D156D5" w:rsidRDefault="00025183" w:rsidP="00025183">
            <w:pPr>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Empresa Colombiana de Petróleos - ECOPETROL  S.A</w:t>
            </w:r>
            <w:r w:rsidRPr="00D156D5">
              <w:rPr>
                <w:rFonts w:ascii="Arial" w:eastAsia="Arial Unicode MS" w:hAnsi="Arial" w:cs="Arial"/>
                <w:b/>
                <w:bCs/>
                <w:color w:val="000000"/>
                <w:sz w:val="20"/>
                <w:szCs w:val="20"/>
                <w:lang w:eastAsia="es-CO"/>
              </w:rPr>
              <w:t xml:space="preserve"> </w:t>
            </w:r>
          </w:p>
        </w:tc>
        <w:tc>
          <w:tcPr>
            <w:tcW w:w="0" w:type="auto"/>
            <w:tcBorders>
              <w:top w:val="nil"/>
              <w:left w:val="nil"/>
              <w:bottom w:val="nil"/>
              <w:right w:val="nil"/>
            </w:tcBorders>
            <w:shd w:val="clear" w:color="auto" w:fill="auto"/>
            <w:vAlign w:val="center"/>
            <w:hideMark/>
          </w:tcPr>
          <w:p w14:paraId="6EC331F8" w14:textId="77777777" w:rsidR="00025183" w:rsidRPr="00D156D5" w:rsidRDefault="00025183" w:rsidP="00025183">
            <w:pPr>
              <w:rPr>
                <w:rFonts w:ascii="Arial" w:eastAsia="Arial Unicode MS" w:hAnsi="Arial" w:cs="Arial"/>
                <w:color w:val="000000"/>
                <w:sz w:val="20"/>
                <w:szCs w:val="20"/>
                <w:lang w:eastAsia="es-CO"/>
              </w:rPr>
            </w:pPr>
          </w:p>
        </w:tc>
        <w:tc>
          <w:tcPr>
            <w:tcW w:w="0" w:type="auto"/>
            <w:tcBorders>
              <w:top w:val="nil"/>
              <w:left w:val="nil"/>
              <w:bottom w:val="nil"/>
              <w:right w:val="nil"/>
            </w:tcBorders>
            <w:shd w:val="clear" w:color="auto" w:fill="auto"/>
            <w:vAlign w:val="center"/>
            <w:hideMark/>
          </w:tcPr>
          <w:p w14:paraId="5160F63F" w14:textId="77777777" w:rsidR="00025183" w:rsidRPr="00D156D5" w:rsidRDefault="00025183" w:rsidP="00025183">
            <w:pPr>
              <w:jc w:val="right"/>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 xml:space="preserve"> $              7.829 </w:t>
            </w:r>
          </w:p>
        </w:tc>
      </w:tr>
      <w:tr w:rsidR="00025183" w:rsidRPr="00D156D5" w14:paraId="5C6DE50B" w14:textId="77777777" w:rsidTr="00025183">
        <w:trPr>
          <w:trHeight w:val="288"/>
        </w:trPr>
        <w:tc>
          <w:tcPr>
            <w:tcW w:w="0" w:type="auto"/>
            <w:tcBorders>
              <w:top w:val="nil"/>
              <w:left w:val="nil"/>
              <w:bottom w:val="nil"/>
              <w:right w:val="nil"/>
            </w:tcBorders>
            <w:shd w:val="clear" w:color="auto" w:fill="auto"/>
            <w:vAlign w:val="center"/>
            <w:hideMark/>
          </w:tcPr>
          <w:p w14:paraId="4766E8F2" w14:textId="77777777" w:rsidR="00025183" w:rsidRPr="00D156D5" w:rsidRDefault="00025183" w:rsidP="00025183">
            <w:pPr>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Interconexión Eléctrica S.A. – ISA</w:t>
            </w:r>
            <w:r w:rsidRPr="00D156D5">
              <w:rPr>
                <w:rFonts w:ascii="Arial" w:eastAsia="Arial Unicode MS" w:hAnsi="Arial" w:cs="Arial"/>
                <w:b/>
                <w:bCs/>
                <w:color w:val="000000"/>
                <w:sz w:val="20"/>
                <w:szCs w:val="20"/>
                <w:lang w:eastAsia="es-CO"/>
              </w:rPr>
              <w:t xml:space="preserve"> </w:t>
            </w:r>
          </w:p>
        </w:tc>
        <w:tc>
          <w:tcPr>
            <w:tcW w:w="0" w:type="auto"/>
            <w:tcBorders>
              <w:top w:val="nil"/>
              <w:left w:val="nil"/>
              <w:bottom w:val="nil"/>
              <w:right w:val="nil"/>
            </w:tcBorders>
            <w:shd w:val="clear" w:color="auto" w:fill="auto"/>
            <w:vAlign w:val="center"/>
            <w:hideMark/>
          </w:tcPr>
          <w:p w14:paraId="52037723" w14:textId="77777777" w:rsidR="00025183" w:rsidRPr="00D156D5" w:rsidRDefault="00025183" w:rsidP="00025183">
            <w:pPr>
              <w:rPr>
                <w:rFonts w:ascii="Arial" w:eastAsia="Arial Unicode MS" w:hAnsi="Arial" w:cs="Arial"/>
                <w:color w:val="000000"/>
                <w:sz w:val="20"/>
                <w:szCs w:val="20"/>
                <w:lang w:eastAsia="es-CO"/>
              </w:rPr>
            </w:pPr>
          </w:p>
        </w:tc>
        <w:tc>
          <w:tcPr>
            <w:tcW w:w="0" w:type="auto"/>
            <w:tcBorders>
              <w:top w:val="nil"/>
              <w:left w:val="nil"/>
              <w:bottom w:val="nil"/>
              <w:right w:val="nil"/>
            </w:tcBorders>
            <w:shd w:val="clear" w:color="auto" w:fill="auto"/>
            <w:vAlign w:val="center"/>
            <w:hideMark/>
          </w:tcPr>
          <w:p w14:paraId="69FE50C7" w14:textId="77777777" w:rsidR="00025183" w:rsidRPr="00D156D5" w:rsidRDefault="00025183" w:rsidP="00025183">
            <w:pPr>
              <w:jc w:val="right"/>
              <w:rPr>
                <w:rFonts w:ascii="Arial" w:eastAsia="Arial Unicode MS" w:hAnsi="Arial" w:cs="Arial"/>
                <w:color w:val="000000"/>
                <w:sz w:val="20"/>
                <w:szCs w:val="20"/>
                <w:lang w:eastAsia="es-CO"/>
              </w:rPr>
            </w:pPr>
            <w:r w:rsidRPr="00D156D5">
              <w:rPr>
                <w:rFonts w:ascii="Arial" w:eastAsia="Arial Unicode MS" w:hAnsi="Arial" w:cs="Arial"/>
                <w:color w:val="000000"/>
                <w:sz w:val="20"/>
                <w:szCs w:val="20"/>
                <w:lang w:eastAsia="es-CO"/>
              </w:rPr>
              <w:t xml:space="preserve"> $              7.829 </w:t>
            </w:r>
          </w:p>
        </w:tc>
      </w:tr>
      <w:tr w:rsidR="00025183" w:rsidRPr="00D156D5" w14:paraId="24EACBCD" w14:textId="77777777" w:rsidTr="00025183">
        <w:trPr>
          <w:trHeight w:val="405"/>
        </w:trPr>
        <w:tc>
          <w:tcPr>
            <w:tcW w:w="0" w:type="auto"/>
            <w:tcBorders>
              <w:top w:val="nil"/>
              <w:left w:val="nil"/>
              <w:bottom w:val="nil"/>
              <w:right w:val="nil"/>
            </w:tcBorders>
            <w:shd w:val="clear" w:color="auto" w:fill="4F81BD" w:themeFill="accent1"/>
            <w:vAlign w:val="center"/>
            <w:hideMark/>
          </w:tcPr>
          <w:p w14:paraId="7EF8AF68" w14:textId="77777777" w:rsidR="00025183" w:rsidRPr="00D156D5" w:rsidRDefault="00025183" w:rsidP="00025183">
            <w:pPr>
              <w:rPr>
                <w:rFonts w:ascii="Arial" w:hAnsi="Arial" w:cs="Arial"/>
                <w:b/>
                <w:bCs/>
                <w:color w:val="000000"/>
                <w:sz w:val="20"/>
                <w:szCs w:val="20"/>
                <w:lang w:eastAsia="es-CO"/>
              </w:rPr>
            </w:pPr>
            <w:r w:rsidRPr="00D156D5">
              <w:rPr>
                <w:rFonts w:ascii="Arial" w:hAnsi="Arial" w:cs="Arial"/>
                <w:b/>
                <w:bCs/>
                <w:color w:val="000000"/>
                <w:sz w:val="20"/>
                <w:szCs w:val="20"/>
                <w:lang w:eastAsia="es-CO"/>
              </w:rPr>
              <w:t>Total</w:t>
            </w:r>
          </w:p>
        </w:tc>
        <w:tc>
          <w:tcPr>
            <w:tcW w:w="0" w:type="auto"/>
            <w:tcBorders>
              <w:top w:val="nil"/>
              <w:left w:val="nil"/>
              <w:bottom w:val="nil"/>
              <w:right w:val="nil"/>
            </w:tcBorders>
            <w:shd w:val="clear" w:color="auto" w:fill="4F81BD" w:themeFill="accent1"/>
            <w:vAlign w:val="center"/>
            <w:hideMark/>
          </w:tcPr>
          <w:p w14:paraId="256E35E0" w14:textId="77777777" w:rsidR="00025183" w:rsidRPr="00D156D5" w:rsidRDefault="00025183" w:rsidP="00025183">
            <w:pPr>
              <w:jc w:val="center"/>
              <w:rPr>
                <w:rFonts w:ascii="Arial" w:hAnsi="Arial" w:cs="Arial"/>
                <w:b/>
                <w:bCs/>
                <w:color w:val="000000"/>
                <w:sz w:val="20"/>
                <w:szCs w:val="20"/>
                <w:lang w:eastAsia="es-CO"/>
              </w:rPr>
            </w:pPr>
            <w:r w:rsidRPr="00D156D5">
              <w:rPr>
                <w:rFonts w:ascii="Arial" w:hAnsi="Arial" w:cs="Arial"/>
                <w:b/>
                <w:bCs/>
                <w:color w:val="000000"/>
                <w:sz w:val="20"/>
                <w:szCs w:val="20"/>
                <w:lang w:eastAsia="es-CO"/>
              </w:rPr>
              <w:t> </w:t>
            </w:r>
          </w:p>
        </w:tc>
        <w:tc>
          <w:tcPr>
            <w:tcW w:w="0" w:type="auto"/>
            <w:tcBorders>
              <w:top w:val="nil"/>
              <w:left w:val="nil"/>
              <w:bottom w:val="nil"/>
              <w:right w:val="nil"/>
            </w:tcBorders>
            <w:shd w:val="clear" w:color="auto" w:fill="4F81BD" w:themeFill="accent1"/>
            <w:vAlign w:val="center"/>
            <w:hideMark/>
          </w:tcPr>
          <w:p w14:paraId="1015870E" w14:textId="77777777" w:rsidR="00025183" w:rsidRPr="00D156D5" w:rsidRDefault="00025183" w:rsidP="00025183">
            <w:pPr>
              <w:jc w:val="right"/>
              <w:rPr>
                <w:rFonts w:ascii="Arial" w:hAnsi="Arial" w:cs="Arial"/>
                <w:b/>
                <w:bCs/>
                <w:color w:val="000000"/>
                <w:sz w:val="20"/>
                <w:szCs w:val="20"/>
                <w:lang w:eastAsia="es-CO"/>
              </w:rPr>
            </w:pPr>
            <w:r w:rsidRPr="00D156D5">
              <w:rPr>
                <w:rFonts w:ascii="Arial" w:hAnsi="Arial" w:cs="Arial"/>
                <w:b/>
                <w:bCs/>
                <w:color w:val="000000"/>
                <w:sz w:val="20"/>
                <w:szCs w:val="20"/>
                <w:lang w:eastAsia="es-CO"/>
              </w:rPr>
              <w:t xml:space="preserve">       $31.317 </w:t>
            </w:r>
          </w:p>
        </w:tc>
      </w:tr>
    </w:tbl>
    <w:p w14:paraId="35594AC5" w14:textId="77777777" w:rsidR="00C02282" w:rsidRPr="006A67B4" w:rsidRDefault="00C02282" w:rsidP="00C02282">
      <w:pPr>
        <w:jc w:val="both"/>
        <w:rPr>
          <w:rFonts w:ascii="Arial Narrow" w:hAnsi="Arial Narrow" w:cs="Arial"/>
          <w:bCs/>
          <w:highlight w:val="yellow"/>
        </w:rPr>
      </w:pPr>
    </w:p>
    <w:p w14:paraId="3D9638DD" w14:textId="77777777" w:rsidR="00C02282" w:rsidRPr="006A67B4" w:rsidRDefault="00C02282" w:rsidP="00C02282">
      <w:pPr>
        <w:jc w:val="both"/>
        <w:rPr>
          <w:rFonts w:ascii="Arial Narrow" w:hAnsi="Arial Narrow" w:cs="Arial"/>
          <w:bCs/>
          <w:highlight w:val="yellow"/>
        </w:rPr>
      </w:pPr>
    </w:p>
    <w:p w14:paraId="47105332" w14:textId="77777777" w:rsidR="00C02282" w:rsidRPr="006A67B4" w:rsidRDefault="00C02282" w:rsidP="00C02282">
      <w:pPr>
        <w:jc w:val="both"/>
        <w:rPr>
          <w:rFonts w:ascii="Arial Narrow" w:hAnsi="Arial Narrow" w:cs="Arial"/>
          <w:bCs/>
          <w:highlight w:val="yellow"/>
        </w:rPr>
      </w:pPr>
    </w:p>
    <w:p w14:paraId="506E59CB" w14:textId="77777777" w:rsidR="00C02282" w:rsidRDefault="00C02282" w:rsidP="00C02282">
      <w:pPr>
        <w:spacing w:after="0"/>
        <w:ind w:left="708"/>
        <w:jc w:val="center"/>
        <w:rPr>
          <w:rFonts w:ascii="Arial" w:hAnsi="Arial" w:cs="Arial"/>
          <w:color w:val="000000"/>
          <w:sz w:val="16"/>
          <w:szCs w:val="16"/>
          <w:highlight w:val="yellow"/>
        </w:rPr>
      </w:pPr>
    </w:p>
    <w:p w14:paraId="203D6373" w14:textId="77777777" w:rsidR="008112A2" w:rsidRPr="006A67B4" w:rsidRDefault="008112A2" w:rsidP="00C02282">
      <w:pPr>
        <w:spacing w:after="0"/>
        <w:ind w:left="708"/>
        <w:jc w:val="center"/>
        <w:rPr>
          <w:rFonts w:ascii="Arial" w:hAnsi="Arial" w:cs="Arial"/>
          <w:color w:val="000000"/>
          <w:sz w:val="16"/>
          <w:szCs w:val="16"/>
          <w:highlight w:val="yellow"/>
        </w:rPr>
      </w:pPr>
    </w:p>
    <w:p w14:paraId="5E993549" w14:textId="77777777" w:rsidR="00025183" w:rsidRDefault="00025183" w:rsidP="00C02282">
      <w:pPr>
        <w:spacing w:after="0"/>
        <w:ind w:left="708"/>
        <w:jc w:val="center"/>
        <w:rPr>
          <w:rFonts w:ascii="Arial" w:hAnsi="Arial" w:cs="Arial"/>
          <w:color w:val="000000"/>
          <w:sz w:val="16"/>
          <w:szCs w:val="16"/>
          <w:highlight w:val="yellow"/>
        </w:rPr>
      </w:pPr>
    </w:p>
    <w:p w14:paraId="1694442D" w14:textId="77777777" w:rsidR="008A4B8C" w:rsidRDefault="008A4B8C" w:rsidP="00C02282">
      <w:pPr>
        <w:spacing w:after="0"/>
        <w:ind w:left="708"/>
        <w:jc w:val="center"/>
        <w:rPr>
          <w:rFonts w:ascii="Arial" w:hAnsi="Arial" w:cs="Arial"/>
          <w:color w:val="000000"/>
          <w:sz w:val="16"/>
          <w:szCs w:val="16"/>
        </w:rPr>
      </w:pPr>
    </w:p>
    <w:p w14:paraId="67B9C503" w14:textId="77777777" w:rsidR="008A4B8C" w:rsidRDefault="008A4B8C" w:rsidP="00C02282">
      <w:pPr>
        <w:spacing w:after="0"/>
        <w:ind w:left="708"/>
        <w:jc w:val="center"/>
        <w:rPr>
          <w:rFonts w:ascii="Arial" w:hAnsi="Arial" w:cs="Arial"/>
          <w:color w:val="000000"/>
          <w:sz w:val="16"/>
          <w:szCs w:val="16"/>
        </w:rPr>
      </w:pPr>
    </w:p>
    <w:p w14:paraId="1FBC8781" w14:textId="77777777" w:rsidR="008A4B8C" w:rsidRDefault="008A4B8C" w:rsidP="00C02282">
      <w:pPr>
        <w:spacing w:after="0"/>
        <w:ind w:left="708"/>
        <w:jc w:val="center"/>
        <w:rPr>
          <w:rFonts w:ascii="Arial" w:hAnsi="Arial" w:cs="Arial"/>
          <w:color w:val="000000"/>
          <w:sz w:val="16"/>
          <w:szCs w:val="16"/>
        </w:rPr>
      </w:pPr>
    </w:p>
    <w:p w14:paraId="12D428A6" w14:textId="77777777" w:rsidR="008A4B8C" w:rsidRDefault="008A4B8C" w:rsidP="00C02282">
      <w:pPr>
        <w:spacing w:after="0"/>
        <w:ind w:left="708"/>
        <w:jc w:val="center"/>
        <w:rPr>
          <w:rFonts w:ascii="Arial" w:hAnsi="Arial" w:cs="Arial"/>
          <w:color w:val="000000"/>
          <w:sz w:val="16"/>
          <w:szCs w:val="16"/>
        </w:rPr>
      </w:pPr>
    </w:p>
    <w:p w14:paraId="693DF46D" w14:textId="77777777" w:rsidR="008A4B8C" w:rsidRDefault="008A4B8C" w:rsidP="00C02282">
      <w:pPr>
        <w:spacing w:after="0"/>
        <w:ind w:left="708"/>
        <w:jc w:val="center"/>
        <w:rPr>
          <w:rFonts w:ascii="Arial" w:hAnsi="Arial" w:cs="Arial"/>
          <w:color w:val="000000"/>
          <w:sz w:val="16"/>
          <w:szCs w:val="16"/>
        </w:rPr>
      </w:pPr>
    </w:p>
    <w:p w14:paraId="13E2F27A" w14:textId="77777777" w:rsidR="008A4B8C" w:rsidRDefault="008A4B8C" w:rsidP="00C02282">
      <w:pPr>
        <w:spacing w:after="0"/>
        <w:ind w:left="708"/>
        <w:jc w:val="center"/>
        <w:rPr>
          <w:rFonts w:ascii="Arial" w:hAnsi="Arial" w:cs="Arial"/>
          <w:color w:val="000000"/>
          <w:sz w:val="16"/>
          <w:szCs w:val="16"/>
        </w:rPr>
      </w:pPr>
    </w:p>
    <w:p w14:paraId="3477A1B4" w14:textId="44B94D9A" w:rsidR="00C02282" w:rsidRPr="00025183" w:rsidRDefault="00C02282" w:rsidP="00C02282">
      <w:pPr>
        <w:spacing w:after="0"/>
        <w:ind w:left="708"/>
        <w:jc w:val="center"/>
        <w:rPr>
          <w:rFonts w:ascii="Arial" w:hAnsi="Arial" w:cs="Arial"/>
          <w:color w:val="000000"/>
          <w:sz w:val="16"/>
          <w:szCs w:val="16"/>
        </w:rPr>
      </w:pPr>
      <w:r w:rsidRPr="00025183">
        <w:rPr>
          <w:rFonts w:ascii="Arial" w:hAnsi="Arial" w:cs="Arial"/>
          <w:color w:val="000000"/>
          <w:sz w:val="16"/>
          <w:szCs w:val="16"/>
        </w:rPr>
        <w:t>Millones de pesos</w:t>
      </w:r>
    </w:p>
    <w:p w14:paraId="6C8351E0" w14:textId="77777777" w:rsidR="00C02282" w:rsidRPr="00025183" w:rsidRDefault="00C02282" w:rsidP="00C02282">
      <w:pPr>
        <w:spacing w:after="0"/>
        <w:ind w:left="708"/>
        <w:jc w:val="center"/>
        <w:rPr>
          <w:rFonts w:ascii="Arial" w:eastAsia="Calibri" w:hAnsi="Arial" w:cs="Arial"/>
          <w:sz w:val="16"/>
          <w:szCs w:val="16"/>
        </w:rPr>
      </w:pPr>
      <w:r w:rsidRPr="00025183">
        <w:rPr>
          <w:rFonts w:ascii="Arial" w:eastAsia="Calibri" w:hAnsi="Arial" w:cs="Arial"/>
          <w:sz w:val="16"/>
          <w:szCs w:val="16"/>
        </w:rPr>
        <w:t>Fuente: SIIF Nación UPME</w:t>
      </w:r>
    </w:p>
    <w:p w14:paraId="04E8F644" w14:textId="77777777" w:rsidR="00C02282" w:rsidRPr="006A67B4" w:rsidRDefault="00C02282" w:rsidP="00C02282">
      <w:pPr>
        <w:spacing w:after="0"/>
        <w:ind w:left="708"/>
        <w:jc w:val="center"/>
        <w:rPr>
          <w:rFonts w:eastAsia="Calibri" w:cs="Arial"/>
          <w:highlight w:val="yellow"/>
        </w:rPr>
      </w:pPr>
    </w:p>
    <w:p w14:paraId="789CAFCA" w14:textId="562C916E" w:rsidR="00025183" w:rsidRPr="00D156D5" w:rsidRDefault="00025183" w:rsidP="00025183">
      <w:pPr>
        <w:jc w:val="both"/>
        <w:rPr>
          <w:rFonts w:ascii="Arial" w:hAnsi="Arial" w:cs="Arial"/>
          <w:bCs/>
          <w:lang w:val="es-ES_tradnl"/>
        </w:rPr>
      </w:pPr>
      <w:r w:rsidRPr="00D156D5">
        <w:rPr>
          <w:rFonts w:ascii="Arial" w:hAnsi="Arial" w:cs="Arial"/>
          <w:bCs/>
        </w:rPr>
        <w:t>Por otra parte, la UPME se financia con</w:t>
      </w:r>
      <w:r w:rsidRPr="00D156D5">
        <w:rPr>
          <w:rFonts w:ascii="Arial" w:hAnsi="Arial" w:cs="Arial"/>
          <w:bCs/>
          <w:lang w:val="es-ES_tradnl"/>
        </w:rPr>
        <w:t xml:space="preserve"> los excedentes financieros asi</w:t>
      </w:r>
      <w:r>
        <w:rPr>
          <w:rFonts w:ascii="Arial" w:hAnsi="Arial" w:cs="Arial"/>
          <w:bCs/>
          <w:lang w:val="es-ES_tradnl"/>
        </w:rPr>
        <w:t xml:space="preserve">gnados por el CONPES por valor </w:t>
      </w:r>
      <w:r w:rsidRPr="00D156D5">
        <w:rPr>
          <w:rFonts w:ascii="Arial" w:hAnsi="Arial" w:cs="Arial"/>
          <w:bCs/>
          <w:lang w:val="es-ES_tradnl"/>
        </w:rPr>
        <w:t xml:space="preserve">de $3.224 millones lo cual equivale al 9% del presupuesto total aprobado. Con corte a </w:t>
      </w:r>
      <w:proofErr w:type="gramStart"/>
      <w:r w:rsidRPr="00D156D5">
        <w:rPr>
          <w:rFonts w:ascii="Arial" w:hAnsi="Arial" w:cs="Arial"/>
          <w:bCs/>
          <w:lang w:val="es-ES_tradnl"/>
        </w:rPr>
        <w:t>Junio</w:t>
      </w:r>
      <w:proofErr w:type="gramEnd"/>
      <w:r w:rsidRPr="00D156D5">
        <w:rPr>
          <w:rFonts w:ascii="Arial" w:hAnsi="Arial" w:cs="Arial"/>
          <w:bCs/>
          <w:lang w:val="es-ES_tradnl"/>
        </w:rPr>
        <w:t xml:space="preserve"> 30 de 2018 el comportamiento de los ingresos fue el siguiente:</w:t>
      </w:r>
    </w:p>
    <w:p w14:paraId="389BC937" w14:textId="2CF3879B" w:rsidR="00C02282" w:rsidRPr="00025183" w:rsidRDefault="00C02282" w:rsidP="00C02282">
      <w:pPr>
        <w:pStyle w:val="Descripcin"/>
        <w:keepNext/>
        <w:jc w:val="center"/>
      </w:pPr>
      <w:bookmarkStart w:id="299" w:name="_Toc525652574"/>
      <w:r w:rsidRPr="00025183">
        <w:t xml:space="preserve">Tabla </w:t>
      </w:r>
      <w:r w:rsidRPr="00025183">
        <w:fldChar w:fldCharType="begin"/>
      </w:r>
      <w:r w:rsidRPr="00025183">
        <w:instrText xml:space="preserve"> SEQ Tabla \* ARABIC </w:instrText>
      </w:r>
      <w:r w:rsidRPr="00025183">
        <w:fldChar w:fldCharType="separate"/>
      </w:r>
      <w:r w:rsidR="008B4625">
        <w:rPr>
          <w:noProof/>
        </w:rPr>
        <w:t>129</w:t>
      </w:r>
      <w:r w:rsidRPr="00025183">
        <w:fldChar w:fldCharType="end"/>
      </w:r>
      <w:r w:rsidR="00025183" w:rsidRPr="00025183">
        <w:t xml:space="preserve"> EJECUCIÓN DE INGRESOS a 30 de junio </w:t>
      </w:r>
      <w:r w:rsidRPr="00025183">
        <w:t xml:space="preserve"> de 2018</w:t>
      </w:r>
      <w:r w:rsidRPr="00025183">
        <w:rPr>
          <w:noProof/>
        </w:rPr>
        <w:t xml:space="preserve"> UPME</w:t>
      </w:r>
      <w:bookmarkEnd w:id="299"/>
    </w:p>
    <w:tbl>
      <w:tblPr>
        <w:tblW w:w="0" w:type="auto"/>
        <w:jc w:val="center"/>
        <w:tblCellMar>
          <w:left w:w="70" w:type="dxa"/>
          <w:right w:w="70" w:type="dxa"/>
        </w:tblCellMar>
        <w:tblLook w:val="04A0" w:firstRow="1" w:lastRow="0" w:firstColumn="1" w:lastColumn="0" w:noHBand="0" w:noVBand="1"/>
      </w:tblPr>
      <w:tblGrid>
        <w:gridCol w:w="2770"/>
        <w:gridCol w:w="1815"/>
        <w:gridCol w:w="1070"/>
        <w:gridCol w:w="764"/>
      </w:tblGrid>
      <w:tr w:rsidR="00025183" w:rsidRPr="00D156D5" w14:paraId="24844035" w14:textId="77777777" w:rsidTr="00025183">
        <w:trPr>
          <w:trHeight w:val="465"/>
          <w:jc w:val="center"/>
        </w:trPr>
        <w:tc>
          <w:tcPr>
            <w:tcW w:w="0" w:type="auto"/>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5C3CBF8"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DESCRIPCIÓN</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14:paraId="7374DFC7"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Aforo (Millones)</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14:paraId="65B9CAB4"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Recaudo</w:t>
            </w:r>
          </w:p>
        </w:tc>
        <w:tc>
          <w:tcPr>
            <w:tcW w:w="0" w:type="auto"/>
            <w:tcBorders>
              <w:top w:val="single" w:sz="4" w:space="0" w:color="auto"/>
              <w:left w:val="nil"/>
              <w:bottom w:val="single" w:sz="4" w:space="0" w:color="auto"/>
              <w:right w:val="single" w:sz="4" w:space="0" w:color="auto"/>
            </w:tcBorders>
            <w:shd w:val="clear" w:color="auto" w:fill="4F81BD" w:themeFill="accent1"/>
            <w:vAlign w:val="center"/>
            <w:hideMark/>
          </w:tcPr>
          <w:p w14:paraId="23A24D82"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w:t>
            </w:r>
          </w:p>
        </w:tc>
      </w:tr>
      <w:tr w:rsidR="00025183" w:rsidRPr="00D156D5" w14:paraId="658D9933" w14:textId="77777777" w:rsidTr="00025183">
        <w:trPr>
          <w:trHeight w:val="30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9FEBC7" w14:textId="77777777" w:rsidR="00025183" w:rsidRPr="00D156D5" w:rsidRDefault="00025183" w:rsidP="00025183">
            <w:pPr>
              <w:rPr>
                <w:rFonts w:ascii="Arial" w:hAnsi="Arial" w:cs="Arial"/>
                <w:color w:val="000000"/>
                <w:szCs w:val="18"/>
                <w:lang w:eastAsia="es-CO"/>
              </w:rPr>
            </w:pPr>
            <w:r w:rsidRPr="00D156D5">
              <w:rPr>
                <w:rFonts w:ascii="Arial" w:hAnsi="Arial" w:cs="Arial"/>
                <w:color w:val="000000"/>
                <w:szCs w:val="18"/>
                <w:lang w:eastAsia="es-CO"/>
              </w:rPr>
              <w:t>Aportes de otras entidades</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224DF74" w14:textId="77777777" w:rsidR="00025183" w:rsidRPr="00D156D5" w:rsidRDefault="00025183" w:rsidP="00025183">
            <w:pPr>
              <w:jc w:val="right"/>
              <w:rPr>
                <w:rFonts w:ascii="Arial" w:hAnsi="Arial" w:cs="Arial"/>
                <w:color w:val="000000"/>
                <w:szCs w:val="18"/>
                <w:lang w:eastAsia="es-CO"/>
              </w:rPr>
            </w:pPr>
            <w:r w:rsidRPr="00D156D5">
              <w:rPr>
                <w:rFonts w:ascii="Arial" w:hAnsi="Arial" w:cs="Arial"/>
                <w:color w:val="000000"/>
                <w:szCs w:val="18"/>
                <w:lang w:eastAsia="es-CO"/>
              </w:rPr>
              <w:t>31.317</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B9D146C" w14:textId="77777777" w:rsidR="00025183" w:rsidRPr="00D156D5" w:rsidRDefault="00025183" w:rsidP="00025183">
            <w:pPr>
              <w:jc w:val="right"/>
              <w:rPr>
                <w:rFonts w:ascii="Arial" w:hAnsi="Arial" w:cs="Arial"/>
                <w:color w:val="000000"/>
                <w:szCs w:val="18"/>
                <w:lang w:eastAsia="es-CO"/>
              </w:rPr>
            </w:pPr>
            <w:r w:rsidRPr="00D156D5">
              <w:rPr>
                <w:rFonts w:ascii="Arial" w:hAnsi="Arial" w:cs="Arial"/>
                <w:color w:val="000000"/>
                <w:szCs w:val="18"/>
                <w:lang w:eastAsia="es-CO"/>
              </w:rPr>
              <w:t>21.194</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42549D0"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68%</w:t>
            </w:r>
          </w:p>
        </w:tc>
      </w:tr>
      <w:tr w:rsidR="00025183" w:rsidRPr="00D156D5" w14:paraId="6A3FC410" w14:textId="77777777" w:rsidTr="0002518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3B1997" w14:textId="77777777" w:rsidR="00025183" w:rsidRPr="00D156D5" w:rsidRDefault="00025183" w:rsidP="00025183">
            <w:pPr>
              <w:rPr>
                <w:rFonts w:ascii="Arial" w:hAnsi="Arial" w:cs="Arial"/>
                <w:color w:val="000000"/>
                <w:szCs w:val="18"/>
                <w:lang w:eastAsia="es-CO"/>
              </w:rPr>
            </w:pPr>
            <w:r w:rsidRPr="00D156D5">
              <w:rPr>
                <w:rFonts w:ascii="Arial" w:hAnsi="Arial" w:cs="Arial"/>
                <w:color w:val="000000"/>
                <w:szCs w:val="18"/>
                <w:lang w:eastAsia="es-CO"/>
              </w:rPr>
              <w:t xml:space="preserve">Otros ingresos </w:t>
            </w:r>
          </w:p>
        </w:tc>
        <w:tc>
          <w:tcPr>
            <w:tcW w:w="0" w:type="auto"/>
            <w:tcBorders>
              <w:top w:val="nil"/>
              <w:left w:val="nil"/>
              <w:bottom w:val="single" w:sz="4" w:space="0" w:color="auto"/>
              <w:right w:val="single" w:sz="4" w:space="0" w:color="auto"/>
            </w:tcBorders>
            <w:shd w:val="clear" w:color="auto" w:fill="auto"/>
            <w:vAlign w:val="center"/>
            <w:hideMark/>
          </w:tcPr>
          <w:p w14:paraId="6A516415" w14:textId="77777777" w:rsidR="00025183" w:rsidRPr="00D156D5" w:rsidRDefault="00025183" w:rsidP="00025183">
            <w:pPr>
              <w:jc w:val="right"/>
              <w:rPr>
                <w:rFonts w:ascii="Arial" w:hAnsi="Arial" w:cs="Arial"/>
                <w:color w:val="000000"/>
                <w:szCs w:val="18"/>
                <w:lang w:eastAsia="es-CO"/>
              </w:rPr>
            </w:pPr>
            <w:r w:rsidRPr="00D156D5">
              <w:rPr>
                <w:rFonts w:ascii="Arial" w:hAnsi="Arial" w:cs="Arial"/>
                <w:color w:val="000000"/>
                <w:szCs w:val="18"/>
                <w:lang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4F797C9A" w14:textId="77777777" w:rsidR="00025183" w:rsidRPr="00D156D5" w:rsidRDefault="00025183" w:rsidP="00025183">
            <w:pPr>
              <w:jc w:val="right"/>
              <w:rPr>
                <w:rFonts w:ascii="Arial" w:hAnsi="Arial" w:cs="Arial"/>
                <w:color w:val="000000"/>
                <w:szCs w:val="18"/>
                <w:lang w:eastAsia="es-CO"/>
              </w:rPr>
            </w:pPr>
            <w:r w:rsidRPr="00D156D5">
              <w:rPr>
                <w:rFonts w:ascii="Arial" w:hAnsi="Arial" w:cs="Arial"/>
                <w:color w:val="000000"/>
                <w:szCs w:val="18"/>
                <w:lang w:eastAsia="es-CO"/>
              </w:rPr>
              <w:t>299</w:t>
            </w:r>
          </w:p>
        </w:tc>
        <w:tc>
          <w:tcPr>
            <w:tcW w:w="0" w:type="auto"/>
            <w:tcBorders>
              <w:top w:val="nil"/>
              <w:left w:val="nil"/>
              <w:bottom w:val="single" w:sz="4" w:space="0" w:color="auto"/>
              <w:right w:val="single" w:sz="4" w:space="0" w:color="auto"/>
            </w:tcBorders>
            <w:shd w:val="clear" w:color="auto" w:fill="auto"/>
            <w:vAlign w:val="center"/>
            <w:hideMark/>
          </w:tcPr>
          <w:p w14:paraId="02AE0D45" w14:textId="77777777" w:rsidR="00025183" w:rsidRPr="00D156D5" w:rsidRDefault="00025183" w:rsidP="00025183">
            <w:pPr>
              <w:jc w:val="center"/>
              <w:rPr>
                <w:rFonts w:ascii="Arial" w:hAnsi="Arial" w:cs="Arial"/>
                <w:b/>
                <w:bCs/>
                <w:color w:val="000000"/>
                <w:szCs w:val="18"/>
                <w:lang w:eastAsia="es-CO"/>
              </w:rPr>
            </w:pPr>
          </w:p>
        </w:tc>
      </w:tr>
      <w:tr w:rsidR="00025183" w:rsidRPr="00D156D5" w14:paraId="30C81349" w14:textId="77777777" w:rsidTr="0002518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19C44" w14:textId="77777777" w:rsidR="00025183" w:rsidRPr="00D156D5" w:rsidRDefault="00025183" w:rsidP="00025183">
            <w:pPr>
              <w:rPr>
                <w:rFonts w:ascii="Arial" w:hAnsi="Arial" w:cs="Arial"/>
                <w:color w:val="000000"/>
                <w:szCs w:val="18"/>
                <w:lang w:eastAsia="es-CO"/>
              </w:rPr>
            </w:pPr>
            <w:r w:rsidRPr="00D156D5">
              <w:rPr>
                <w:rFonts w:ascii="Arial" w:hAnsi="Arial" w:cs="Arial"/>
                <w:color w:val="000000"/>
                <w:szCs w:val="18"/>
                <w:lang w:eastAsia="es-CO"/>
              </w:rPr>
              <w:t>Recursos de capital</w:t>
            </w:r>
          </w:p>
        </w:tc>
        <w:tc>
          <w:tcPr>
            <w:tcW w:w="0" w:type="auto"/>
            <w:tcBorders>
              <w:top w:val="nil"/>
              <w:left w:val="nil"/>
              <w:bottom w:val="single" w:sz="4" w:space="0" w:color="auto"/>
              <w:right w:val="single" w:sz="4" w:space="0" w:color="auto"/>
            </w:tcBorders>
            <w:shd w:val="clear" w:color="auto" w:fill="auto"/>
            <w:vAlign w:val="center"/>
            <w:hideMark/>
          </w:tcPr>
          <w:p w14:paraId="74E4B03F" w14:textId="77777777" w:rsidR="00025183" w:rsidRPr="00D156D5" w:rsidRDefault="00025183" w:rsidP="00025183">
            <w:pPr>
              <w:jc w:val="right"/>
              <w:rPr>
                <w:rFonts w:ascii="Arial" w:hAnsi="Arial" w:cs="Arial"/>
                <w:color w:val="000000"/>
                <w:szCs w:val="18"/>
                <w:lang w:eastAsia="es-CO"/>
              </w:rPr>
            </w:pPr>
            <w:r w:rsidRPr="00D156D5">
              <w:rPr>
                <w:rFonts w:ascii="Arial" w:hAnsi="Arial" w:cs="Arial"/>
                <w:color w:val="000000"/>
                <w:szCs w:val="18"/>
                <w:lang w:eastAsia="es-CO"/>
              </w:rPr>
              <w:t>3.224</w:t>
            </w:r>
          </w:p>
        </w:tc>
        <w:tc>
          <w:tcPr>
            <w:tcW w:w="0" w:type="auto"/>
            <w:tcBorders>
              <w:top w:val="nil"/>
              <w:left w:val="nil"/>
              <w:bottom w:val="single" w:sz="4" w:space="0" w:color="auto"/>
              <w:right w:val="single" w:sz="4" w:space="0" w:color="auto"/>
            </w:tcBorders>
            <w:shd w:val="clear" w:color="auto" w:fill="auto"/>
            <w:vAlign w:val="center"/>
            <w:hideMark/>
          </w:tcPr>
          <w:p w14:paraId="044A4F09" w14:textId="77777777" w:rsidR="00025183" w:rsidRPr="00D156D5" w:rsidRDefault="00025183" w:rsidP="00025183">
            <w:pPr>
              <w:jc w:val="right"/>
              <w:rPr>
                <w:rFonts w:ascii="Arial" w:hAnsi="Arial" w:cs="Arial"/>
                <w:color w:val="000000"/>
                <w:szCs w:val="18"/>
                <w:lang w:eastAsia="es-CO"/>
              </w:rPr>
            </w:pPr>
            <w:r w:rsidRPr="00D156D5">
              <w:rPr>
                <w:rFonts w:ascii="Arial" w:hAnsi="Arial" w:cs="Arial"/>
                <w:color w:val="000000"/>
                <w:szCs w:val="18"/>
                <w:lang w:eastAsia="es-CO"/>
              </w:rPr>
              <w:t>1,03</w:t>
            </w:r>
          </w:p>
        </w:tc>
        <w:tc>
          <w:tcPr>
            <w:tcW w:w="0" w:type="auto"/>
            <w:tcBorders>
              <w:top w:val="nil"/>
              <w:left w:val="nil"/>
              <w:bottom w:val="single" w:sz="4" w:space="0" w:color="auto"/>
              <w:right w:val="single" w:sz="4" w:space="0" w:color="auto"/>
            </w:tcBorders>
            <w:shd w:val="clear" w:color="auto" w:fill="auto"/>
            <w:vAlign w:val="center"/>
            <w:hideMark/>
          </w:tcPr>
          <w:p w14:paraId="31C6C032"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0,03%</w:t>
            </w:r>
          </w:p>
        </w:tc>
      </w:tr>
      <w:tr w:rsidR="00025183" w:rsidRPr="00D156D5" w14:paraId="38BE72D3" w14:textId="77777777" w:rsidTr="00025183">
        <w:trPr>
          <w:trHeight w:val="300"/>
          <w:jc w:val="center"/>
        </w:trPr>
        <w:tc>
          <w:tcPr>
            <w:tcW w:w="0" w:type="auto"/>
            <w:tcBorders>
              <w:top w:val="nil"/>
              <w:left w:val="single" w:sz="4" w:space="0" w:color="auto"/>
              <w:bottom w:val="single" w:sz="4" w:space="0" w:color="auto"/>
              <w:right w:val="single" w:sz="4" w:space="0" w:color="auto"/>
            </w:tcBorders>
            <w:shd w:val="clear" w:color="auto" w:fill="4F81BD" w:themeFill="accent1"/>
            <w:vAlign w:val="center"/>
            <w:hideMark/>
          </w:tcPr>
          <w:p w14:paraId="06989830" w14:textId="77777777" w:rsidR="00025183" w:rsidRPr="00D156D5" w:rsidRDefault="00025183" w:rsidP="00025183">
            <w:pPr>
              <w:rPr>
                <w:rFonts w:ascii="Arial" w:hAnsi="Arial" w:cs="Arial"/>
                <w:b/>
                <w:color w:val="000000"/>
                <w:szCs w:val="18"/>
                <w:lang w:eastAsia="es-CO"/>
              </w:rPr>
            </w:pPr>
            <w:r w:rsidRPr="00D156D5">
              <w:rPr>
                <w:rFonts w:ascii="Arial" w:hAnsi="Arial" w:cs="Arial"/>
                <w:b/>
                <w:color w:val="000000"/>
                <w:szCs w:val="18"/>
                <w:lang w:eastAsia="es-CO"/>
              </w:rPr>
              <w:t>Total</w:t>
            </w:r>
          </w:p>
        </w:tc>
        <w:tc>
          <w:tcPr>
            <w:tcW w:w="0" w:type="auto"/>
            <w:tcBorders>
              <w:top w:val="nil"/>
              <w:left w:val="nil"/>
              <w:bottom w:val="single" w:sz="4" w:space="0" w:color="auto"/>
              <w:right w:val="single" w:sz="4" w:space="0" w:color="auto"/>
            </w:tcBorders>
            <w:shd w:val="clear" w:color="auto" w:fill="4F81BD" w:themeFill="accent1"/>
            <w:vAlign w:val="center"/>
            <w:hideMark/>
          </w:tcPr>
          <w:p w14:paraId="2713138D" w14:textId="77777777" w:rsidR="00025183" w:rsidRPr="00D156D5" w:rsidRDefault="00025183" w:rsidP="00025183">
            <w:pPr>
              <w:jc w:val="right"/>
              <w:rPr>
                <w:rFonts w:ascii="Arial" w:hAnsi="Arial" w:cs="Arial"/>
                <w:b/>
                <w:color w:val="000000"/>
                <w:szCs w:val="18"/>
                <w:lang w:eastAsia="es-CO"/>
              </w:rPr>
            </w:pPr>
            <w:r w:rsidRPr="00D156D5">
              <w:rPr>
                <w:rFonts w:ascii="Arial" w:hAnsi="Arial" w:cs="Arial"/>
                <w:b/>
                <w:color w:val="000000"/>
                <w:szCs w:val="18"/>
                <w:lang w:eastAsia="es-CO"/>
              </w:rPr>
              <w:t>34.541</w:t>
            </w:r>
          </w:p>
        </w:tc>
        <w:tc>
          <w:tcPr>
            <w:tcW w:w="0" w:type="auto"/>
            <w:tcBorders>
              <w:top w:val="nil"/>
              <w:left w:val="nil"/>
              <w:bottom w:val="single" w:sz="4" w:space="0" w:color="auto"/>
              <w:right w:val="single" w:sz="4" w:space="0" w:color="auto"/>
            </w:tcBorders>
            <w:shd w:val="clear" w:color="auto" w:fill="4F81BD" w:themeFill="accent1"/>
            <w:vAlign w:val="center"/>
            <w:hideMark/>
          </w:tcPr>
          <w:p w14:paraId="21E1BED9" w14:textId="77777777" w:rsidR="00025183" w:rsidRPr="00D156D5" w:rsidRDefault="00025183" w:rsidP="00025183">
            <w:pPr>
              <w:jc w:val="right"/>
              <w:rPr>
                <w:rFonts w:ascii="Arial" w:hAnsi="Arial" w:cs="Arial"/>
                <w:b/>
                <w:color w:val="000000"/>
                <w:szCs w:val="18"/>
                <w:lang w:eastAsia="es-CO"/>
              </w:rPr>
            </w:pPr>
            <w:r w:rsidRPr="00D156D5">
              <w:rPr>
                <w:rFonts w:ascii="Arial" w:hAnsi="Arial" w:cs="Arial"/>
                <w:b/>
                <w:color w:val="000000"/>
                <w:szCs w:val="18"/>
                <w:lang w:eastAsia="es-CO"/>
              </w:rPr>
              <w:t>21.493</w:t>
            </w:r>
          </w:p>
        </w:tc>
        <w:tc>
          <w:tcPr>
            <w:tcW w:w="0" w:type="auto"/>
            <w:tcBorders>
              <w:top w:val="nil"/>
              <w:left w:val="nil"/>
              <w:bottom w:val="single" w:sz="4" w:space="0" w:color="auto"/>
              <w:right w:val="single" w:sz="4" w:space="0" w:color="auto"/>
            </w:tcBorders>
            <w:shd w:val="clear" w:color="auto" w:fill="4F81BD" w:themeFill="accent1"/>
            <w:vAlign w:val="center"/>
            <w:hideMark/>
          </w:tcPr>
          <w:p w14:paraId="6C634E44" w14:textId="77777777" w:rsidR="00025183" w:rsidRPr="00D156D5" w:rsidRDefault="00025183" w:rsidP="00025183">
            <w:pPr>
              <w:jc w:val="center"/>
              <w:rPr>
                <w:rFonts w:ascii="Arial" w:hAnsi="Arial" w:cs="Arial"/>
                <w:b/>
                <w:bCs/>
                <w:color w:val="000000"/>
                <w:szCs w:val="18"/>
                <w:lang w:eastAsia="es-CO"/>
              </w:rPr>
            </w:pPr>
            <w:r w:rsidRPr="00D156D5">
              <w:rPr>
                <w:rFonts w:ascii="Arial" w:hAnsi="Arial" w:cs="Arial"/>
                <w:b/>
                <w:bCs/>
                <w:color w:val="000000"/>
                <w:szCs w:val="18"/>
                <w:lang w:eastAsia="es-CO"/>
              </w:rPr>
              <w:t>62%</w:t>
            </w:r>
          </w:p>
        </w:tc>
      </w:tr>
    </w:tbl>
    <w:p w14:paraId="706DF1B8" w14:textId="77777777" w:rsidR="00C02282" w:rsidRPr="00025183" w:rsidRDefault="00C02282" w:rsidP="00C02282">
      <w:pPr>
        <w:spacing w:after="0"/>
        <w:ind w:left="708"/>
        <w:jc w:val="center"/>
        <w:rPr>
          <w:rFonts w:ascii="Arial" w:hAnsi="Arial" w:cs="Arial"/>
          <w:color w:val="000000"/>
          <w:sz w:val="16"/>
          <w:szCs w:val="16"/>
        </w:rPr>
      </w:pPr>
      <w:r w:rsidRPr="00025183">
        <w:rPr>
          <w:rFonts w:ascii="Arial" w:hAnsi="Arial" w:cs="Arial"/>
          <w:color w:val="000000"/>
          <w:sz w:val="16"/>
          <w:szCs w:val="16"/>
        </w:rPr>
        <w:t>Millones de pesos</w:t>
      </w:r>
    </w:p>
    <w:p w14:paraId="44DF0213" w14:textId="77777777" w:rsidR="00C02282" w:rsidRPr="00025183" w:rsidRDefault="00C02282" w:rsidP="00C02282">
      <w:pPr>
        <w:spacing w:after="0"/>
        <w:ind w:left="708"/>
        <w:jc w:val="center"/>
        <w:rPr>
          <w:rFonts w:eastAsia="Calibri" w:cs="Arial"/>
        </w:rPr>
      </w:pPr>
      <w:r w:rsidRPr="00025183">
        <w:rPr>
          <w:rFonts w:ascii="Arial" w:eastAsia="Calibri" w:hAnsi="Arial" w:cs="Arial"/>
          <w:sz w:val="16"/>
          <w:szCs w:val="16"/>
        </w:rPr>
        <w:t>Fuente: SIIF Nación UPME</w:t>
      </w:r>
    </w:p>
    <w:p w14:paraId="4A69C634" w14:textId="77777777" w:rsidR="00025183" w:rsidRPr="00025183" w:rsidRDefault="00025183" w:rsidP="00025183">
      <w:pPr>
        <w:jc w:val="both"/>
        <w:rPr>
          <w:rFonts w:ascii="Arial" w:hAnsi="Arial" w:cs="Arial"/>
          <w:bCs/>
          <w:lang w:val="es-ES_tradnl"/>
        </w:rPr>
      </w:pPr>
      <w:r w:rsidRPr="00025183">
        <w:rPr>
          <w:rFonts w:ascii="Arial" w:hAnsi="Arial" w:cs="Arial"/>
          <w:bCs/>
          <w:lang w:val="es-ES_tradnl"/>
        </w:rPr>
        <w:lastRenderedPageBreak/>
        <w:t>Con cargo a Otros Ingresos, se recaudaron ingresos no aforados por concepto de venta de pliegos entre otros por $299 millones de pesos, mientras que en Recursos de Capital se obtuvo $1.03 millones originados por: rendimientos financieros, recursos del balance con excedentes financieros y reintegro de vigencias anteriores.</w:t>
      </w:r>
    </w:p>
    <w:p w14:paraId="407F549E" w14:textId="77777777" w:rsidR="00C02282" w:rsidRPr="00025183" w:rsidRDefault="00C02282" w:rsidP="00055F7C">
      <w:pPr>
        <w:pStyle w:val="Ttulo2"/>
        <w:numPr>
          <w:ilvl w:val="1"/>
          <w:numId w:val="12"/>
        </w:numPr>
        <w:rPr>
          <w:rFonts w:ascii="Arial" w:eastAsia="Calibri" w:hAnsi="Arial" w:cs="Arial"/>
          <w:color w:val="auto"/>
          <w:sz w:val="22"/>
          <w:szCs w:val="22"/>
        </w:rPr>
      </w:pPr>
      <w:bookmarkStart w:id="300" w:name="_Toc525652093"/>
      <w:r w:rsidRPr="00025183">
        <w:rPr>
          <w:rFonts w:ascii="Arial" w:eastAsia="Calibri" w:hAnsi="Arial" w:cs="Arial"/>
          <w:color w:val="auto"/>
          <w:sz w:val="22"/>
          <w:szCs w:val="22"/>
        </w:rPr>
        <w:t>Gastos UPME</w:t>
      </w:r>
      <w:bookmarkEnd w:id="300"/>
    </w:p>
    <w:p w14:paraId="65993642" w14:textId="77777777" w:rsidR="008A4B8C" w:rsidRDefault="008A4B8C" w:rsidP="00025183">
      <w:pPr>
        <w:jc w:val="both"/>
        <w:rPr>
          <w:rFonts w:ascii="Arial" w:hAnsi="Arial" w:cs="Arial"/>
          <w:b/>
          <w:bCs/>
        </w:rPr>
      </w:pPr>
    </w:p>
    <w:p w14:paraId="52303DAF" w14:textId="3802FC63" w:rsidR="00025183" w:rsidRPr="00720EA3" w:rsidRDefault="00025183" w:rsidP="00025183">
      <w:pPr>
        <w:jc w:val="both"/>
        <w:rPr>
          <w:rFonts w:ascii="Arial" w:hAnsi="Arial" w:cs="Arial"/>
          <w:bCs/>
          <w:lang w:val="es-ES_tradnl"/>
        </w:rPr>
      </w:pPr>
      <w:r w:rsidRPr="00D156D5">
        <w:rPr>
          <w:rFonts w:ascii="Arial" w:hAnsi="Arial" w:cs="Arial"/>
          <w:b/>
          <w:bCs/>
        </w:rPr>
        <w:t xml:space="preserve">Compromisos: </w:t>
      </w:r>
      <w:r w:rsidRPr="00D156D5">
        <w:rPr>
          <w:rFonts w:ascii="Arial" w:hAnsi="Arial" w:cs="Arial"/>
          <w:bCs/>
          <w:lang w:val="es-ES_tradnl"/>
        </w:rPr>
        <w:t>para la vigencia 2018, de acuerdo con la Ley 1873 del 20 de Diciembre de 2017</w:t>
      </w:r>
      <w:r w:rsidRPr="00D156D5">
        <w:rPr>
          <w:rStyle w:val="Refdenotaalpie"/>
          <w:rFonts w:ascii="Arial" w:hAnsi="Arial" w:cs="Arial"/>
          <w:bCs/>
          <w:lang w:val="es-ES_tradnl"/>
        </w:rPr>
        <w:footnoteReference w:id="4"/>
      </w:r>
      <w:r w:rsidRPr="00D156D5">
        <w:rPr>
          <w:rFonts w:ascii="Arial" w:hAnsi="Arial" w:cs="Arial"/>
          <w:bCs/>
          <w:lang w:val="es-ES_tradnl"/>
        </w:rPr>
        <w:t xml:space="preserve"> y el Decreto de Liquidación 2236 del 27 de diciembre de 2017</w:t>
      </w:r>
      <w:r w:rsidRPr="00D156D5">
        <w:rPr>
          <w:rStyle w:val="Refdenotaalpie"/>
          <w:rFonts w:ascii="Arial" w:hAnsi="Arial" w:cs="Arial"/>
          <w:bCs/>
          <w:lang w:val="es-ES_tradnl"/>
        </w:rPr>
        <w:footnoteReference w:id="5"/>
      </w:r>
      <w:r w:rsidRPr="00D156D5">
        <w:rPr>
          <w:rFonts w:ascii="Arial" w:hAnsi="Arial" w:cs="Arial"/>
          <w:bCs/>
          <w:lang w:val="es-ES_tradnl"/>
        </w:rPr>
        <w:t xml:space="preserve">, la UPME contó con una apropiación presupuestal inicial aprobada de $34.541 millones, correspondiente a $15.270 millones de </w:t>
      </w:r>
      <w:r w:rsidRPr="00720EA3">
        <w:rPr>
          <w:rFonts w:ascii="Arial" w:hAnsi="Arial" w:cs="Arial"/>
          <w:bCs/>
          <w:lang w:val="es-ES_tradnl"/>
        </w:rPr>
        <w:t>funcionamiento y $19.272 millones de inversión.</w:t>
      </w:r>
    </w:p>
    <w:p w14:paraId="4C23586E" w14:textId="4A08B4BA" w:rsidR="00C02282" w:rsidRPr="00720EA3" w:rsidRDefault="00C02282" w:rsidP="00C02282">
      <w:pPr>
        <w:pStyle w:val="Descripcin"/>
        <w:keepNext/>
        <w:jc w:val="center"/>
      </w:pPr>
      <w:bookmarkStart w:id="301" w:name="_Toc525652438"/>
      <w:r w:rsidRPr="00720EA3">
        <w:t xml:space="preserve">Gráfica </w:t>
      </w:r>
      <w:r w:rsidR="00B6251B">
        <w:fldChar w:fldCharType="begin"/>
      </w:r>
      <w:r w:rsidR="00B6251B">
        <w:instrText xml:space="preserve"> SEQ Gráfica \* ARABIC </w:instrText>
      </w:r>
      <w:r w:rsidR="00B6251B">
        <w:fldChar w:fldCharType="separate"/>
      </w:r>
      <w:r w:rsidR="00B6251B">
        <w:rPr>
          <w:noProof/>
        </w:rPr>
        <w:t>25</w:t>
      </w:r>
      <w:r w:rsidR="00B6251B">
        <w:fldChar w:fldCharType="end"/>
      </w:r>
      <w:r w:rsidR="00720EA3" w:rsidRPr="00720EA3">
        <w:t xml:space="preserve"> </w:t>
      </w:r>
      <w:r w:rsidRPr="00720EA3">
        <w:t>Ejecución Pre</w:t>
      </w:r>
      <w:r w:rsidR="00720EA3" w:rsidRPr="00720EA3">
        <w:t xml:space="preserve">supuestal Compromisos a junio 30 </w:t>
      </w:r>
      <w:r w:rsidRPr="00720EA3">
        <w:t xml:space="preserve"> de 2018 UPME</w:t>
      </w:r>
      <w:bookmarkEnd w:id="301"/>
    </w:p>
    <w:p w14:paraId="03046183" w14:textId="0F26CF44" w:rsidR="00C02282" w:rsidRPr="006A67B4" w:rsidRDefault="00720EA3" w:rsidP="00720EA3">
      <w:pPr>
        <w:pStyle w:val="Prrafodelista"/>
        <w:ind w:left="360"/>
        <w:jc w:val="center"/>
        <w:rPr>
          <w:rFonts w:ascii="Arial Narrow" w:hAnsi="Arial Narrow" w:cs="Arial"/>
          <w:bCs/>
          <w:highlight w:val="yellow"/>
          <w:lang w:val="es-ES_tradnl"/>
        </w:rPr>
      </w:pPr>
      <w:r w:rsidRPr="00D156D5">
        <w:rPr>
          <w:rFonts w:cs="Arial"/>
          <w:noProof/>
          <w:lang w:eastAsia="es-CO"/>
        </w:rPr>
        <w:drawing>
          <wp:inline distT="0" distB="0" distL="0" distR="0" wp14:anchorId="5EEA10BC" wp14:editId="0F6C01C2">
            <wp:extent cx="4171950" cy="306705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A1D8121" w14:textId="77777777" w:rsidR="00C02282" w:rsidRPr="00720EA3" w:rsidRDefault="00C02282" w:rsidP="00C02282">
      <w:pPr>
        <w:spacing w:after="0"/>
        <w:ind w:left="708"/>
        <w:jc w:val="center"/>
        <w:rPr>
          <w:rFonts w:eastAsia="Calibri" w:cs="Arial"/>
        </w:rPr>
      </w:pPr>
      <w:r w:rsidRPr="00720EA3">
        <w:rPr>
          <w:rFonts w:ascii="Arial" w:eastAsia="Calibri" w:hAnsi="Arial" w:cs="Arial"/>
          <w:sz w:val="16"/>
          <w:szCs w:val="16"/>
        </w:rPr>
        <w:t>Fuente: UPME</w:t>
      </w:r>
    </w:p>
    <w:p w14:paraId="38EFC514" w14:textId="77777777" w:rsidR="00C02282" w:rsidRPr="006A67B4" w:rsidRDefault="00C02282" w:rsidP="00C02282">
      <w:pPr>
        <w:pStyle w:val="Prrafodelista"/>
        <w:ind w:left="360"/>
        <w:jc w:val="both"/>
        <w:rPr>
          <w:rFonts w:ascii="Arial Narrow" w:hAnsi="Arial Narrow" w:cs="Arial"/>
          <w:bCs/>
          <w:highlight w:val="yellow"/>
          <w:lang w:val="es-ES_tradnl"/>
        </w:rPr>
      </w:pPr>
    </w:p>
    <w:p w14:paraId="50836AB5" w14:textId="47CF0752" w:rsidR="00720EA3" w:rsidRPr="00D156D5" w:rsidRDefault="00720EA3" w:rsidP="00720EA3">
      <w:pPr>
        <w:jc w:val="both"/>
        <w:rPr>
          <w:rFonts w:ascii="Arial" w:hAnsi="Arial" w:cs="Arial"/>
        </w:rPr>
      </w:pPr>
      <w:r w:rsidRPr="00D156D5">
        <w:rPr>
          <w:rFonts w:ascii="Arial" w:hAnsi="Arial" w:cs="Arial"/>
        </w:rPr>
        <w:t xml:space="preserve">Como se puede observar en la gráfica No.1, la ejecución presupuestal de gastos de funcionamiento fue de $6.755 millones de pesos equivalente al 44% del total del presupuesto ejecutado; la inversión por su parte mostró una ejecución de $4.721 millones de pesos que </w:t>
      </w:r>
      <w:r w:rsidRPr="00D156D5">
        <w:rPr>
          <w:rFonts w:ascii="Arial" w:hAnsi="Arial" w:cs="Arial"/>
        </w:rPr>
        <w:lastRenderedPageBreak/>
        <w:t>representan el 24% de los compromisos; en total los compromisos presupuestales de funcionamiento e inversión ascendieron a $11.477 millones de pesos que corresponden a una ejecución del 33% del total de la apropiación vigente.</w:t>
      </w:r>
    </w:p>
    <w:p w14:paraId="5CA18987" w14:textId="77777777" w:rsidR="00720EA3" w:rsidRPr="00D156D5" w:rsidRDefault="00720EA3" w:rsidP="00720EA3">
      <w:pPr>
        <w:jc w:val="both"/>
        <w:rPr>
          <w:rFonts w:ascii="Arial" w:hAnsi="Arial" w:cs="Arial"/>
        </w:rPr>
      </w:pPr>
      <w:r w:rsidRPr="00D156D5">
        <w:rPr>
          <w:rFonts w:ascii="Arial" w:hAnsi="Arial" w:cs="Arial"/>
          <w:b/>
          <w:bCs/>
          <w:iCs/>
          <w:lang w:val="es-ES_tradnl"/>
        </w:rPr>
        <w:t xml:space="preserve">Obligaciones: </w:t>
      </w:r>
      <w:r w:rsidRPr="00D156D5">
        <w:rPr>
          <w:rFonts w:ascii="Arial" w:hAnsi="Arial" w:cs="Arial"/>
        </w:rPr>
        <w:t>frente a las obligaciones, con corte a 30 de junio de 2018, se observó una ejecución consolidada de $5.883 millones de pesos en gastos de funcionamiento equivalente al 39% del total apropiado, mientras que la de inversión fue de $1.732 millones de pesos equivalente a un 9% obligado. De esta manera, la ejecución total al corte del segundo trimestre (funcionamiento + inversión) en obligaciones fue del 22%, con $7.614 millones de pesos, tal y como se muestra a continuación:</w:t>
      </w:r>
    </w:p>
    <w:p w14:paraId="24CBC823" w14:textId="0801109F" w:rsidR="00C02282" w:rsidRPr="00902D75" w:rsidRDefault="00C02282" w:rsidP="00C02282">
      <w:pPr>
        <w:pStyle w:val="Descripcin"/>
        <w:keepNext/>
        <w:jc w:val="center"/>
      </w:pPr>
      <w:bookmarkStart w:id="302" w:name="_Toc525652439"/>
      <w:r w:rsidRPr="00902D75">
        <w:t xml:space="preserve">Gráfica </w:t>
      </w:r>
      <w:r w:rsidR="00B6251B">
        <w:fldChar w:fldCharType="begin"/>
      </w:r>
      <w:r w:rsidR="00B6251B">
        <w:instrText xml:space="preserve"> SEQ Gráfica \* ARABIC </w:instrText>
      </w:r>
      <w:r w:rsidR="00B6251B">
        <w:fldChar w:fldCharType="separate"/>
      </w:r>
      <w:r w:rsidR="00B6251B">
        <w:rPr>
          <w:noProof/>
        </w:rPr>
        <w:t>26</w:t>
      </w:r>
      <w:r w:rsidR="00B6251B">
        <w:fldChar w:fldCharType="end"/>
      </w:r>
      <w:r w:rsidRPr="00902D75">
        <w:t xml:space="preserve"> Ejecución Obligaciones a </w:t>
      </w:r>
      <w:r w:rsidR="00902D75" w:rsidRPr="00902D75">
        <w:t xml:space="preserve">30 de junio de 2018 </w:t>
      </w:r>
      <w:r w:rsidRPr="00902D75">
        <w:t>UPME</w:t>
      </w:r>
      <w:bookmarkEnd w:id="302"/>
    </w:p>
    <w:p w14:paraId="38C9BF48" w14:textId="1C230A65" w:rsidR="00C02282" w:rsidRPr="006A67B4" w:rsidRDefault="00902D75" w:rsidP="00C02282">
      <w:pPr>
        <w:jc w:val="center"/>
        <w:rPr>
          <w:rFonts w:ascii="Arial Narrow" w:hAnsi="Arial Narrow" w:cs="Arial"/>
          <w:highlight w:val="yellow"/>
        </w:rPr>
      </w:pPr>
      <w:r w:rsidRPr="00D156D5">
        <w:rPr>
          <w:rFonts w:ascii="Arial" w:hAnsi="Arial" w:cs="Arial"/>
          <w:noProof/>
          <w:lang w:eastAsia="es-CO"/>
        </w:rPr>
        <w:drawing>
          <wp:inline distT="0" distB="0" distL="0" distR="0" wp14:anchorId="075290D3" wp14:editId="74E6E510">
            <wp:extent cx="3859554" cy="2462530"/>
            <wp:effectExtent l="0" t="0" r="7620" b="139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CAA8A39" w14:textId="4FD478D2" w:rsidR="00C02282" w:rsidRDefault="00C02282" w:rsidP="00902D75">
      <w:pPr>
        <w:spacing w:after="0"/>
        <w:ind w:left="708"/>
        <w:jc w:val="center"/>
        <w:rPr>
          <w:rFonts w:ascii="Arial" w:eastAsia="Calibri" w:hAnsi="Arial" w:cs="Arial"/>
          <w:sz w:val="16"/>
          <w:szCs w:val="16"/>
        </w:rPr>
      </w:pPr>
      <w:r w:rsidRPr="00902D75">
        <w:rPr>
          <w:rFonts w:ascii="Arial" w:eastAsia="Calibri" w:hAnsi="Arial" w:cs="Arial"/>
          <w:sz w:val="16"/>
          <w:szCs w:val="16"/>
        </w:rPr>
        <w:t>Fuente: UPME</w:t>
      </w:r>
    </w:p>
    <w:p w14:paraId="252BE4BC" w14:textId="2DBB23FB" w:rsidR="008A4B8C" w:rsidRDefault="008A4B8C" w:rsidP="00902D75">
      <w:pPr>
        <w:spacing w:after="0"/>
        <w:ind w:left="708"/>
        <w:jc w:val="center"/>
        <w:rPr>
          <w:rFonts w:ascii="Arial" w:eastAsia="Calibri" w:hAnsi="Arial" w:cs="Arial"/>
          <w:sz w:val="16"/>
          <w:szCs w:val="16"/>
        </w:rPr>
      </w:pPr>
    </w:p>
    <w:p w14:paraId="7F6028A0" w14:textId="11B76B08" w:rsidR="008A4B8C" w:rsidRDefault="008A4B8C" w:rsidP="00902D75">
      <w:pPr>
        <w:spacing w:after="0"/>
        <w:ind w:left="708"/>
        <w:jc w:val="center"/>
        <w:rPr>
          <w:rFonts w:ascii="Arial" w:eastAsia="Calibri" w:hAnsi="Arial" w:cs="Arial"/>
          <w:sz w:val="16"/>
          <w:szCs w:val="16"/>
        </w:rPr>
      </w:pPr>
    </w:p>
    <w:p w14:paraId="4491C9E1" w14:textId="3798264D" w:rsidR="008A4B8C" w:rsidRDefault="008A4B8C" w:rsidP="00902D75">
      <w:pPr>
        <w:spacing w:after="0"/>
        <w:ind w:left="708"/>
        <w:jc w:val="center"/>
        <w:rPr>
          <w:rFonts w:ascii="Arial" w:eastAsia="Calibri" w:hAnsi="Arial" w:cs="Arial"/>
          <w:sz w:val="16"/>
          <w:szCs w:val="16"/>
        </w:rPr>
      </w:pPr>
    </w:p>
    <w:p w14:paraId="63022D50" w14:textId="7EA8432A" w:rsidR="008A4B8C" w:rsidRDefault="008A4B8C" w:rsidP="00902D75">
      <w:pPr>
        <w:spacing w:after="0"/>
        <w:ind w:left="708"/>
        <w:jc w:val="center"/>
        <w:rPr>
          <w:rFonts w:ascii="Arial" w:eastAsia="Calibri" w:hAnsi="Arial" w:cs="Arial"/>
          <w:sz w:val="16"/>
          <w:szCs w:val="16"/>
        </w:rPr>
      </w:pPr>
    </w:p>
    <w:p w14:paraId="1825AB87" w14:textId="20130F98" w:rsidR="008A4B8C" w:rsidRDefault="008A4B8C" w:rsidP="00902D75">
      <w:pPr>
        <w:spacing w:after="0"/>
        <w:ind w:left="708"/>
        <w:jc w:val="center"/>
        <w:rPr>
          <w:rFonts w:ascii="Arial" w:eastAsia="Calibri" w:hAnsi="Arial" w:cs="Arial"/>
          <w:sz w:val="16"/>
          <w:szCs w:val="16"/>
        </w:rPr>
      </w:pPr>
    </w:p>
    <w:p w14:paraId="1649F6B0" w14:textId="49646EEC" w:rsidR="008A4B8C" w:rsidRDefault="008A4B8C" w:rsidP="00902D75">
      <w:pPr>
        <w:spacing w:after="0"/>
        <w:ind w:left="708"/>
        <w:jc w:val="center"/>
        <w:rPr>
          <w:rFonts w:ascii="Arial" w:eastAsia="Calibri" w:hAnsi="Arial" w:cs="Arial"/>
          <w:sz w:val="16"/>
          <w:szCs w:val="16"/>
        </w:rPr>
      </w:pPr>
    </w:p>
    <w:p w14:paraId="2D002662" w14:textId="292CDCC2" w:rsidR="008A4B8C" w:rsidRDefault="008A4B8C" w:rsidP="00902D75">
      <w:pPr>
        <w:spacing w:after="0"/>
        <w:ind w:left="708"/>
        <w:jc w:val="center"/>
        <w:rPr>
          <w:rFonts w:ascii="Arial" w:eastAsia="Calibri" w:hAnsi="Arial" w:cs="Arial"/>
          <w:sz w:val="16"/>
          <w:szCs w:val="16"/>
        </w:rPr>
      </w:pPr>
    </w:p>
    <w:p w14:paraId="391DD94A" w14:textId="6C5E3F9C" w:rsidR="008A4B8C" w:rsidRDefault="008A4B8C" w:rsidP="00902D75">
      <w:pPr>
        <w:spacing w:after="0"/>
        <w:ind w:left="708"/>
        <w:jc w:val="center"/>
        <w:rPr>
          <w:rFonts w:ascii="Arial" w:eastAsia="Calibri" w:hAnsi="Arial" w:cs="Arial"/>
          <w:sz w:val="16"/>
          <w:szCs w:val="16"/>
        </w:rPr>
      </w:pPr>
    </w:p>
    <w:p w14:paraId="76BB32F0" w14:textId="324B5FE7" w:rsidR="008A4B8C" w:rsidRDefault="008A4B8C" w:rsidP="00902D75">
      <w:pPr>
        <w:spacing w:after="0"/>
        <w:ind w:left="708"/>
        <w:jc w:val="center"/>
        <w:rPr>
          <w:rFonts w:ascii="Arial" w:eastAsia="Calibri" w:hAnsi="Arial" w:cs="Arial"/>
          <w:sz w:val="16"/>
          <w:szCs w:val="16"/>
        </w:rPr>
      </w:pPr>
    </w:p>
    <w:p w14:paraId="10AAECC0" w14:textId="7C5B9804" w:rsidR="008A4B8C" w:rsidRDefault="008A4B8C" w:rsidP="00902D75">
      <w:pPr>
        <w:spacing w:after="0"/>
        <w:ind w:left="708"/>
        <w:jc w:val="center"/>
        <w:rPr>
          <w:rFonts w:ascii="Arial" w:eastAsia="Calibri" w:hAnsi="Arial" w:cs="Arial"/>
          <w:sz w:val="16"/>
          <w:szCs w:val="16"/>
        </w:rPr>
      </w:pPr>
    </w:p>
    <w:p w14:paraId="60E3C5F7" w14:textId="5E36212C" w:rsidR="008A4B8C" w:rsidRDefault="008A4B8C" w:rsidP="00902D75">
      <w:pPr>
        <w:spacing w:after="0"/>
        <w:ind w:left="708"/>
        <w:jc w:val="center"/>
        <w:rPr>
          <w:rFonts w:ascii="Arial" w:eastAsia="Calibri" w:hAnsi="Arial" w:cs="Arial"/>
          <w:sz w:val="16"/>
          <w:szCs w:val="16"/>
        </w:rPr>
      </w:pPr>
    </w:p>
    <w:p w14:paraId="5DA38407" w14:textId="07709510" w:rsidR="008A4B8C" w:rsidRDefault="008A4B8C" w:rsidP="00902D75">
      <w:pPr>
        <w:spacing w:after="0"/>
        <w:ind w:left="708"/>
        <w:jc w:val="center"/>
        <w:rPr>
          <w:rFonts w:ascii="Arial" w:eastAsia="Calibri" w:hAnsi="Arial" w:cs="Arial"/>
          <w:sz w:val="16"/>
          <w:szCs w:val="16"/>
        </w:rPr>
      </w:pPr>
    </w:p>
    <w:p w14:paraId="05132DEE" w14:textId="5CB8C18E" w:rsidR="008A4B8C" w:rsidRDefault="008A4B8C" w:rsidP="00902D75">
      <w:pPr>
        <w:spacing w:after="0"/>
        <w:ind w:left="708"/>
        <w:jc w:val="center"/>
        <w:rPr>
          <w:rFonts w:ascii="Arial" w:eastAsia="Calibri" w:hAnsi="Arial" w:cs="Arial"/>
          <w:sz w:val="16"/>
          <w:szCs w:val="16"/>
        </w:rPr>
      </w:pPr>
    </w:p>
    <w:p w14:paraId="36E64D1D" w14:textId="4BB7177B" w:rsidR="008A4B8C" w:rsidRDefault="008A4B8C" w:rsidP="00902D75">
      <w:pPr>
        <w:spacing w:after="0"/>
        <w:ind w:left="708"/>
        <w:jc w:val="center"/>
        <w:rPr>
          <w:rFonts w:ascii="Arial" w:eastAsia="Calibri" w:hAnsi="Arial" w:cs="Arial"/>
          <w:sz w:val="16"/>
          <w:szCs w:val="16"/>
        </w:rPr>
      </w:pPr>
    </w:p>
    <w:p w14:paraId="4A0CAC5D" w14:textId="70E61C24" w:rsidR="008A4B8C" w:rsidRDefault="008A4B8C" w:rsidP="00902D75">
      <w:pPr>
        <w:spacing w:after="0"/>
        <w:ind w:left="708"/>
        <w:jc w:val="center"/>
        <w:rPr>
          <w:rFonts w:ascii="Arial" w:eastAsia="Calibri" w:hAnsi="Arial" w:cs="Arial"/>
          <w:sz w:val="16"/>
          <w:szCs w:val="16"/>
        </w:rPr>
      </w:pPr>
    </w:p>
    <w:p w14:paraId="46D27CE6" w14:textId="77777777" w:rsidR="008A4B8C" w:rsidRPr="00902D75" w:rsidRDefault="008A4B8C" w:rsidP="00902D75">
      <w:pPr>
        <w:spacing w:after="0"/>
        <w:ind w:left="708"/>
        <w:jc w:val="center"/>
        <w:rPr>
          <w:rFonts w:eastAsia="Calibri" w:cs="Arial"/>
        </w:rPr>
      </w:pPr>
    </w:p>
    <w:p w14:paraId="35859AED" w14:textId="4E0090AE" w:rsidR="00C02282" w:rsidRPr="00902D75" w:rsidRDefault="00C02282" w:rsidP="00055F7C">
      <w:pPr>
        <w:pStyle w:val="Ttulo3"/>
        <w:numPr>
          <w:ilvl w:val="2"/>
          <w:numId w:val="12"/>
        </w:numPr>
        <w:rPr>
          <w:rFonts w:ascii="Arial" w:eastAsia="Calibri" w:hAnsi="Arial" w:cs="Arial"/>
          <w:color w:val="auto"/>
        </w:rPr>
      </w:pPr>
      <w:bookmarkStart w:id="303" w:name="_Toc525652094"/>
      <w:r w:rsidRPr="00902D75">
        <w:rPr>
          <w:rFonts w:ascii="Arial" w:eastAsia="Calibri" w:hAnsi="Arial" w:cs="Arial"/>
          <w:color w:val="auto"/>
        </w:rPr>
        <w:lastRenderedPageBreak/>
        <w:t>Ejecución presupuestal Gastos de Funcionamiento</w:t>
      </w:r>
      <w:bookmarkEnd w:id="303"/>
      <w:r w:rsidR="00902D75">
        <w:rPr>
          <w:rFonts w:ascii="Arial" w:eastAsia="Calibri" w:hAnsi="Arial" w:cs="Arial"/>
          <w:color w:val="auto"/>
        </w:rPr>
        <w:t xml:space="preserve"> </w:t>
      </w:r>
    </w:p>
    <w:p w14:paraId="6195576E" w14:textId="77777777" w:rsidR="00C02282" w:rsidRPr="006A67B4" w:rsidRDefault="00C02282" w:rsidP="00C02282">
      <w:pPr>
        <w:rPr>
          <w:highlight w:val="yellow"/>
        </w:rPr>
      </w:pPr>
    </w:p>
    <w:p w14:paraId="2F3A8591" w14:textId="7916BF55" w:rsidR="00902D75" w:rsidRDefault="00902D75" w:rsidP="00902D75">
      <w:pPr>
        <w:pStyle w:val="Prrafodelista"/>
        <w:spacing w:after="0" w:line="240" w:lineRule="auto"/>
        <w:ind w:left="0"/>
        <w:jc w:val="both"/>
        <w:rPr>
          <w:rFonts w:cs="Arial"/>
          <w:bCs/>
          <w:lang w:val="es-ES_tradnl"/>
        </w:rPr>
      </w:pPr>
      <w:r w:rsidRPr="00D156D5">
        <w:rPr>
          <w:rFonts w:cs="Arial"/>
          <w:bCs/>
          <w:lang w:val="es-ES_tradnl"/>
        </w:rPr>
        <w:t xml:space="preserve">A </w:t>
      </w:r>
      <w:r w:rsidR="008A4B8C" w:rsidRPr="00D156D5">
        <w:rPr>
          <w:rFonts w:cs="Arial"/>
          <w:bCs/>
          <w:lang w:val="es-ES_tradnl"/>
        </w:rPr>
        <w:t>continuación,</w:t>
      </w:r>
      <w:r w:rsidRPr="00D156D5">
        <w:rPr>
          <w:rFonts w:cs="Arial"/>
          <w:bCs/>
          <w:lang w:val="es-ES_tradnl"/>
        </w:rPr>
        <w:t xml:space="preserve"> se resumen los diferentes pagos y </w:t>
      </w:r>
      <w:r w:rsidRPr="00D156D5">
        <w:rPr>
          <w:rFonts w:cs="Arial"/>
          <w:bCs/>
          <w:i/>
          <w:lang w:val="es-ES_tradnl"/>
        </w:rPr>
        <w:t>gastos de funcionamiento</w:t>
      </w:r>
      <w:r w:rsidRPr="00D156D5">
        <w:rPr>
          <w:rFonts w:cs="Arial"/>
          <w:bCs/>
          <w:lang w:val="es-ES_tradnl"/>
        </w:rPr>
        <w:t xml:space="preserve"> efectuados con corte a 30 de junio de 2018:</w:t>
      </w:r>
    </w:p>
    <w:p w14:paraId="7322E669" w14:textId="77777777" w:rsidR="00902D75" w:rsidRDefault="00902D75" w:rsidP="00902D75">
      <w:pPr>
        <w:pStyle w:val="Prrafodelista"/>
        <w:spacing w:after="0" w:line="240" w:lineRule="auto"/>
        <w:ind w:left="0"/>
        <w:jc w:val="both"/>
        <w:rPr>
          <w:rFonts w:cs="Arial"/>
          <w:bCs/>
          <w:lang w:val="es-ES_tradnl"/>
        </w:rPr>
      </w:pPr>
    </w:p>
    <w:p w14:paraId="1412E3CA" w14:textId="10BD66AD" w:rsidR="00902D75" w:rsidRDefault="00902D75" w:rsidP="00902D75">
      <w:pPr>
        <w:pStyle w:val="Descripcin"/>
        <w:keepNext/>
        <w:jc w:val="center"/>
      </w:pPr>
      <w:bookmarkStart w:id="304" w:name="_Toc525652575"/>
      <w:r>
        <w:t xml:space="preserve">Tabla </w:t>
      </w:r>
      <w:r>
        <w:fldChar w:fldCharType="begin"/>
      </w:r>
      <w:r>
        <w:instrText xml:space="preserve"> SEQ Tabla \* ARABIC </w:instrText>
      </w:r>
      <w:r>
        <w:fldChar w:fldCharType="separate"/>
      </w:r>
      <w:r w:rsidR="008B4625">
        <w:rPr>
          <w:noProof/>
        </w:rPr>
        <w:t>130</w:t>
      </w:r>
      <w:r>
        <w:fldChar w:fldCharType="end"/>
      </w:r>
      <w:r>
        <w:t xml:space="preserve"> </w:t>
      </w:r>
      <w:r w:rsidRPr="00D70943">
        <w:t xml:space="preserve">pagos y gastos de funcionamiento efectuados </w:t>
      </w:r>
      <w:r>
        <w:t>con corte a 30 de junio de 201 UPME</w:t>
      </w:r>
      <w:bookmarkEnd w:id="304"/>
    </w:p>
    <w:p w14:paraId="7C762C33" w14:textId="0C94ECB4" w:rsidR="00902D75" w:rsidRDefault="00902D75" w:rsidP="00902D75">
      <w:pPr>
        <w:pStyle w:val="Prrafodelista"/>
        <w:spacing w:after="0" w:line="240" w:lineRule="auto"/>
        <w:ind w:left="0"/>
        <w:jc w:val="both"/>
        <w:rPr>
          <w:rFonts w:cs="Arial"/>
          <w:bCs/>
          <w:lang w:val="es-ES_tradnl"/>
        </w:rPr>
      </w:pPr>
      <w:r w:rsidRPr="00D156D5">
        <w:rPr>
          <w:rFonts w:cs="Arial"/>
          <w:noProof/>
          <w:lang w:eastAsia="es-CO"/>
        </w:rPr>
        <w:drawing>
          <wp:inline distT="0" distB="0" distL="0" distR="0" wp14:anchorId="4849614C" wp14:editId="46E0ACFA">
            <wp:extent cx="5971540" cy="3883113"/>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1540" cy="3883113"/>
                    </a:xfrm>
                    <a:prstGeom prst="rect">
                      <a:avLst/>
                    </a:prstGeom>
                    <a:noFill/>
                    <a:ln>
                      <a:noFill/>
                    </a:ln>
                  </pic:spPr>
                </pic:pic>
              </a:graphicData>
            </a:graphic>
          </wp:inline>
        </w:drawing>
      </w:r>
    </w:p>
    <w:p w14:paraId="2999D70D" w14:textId="28F99888" w:rsidR="00C02282" w:rsidRPr="00902D75" w:rsidRDefault="00902D75" w:rsidP="00902D75">
      <w:pPr>
        <w:spacing w:after="0"/>
        <w:ind w:left="708"/>
        <w:jc w:val="center"/>
        <w:rPr>
          <w:rFonts w:eastAsia="Calibri" w:cs="Arial"/>
        </w:rPr>
      </w:pPr>
      <w:r w:rsidRPr="00902D75">
        <w:rPr>
          <w:rFonts w:ascii="Arial" w:eastAsia="Calibri" w:hAnsi="Arial" w:cs="Arial"/>
          <w:sz w:val="16"/>
          <w:szCs w:val="16"/>
        </w:rPr>
        <w:t>Fuente: UPME</w:t>
      </w:r>
    </w:p>
    <w:p w14:paraId="0DDBCB04" w14:textId="77777777" w:rsidR="00C02282" w:rsidRPr="00902D75" w:rsidRDefault="00C02282" w:rsidP="00055F7C">
      <w:pPr>
        <w:pStyle w:val="Ttulo3"/>
        <w:numPr>
          <w:ilvl w:val="2"/>
          <w:numId w:val="12"/>
        </w:numPr>
        <w:rPr>
          <w:rFonts w:ascii="Arial" w:eastAsia="Calibri" w:hAnsi="Arial" w:cs="Arial"/>
          <w:color w:val="auto"/>
        </w:rPr>
      </w:pPr>
      <w:bookmarkStart w:id="305" w:name="_Toc525652095"/>
      <w:r w:rsidRPr="00902D75">
        <w:rPr>
          <w:rFonts w:ascii="Arial" w:eastAsia="Calibri" w:hAnsi="Arial" w:cs="Arial"/>
          <w:color w:val="auto"/>
        </w:rPr>
        <w:t>Ejecución presupuestal Gastos de Inversión</w:t>
      </w:r>
      <w:bookmarkEnd w:id="305"/>
    </w:p>
    <w:p w14:paraId="44082242" w14:textId="77777777" w:rsidR="00C02282" w:rsidRPr="00902D75" w:rsidRDefault="00C02282" w:rsidP="00C02282"/>
    <w:p w14:paraId="5780F4A3" w14:textId="77777777" w:rsidR="00902D75" w:rsidRPr="00D156D5" w:rsidRDefault="00902D75" w:rsidP="00902D75">
      <w:pPr>
        <w:jc w:val="both"/>
        <w:rPr>
          <w:rFonts w:ascii="Arial" w:hAnsi="Arial" w:cs="Arial"/>
          <w:lang w:val="es-ES_tradnl"/>
        </w:rPr>
      </w:pPr>
      <w:r w:rsidRPr="00902D75">
        <w:rPr>
          <w:rFonts w:ascii="Arial" w:hAnsi="Arial" w:cs="Arial"/>
          <w:lang w:val="es-ES_tradnl"/>
        </w:rPr>
        <w:t xml:space="preserve">Los compromisos y obligaciones relevantes, relacionados con la </w:t>
      </w:r>
      <w:r w:rsidRPr="00902D75">
        <w:rPr>
          <w:rFonts w:ascii="Arial" w:hAnsi="Arial" w:cs="Arial"/>
          <w:i/>
          <w:lang w:val="es-ES_tradnl"/>
        </w:rPr>
        <w:t>Inversión</w:t>
      </w:r>
      <w:r w:rsidRPr="00902D75">
        <w:rPr>
          <w:rFonts w:ascii="Arial" w:hAnsi="Arial" w:cs="Arial"/>
          <w:lang w:val="es-ES_tradnl"/>
        </w:rPr>
        <w:t xml:space="preserve"> en el segundo trimestre de 2018, corresponden a las siguientes actividades enmarcadas en cada proyecto de registrado:</w:t>
      </w:r>
    </w:p>
    <w:p w14:paraId="38D9E759" w14:textId="77777777" w:rsidR="00902D75" w:rsidRPr="00D156D5" w:rsidRDefault="00902D75" w:rsidP="00902D75">
      <w:pPr>
        <w:shd w:val="clear" w:color="auto" w:fill="FFFFFF"/>
        <w:jc w:val="both"/>
        <w:rPr>
          <w:rFonts w:ascii="Arial" w:hAnsi="Arial" w:cs="Arial"/>
          <w:b/>
          <w:color w:val="222222"/>
          <w:lang w:val="es-ES_tradnl" w:eastAsia="es-CO"/>
        </w:rPr>
      </w:pPr>
      <w:r w:rsidRPr="00D156D5">
        <w:rPr>
          <w:rFonts w:ascii="Arial" w:hAnsi="Arial" w:cs="Arial"/>
          <w:b/>
          <w:color w:val="222222"/>
          <w:lang w:val="es-ES_tradnl" w:eastAsia="es-CO"/>
        </w:rPr>
        <w:t>PLANEACIÓN INTEGRAL DEL SECTOR MINERO ENERGÉTICO A NIVEL NACIONAL</w:t>
      </w:r>
    </w:p>
    <w:p w14:paraId="1A8D043F" w14:textId="77777777" w:rsidR="00902D75" w:rsidRPr="00D156D5" w:rsidRDefault="00902D75" w:rsidP="00902D75">
      <w:pPr>
        <w:pStyle w:val="Prrafodelista"/>
        <w:numPr>
          <w:ilvl w:val="0"/>
          <w:numId w:val="22"/>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Consultoría para definir y elaborar las condiciones técnicas de Ingeniería conceptual para construcción del Gasoducto Buenaventura - Yumbo (con Vigencias futuras).</w:t>
      </w:r>
    </w:p>
    <w:p w14:paraId="2EE8A03B" w14:textId="77777777" w:rsidR="00902D75" w:rsidRPr="00D156D5" w:rsidRDefault="00902D75" w:rsidP="00902D75">
      <w:pPr>
        <w:pStyle w:val="Prrafodelista"/>
        <w:numPr>
          <w:ilvl w:val="0"/>
          <w:numId w:val="22"/>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Definir y Elaborar condiciones técnicas de Ingeniería Conceptual para construcción planta de regasificación en B/ventura -Pacífico Colombiano (con Vigencias futuras).</w:t>
      </w:r>
    </w:p>
    <w:p w14:paraId="2D57CBE1" w14:textId="77777777" w:rsidR="00902D75" w:rsidRPr="00D156D5" w:rsidRDefault="00902D75" w:rsidP="00902D75">
      <w:pPr>
        <w:pStyle w:val="Prrafodelista"/>
        <w:numPr>
          <w:ilvl w:val="0"/>
          <w:numId w:val="22"/>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lastRenderedPageBreak/>
        <w:t>Gastos de viaje relacionados con la planeación minero energética.</w:t>
      </w:r>
    </w:p>
    <w:p w14:paraId="1C35456A" w14:textId="77777777" w:rsidR="00902D75" w:rsidRPr="00D156D5" w:rsidRDefault="00902D75" w:rsidP="00902D75">
      <w:pPr>
        <w:pStyle w:val="Prrafodelista"/>
        <w:numPr>
          <w:ilvl w:val="0"/>
          <w:numId w:val="22"/>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Prestar asesoría Jurídica a la UPME en temas Judiciales, mineros y Energéticos.</w:t>
      </w:r>
    </w:p>
    <w:p w14:paraId="7C8FA665" w14:textId="77777777" w:rsidR="00C02282" w:rsidRPr="006A67B4" w:rsidRDefault="00C02282" w:rsidP="00C02282">
      <w:pPr>
        <w:pStyle w:val="Prrafodelista"/>
        <w:shd w:val="clear" w:color="auto" w:fill="FFFFFF"/>
        <w:spacing w:after="0" w:line="240" w:lineRule="auto"/>
        <w:ind w:left="786"/>
        <w:contextualSpacing/>
        <w:jc w:val="both"/>
        <w:rPr>
          <w:rFonts w:ascii="Arial Narrow" w:hAnsi="Arial Narrow" w:cs="Arial"/>
          <w:color w:val="222222"/>
          <w:highlight w:val="yellow"/>
          <w:lang w:val="es-ES_tradnl" w:eastAsia="es-CO"/>
        </w:rPr>
      </w:pPr>
    </w:p>
    <w:p w14:paraId="6FE5A9C6" w14:textId="77777777" w:rsidR="00902D75" w:rsidRPr="00D156D5" w:rsidRDefault="00902D75" w:rsidP="00902D75">
      <w:pPr>
        <w:pStyle w:val="Prrafodelista"/>
        <w:shd w:val="clear" w:color="auto" w:fill="FFFFFF"/>
        <w:ind w:left="0"/>
        <w:jc w:val="both"/>
        <w:rPr>
          <w:rFonts w:cs="Arial"/>
          <w:b/>
          <w:color w:val="222222"/>
          <w:lang w:val="es-ES_tradnl" w:eastAsia="es-CO"/>
        </w:rPr>
      </w:pPr>
      <w:r w:rsidRPr="00D156D5">
        <w:rPr>
          <w:rFonts w:cs="Arial"/>
          <w:b/>
          <w:color w:val="222222"/>
          <w:lang w:val="es-ES_tradnl" w:eastAsia="es-CO"/>
        </w:rPr>
        <w:t>DESARROLLO DE ELEMENTOS PARA INTEGRACIÓN DE LA DIMENSIÓN AMBIENTAL Y SOCIAL EN LA PLANEACION DEL SECTOR MINERO ENERGÉTICO A NIVEL NACIONAL</w:t>
      </w:r>
    </w:p>
    <w:p w14:paraId="58AF01B2" w14:textId="77777777" w:rsidR="00902D75" w:rsidRPr="00D156D5" w:rsidRDefault="00902D75" w:rsidP="008B4625">
      <w:pPr>
        <w:pStyle w:val="Prrafodelista"/>
        <w:numPr>
          <w:ilvl w:val="0"/>
          <w:numId w:val="51"/>
        </w:numPr>
        <w:shd w:val="clear" w:color="auto" w:fill="FFFFFF"/>
        <w:jc w:val="both"/>
        <w:rPr>
          <w:rFonts w:cs="Arial"/>
          <w:color w:val="222222"/>
          <w:lang w:val="es-ES_tradnl" w:eastAsia="es-CO"/>
        </w:rPr>
      </w:pPr>
      <w:r w:rsidRPr="00D156D5">
        <w:rPr>
          <w:rFonts w:cs="Arial"/>
          <w:color w:val="222222"/>
          <w:lang w:val="es-ES_tradnl" w:eastAsia="es-CO"/>
        </w:rPr>
        <w:t>Desarrollar un modelo que permita establecer la viabilidad técnica, ambiental, financiera y económica de proyectos.</w:t>
      </w:r>
    </w:p>
    <w:p w14:paraId="4CE0F1BD" w14:textId="77777777" w:rsidR="00902D75" w:rsidRPr="00D156D5" w:rsidRDefault="00902D75" w:rsidP="00902D75">
      <w:pPr>
        <w:shd w:val="clear" w:color="auto" w:fill="FFFFFF"/>
        <w:jc w:val="both"/>
        <w:rPr>
          <w:rFonts w:ascii="Arial" w:hAnsi="Arial" w:cs="Arial"/>
          <w:b/>
          <w:color w:val="222222"/>
          <w:lang w:val="es-ES_tradnl" w:eastAsia="es-CO"/>
        </w:rPr>
      </w:pPr>
      <w:r w:rsidRPr="00D156D5">
        <w:rPr>
          <w:rFonts w:ascii="Arial" w:hAnsi="Arial" w:cs="Arial"/>
          <w:b/>
          <w:color w:val="222222"/>
          <w:lang w:val="es-ES_tradnl" w:eastAsia="es-CO"/>
        </w:rPr>
        <w:t>ASESORIA PARA LA INVESTIGACIÓN Y LA PROYECCIÓN INTEGRADA DE DEMANDA MINERO ENERGÉTICA</w:t>
      </w:r>
    </w:p>
    <w:p w14:paraId="6CA6C4F6"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Convenio especial de Cooperación de Ciencia y tecnología CV-No 001 de 2018, entre UPME y Centro de Transporte sustentable de México AC (WRI México), proyecto Norma de Eficiencia Vehicular y demás</w:t>
      </w:r>
    </w:p>
    <w:p w14:paraId="54DF0162"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Asesorar a la Dirección General en la estructuración de recomendaciones para el Plan Energético Nacional 2018-2030.</w:t>
      </w:r>
    </w:p>
    <w:p w14:paraId="0A44FBB9"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 xml:space="preserve">Asesorar a la Dirección General en la estructuración de recomendaciones para el Plan Energético Nacional 2018-2030 </w:t>
      </w:r>
      <w:proofErr w:type="spellStart"/>
      <w:r w:rsidRPr="00D156D5">
        <w:rPr>
          <w:rFonts w:cs="Arial"/>
          <w:color w:val="222222"/>
          <w:lang w:val="es-ES_tradnl" w:eastAsia="es-CO"/>
        </w:rPr>
        <w:t>ó</w:t>
      </w:r>
      <w:proofErr w:type="spellEnd"/>
      <w:r w:rsidRPr="00D156D5">
        <w:rPr>
          <w:rFonts w:cs="Arial"/>
          <w:color w:val="222222"/>
          <w:lang w:val="es-ES_tradnl" w:eastAsia="es-CO"/>
        </w:rPr>
        <w:t xml:space="preserve"> 2050</w:t>
      </w:r>
    </w:p>
    <w:p w14:paraId="1379A9FF"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Elaborar el documento metodológico del balance Energético Colombiano – BECO</w:t>
      </w:r>
    </w:p>
    <w:p w14:paraId="3D7B618C"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Aunar esfuerzos técnicos y económicos con el fin de identificar los requisitos mínimos de gobernanza, interoperabilidad y ciberseguridad para redes inteligentes en Colombia como apoyo a la política y demás</w:t>
      </w:r>
    </w:p>
    <w:p w14:paraId="4159FD65"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 xml:space="preserve">Preparar un concepto técnico e independiente sobre el borrador del Plan Energético Nacional 2018-2050 Experto en temas sociales Gustavo </w:t>
      </w:r>
      <w:proofErr w:type="spellStart"/>
      <w:r w:rsidRPr="00D156D5">
        <w:rPr>
          <w:rFonts w:cs="Arial"/>
          <w:color w:val="222222"/>
          <w:lang w:val="es-ES_tradnl" w:eastAsia="es-CO"/>
        </w:rPr>
        <w:t>Wilches</w:t>
      </w:r>
      <w:proofErr w:type="spellEnd"/>
      <w:r w:rsidRPr="00D156D5">
        <w:rPr>
          <w:rFonts w:cs="Arial"/>
          <w:color w:val="222222"/>
          <w:lang w:val="es-ES_tradnl" w:eastAsia="es-CO"/>
        </w:rPr>
        <w:t xml:space="preserve"> – </w:t>
      </w:r>
      <w:proofErr w:type="spellStart"/>
      <w:r w:rsidRPr="00D156D5">
        <w:rPr>
          <w:rFonts w:cs="Arial"/>
          <w:color w:val="222222"/>
          <w:lang w:val="es-ES_tradnl" w:eastAsia="es-CO"/>
        </w:rPr>
        <w:t>Chaux</w:t>
      </w:r>
      <w:proofErr w:type="spellEnd"/>
    </w:p>
    <w:p w14:paraId="345AD4BF"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Elaborar los insumos técnicos que permitan realizar actualización de la norma NTC 2050 y demás</w:t>
      </w:r>
    </w:p>
    <w:p w14:paraId="1BA0810D"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Preparar un concepto técnico e independiente sobre el borrador del Plan Energético Nacional 2018-2050 Experto en macroeconomía Juan Mauricio Ramírez</w:t>
      </w:r>
    </w:p>
    <w:p w14:paraId="77838525" w14:textId="77777777" w:rsidR="00902D75" w:rsidRPr="00D156D5" w:rsidRDefault="00902D75" w:rsidP="008B4625">
      <w:pPr>
        <w:pStyle w:val="Prrafodelista"/>
        <w:numPr>
          <w:ilvl w:val="0"/>
          <w:numId w:val="50"/>
        </w:numPr>
        <w:shd w:val="clear" w:color="auto" w:fill="FFFFFF"/>
        <w:jc w:val="both"/>
        <w:rPr>
          <w:rFonts w:cs="Arial"/>
          <w:color w:val="222222"/>
          <w:lang w:val="es-ES_tradnl" w:eastAsia="es-CO"/>
        </w:rPr>
      </w:pPr>
      <w:r w:rsidRPr="00D156D5">
        <w:rPr>
          <w:rFonts w:cs="Arial"/>
          <w:color w:val="222222"/>
          <w:lang w:val="es-ES_tradnl" w:eastAsia="es-CO"/>
        </w:rPr>
        <w:t>Preparar un concepto técnico Independiente sobre el borrador del Plan Energético Nacional 2018-2050, Experto Armando Zamora</w:t>
      </w:r>
    </w:p>
    <w:p w14:paraId="0B97C9D7" w14:textId="77777777" w:rsidR="00902D75" w:rsidRPr="00D156D5" w:rsidRDefault="00902D75" w:rsidP="00902D75">
      <w:pPr>
        <w:shd w:val="clear" w:color="auto" w:fill="FFFFFF"/>
        <w:jc w:val="both"/>
        <w:rPr>
          <w:rFonts w:ascii="Arial" w:hAnsi="Arial" w:cs="Arial"/>
          <w:b/>
          <w:color w:val="222222"/>
          <w:lang w:val="es-ES_tradnl" w:eastAsia="es-CO"/>
        </w:rPr>
      </w:pPr>
      <w:r w:rsidRPr="00D156D5">
        <w:rPr>
          <w:rFonts w:ascii="Arial" w:hAnsi="Arial" w:cs="Arial"/>
          <w:b/>
          <w:color w:val="222222"/>
          <w:lang w:val="es-ES_tradnl" w:eastAsia="es-CO"/>
        </w:rPr>
        <w:t>GESTION INTEGRAL DE INFORMACION MINERO ENERGETICA A NIVEL NACIONAL</w:t>
      </w:r>
    </w:p>
    <w:p w14:paraId="5926F813" w14:textId="77777777" w:rsidR="00902D75" w:rsidRPr="00D156D5" w:rsidRDefault="00902D75" w:rsidP="008B4625">
      <w:pPr>
        <w:pStyle w:val="Prrafodelista"/>
        <w:numPr>
          <w:ilvl w:val="0"/>
          <w:numId w:val="52"/>
        </w:numPr>
        <w:shd w:val="clear" w:color="auto" w:fill="FFFFFF"/>
        <w:jc w:val="both"/>
        <w:rPr>
          <w:rFonts w:cs="Arial"/>
          <w:color w:val="222222"/>
          <w:lang w:val="es-ES_tradnl" w:eastAsia="es-CO"/>
        </w:rPr>
      </w:pPr>
      <w:r w:rsidRPr="00D156D5">
        <w:rPr>
          <w:rFonts w:cs="Arial"/>
          <w:color w:val="222222"/>
          <w:lang w:val="es-ES_tradnl" w:eastAsia="es-CO"/>
        </w:rPr>
        <w:t xml:space="preserve">Prestar los Servicios de solución de comunicaciones para diseño gráfico, </w:t>
      </w:r>
      <w:proofErr w:type="spellStart"/>
      <w:r w:rsidRPr="00D156D5">
        <w:rPr>
          <w:rFonts w:cs="Arial"/>
          <w:color w:val="222222"/>
          <w:lang w:val="es-ES_tradnl" w:eastAsia="es-CO"/>
        </w:rPr>
        <w:t>comunity</w:t>
      </w:r>
      <w:proofErr w:type="spellEnd"/>
      <w:r w:rsidRPr="00D156D5">
        <w:rPr>
          <w:rFonts w:cs="Arial"/>
          <w:color w:val="222222"/>
          <w:lang w:val="es-ES_tradnl" w:eastAsia="es-CO"/>
        </w:rPr>
        <w:t xml:space="preserve"> </w:t>
      </w:r>
      <w:proofErr w:type="spellStart"/>
      <w:r w:rsidRPr="00D156D5">
        <w:rPr>
          <w:rFonts w:cs="Arial"/>
          <w:color w:val="222222"/>
          <w:lang w:val="es-ES_tradnl" w:eastAsia="es-CO"/>
        </w:rPr>
        <w:t>managment</w:t>
      </w:r>
      <w:proofErr w:type="spellEnd"/>
      <w:r w:rsidRPr="00D156D5">
        <w:rPr>
          <w:rFonts w:cs="Arial"/>
          <w:color w:val="222222"/>
          <w:lang w:val="es-ES_tradnl" w:eastAsia="es-CO"/>
        </w:rPr>
        <w:t>, realización audiovisual</w:t>
      </w:r>
    </w:p>
    <w:p w14:paraId="4707C8DE" w14:textId="77777777" w:rsidR="00902D75" w:rsidRPr="00D156D5" w:rsidRDefault="00902D75" w:rsidP="008B4625">
      <w:pPr>
        <w:pStyle w:val="Prrafodelista"/>
        <w:numPr>
          <w:ilvl w:val="0"/>
          <w:numId w:val="52"/>
        </w:numPr>
        <w:shd w:val="clear" w:color="auto" w:fill="FFFFFF"/>
        <w:jc w:val="both"/>
        <w:rPr>
          <w:rFonts w:cs="Arial"/>
          <w:color w:val="222222"/>
          <w:lang w:val="es-ES_tradnl" w:eastAsia="es-CO"/>
        </w:rPr>
      </w:pPr>
      <w:r w:rsidRPr="00D156D5">
        <w:rPr>
          <w:rFonts w:cs="Arial"/>
          <w:color w:val="222222"/>
          <w:lang w:val="es-ES_tradnl" w:eastAsia="es-CO"/>
        </w:rPr>
        <w:lastRenderedPageBreak/>
        <w:t>apoyo y soporte integral técnico, temático y operativo en el sistema de información de Gestión Documental Orfeo</w:t>
      </w:r>
    </w:p>
    <w:p w14:paraId="10B1CFEE" w14:textId="77777777" w:rsidR="00902D75" w:rsidRPr="00D156D5" w:rsidRDefault="00902D75" w:rsidP="008B4625">
      <w:pPr>
        <w:pStyle w:val="Prrafodelista"/>
        <w:numPr>
          <w:ilvl w:val="0"/>
          <w:numId w:val="52"/>
        </w:numPr>
        <w:shd w:val="clear" w:color="auto" w:fill="FFFFFF"/>
        <w:jc w:val="both"/>
        <w:rPr>
          <w:rFonts w:cs="Arial"/>
          <w:color w:val="222222"/>
          <w:lang w:val="es-ES_tradnl" w:eastAsia="es-CO"/>
        </w:rPr>
      </w:pPr>
      <w:r w:rsidRPr="00D156D5">
        <w:rPr>
          <w:rFonts w:cs="Arial"/>
          <w:color w:val="222222"/>
          <w:lang w:val="es-ES_tradnl" w:eastAsia="es-CO"/>
        </w:rPr>
        <w:t>Servicios para realizar la modificación al flujo de eficiencia energética y mantenimiento a los demás flujos</w:t>
      </w:r>
    </w:p>
    <w:p w14:paraId="1082AACA" w14:textId="77777777" w:rsidR="00902D75" w:rsidRPr="00D156D5" w:rsidRDefault="00902D75" w:rsidP="008B4625">
      <w:pPr>
        <w:pStyle w:val="Prrafodelista"/>
        <w:numPr>
          <w:ilvl w:val="0"/>
          <w:numId w:val="52"/>
        </w:numPr>
        <w:shd w:val="clear" w:color="auto" w:fill="FFFFFF"/>
        <w:jc w:val="both"/>
        <w:rPr>
          <w:rFonts w:cs="Arial"/>
          <w:color w:val="222222"/>
          <w:lang w:val="es-ES_tradnl" w:eastAsia="es-CO"/>
        </w:rPr>
      </w:pPr>
      <w:r w:rsidRPr="00D156D5">
        <w:rPr>
          <w:rFonts w:cs="Arial"/>
          <w:color w:val="222222"/>
          <w:lang w:val="es-ES_tradnl" w:eastAsia="es-CO"/>
        </w:rPr>
        <w:t>renovar la suscripción ON LINE a los reportes de ARGUS MEDIA</w:t>
      </w:r>
    </w:p>
    <w:p w14:paraId="7FDECC3D" w14:textId="77777777" w:rsidR="00902D75" w:rsidRPr="00D156D5" w:rsidRDefault="00902D75" w:rsidP="008B4625">
      <w:pPr>
        <w:pStyle w:val="Prrafodelista"/>
        <w:numPr>
          <w:ilvl w:val="0"/>
          <w:numId w:val="52"/>
        </w:numPr>
        <w:shd w:val="clear" w:color="auto" w:fill="FFFFFF"/>
        <w:jc w:val="both"/>
        <w:rPr>
          <w:rFonts w:cs="Arial"/>
          <w:color w:val="222222"/>
          <w:lang w:val="es-ES_tradnl" w:eastAsia="es-CO"/>
        </w:rPr>
      </w:pPr>
      <w:r w:rsidRPr="00D156D5">
        <w:rPr>
          <w:rFonts w:cs="Arial"/>
          <w:color w:val="222222"/>
          <w:lang w:val="es-ES_tradnl" w:eastAsia="es-CO"/>
        </w:rPr>
        <w:t>Publicar avisos Institucionales en diario de circulación nacional</w:t>
      </w:r>
    </w:p>
    <w:p w14:paraId="214E3D98" w14:textId="77777777" w:rsidR="00902D75" w:rsidRPr="00D156D5" w:rsidRDefault="00902D75" w:rsidP="008B4625">
      <w:pPr>
        <w:pStyle w:val="Prrafodelista"/>
        <w:numPr>
          <w:ilvl w:val="0"/>
          <w:numId w:val="52"/>
        </w:numPr>
        <w:rPr>
          <w:rFonts w:cs="Arial"/>
          <w:color w:val="222222"/>
          <w:lang w:val="es-ES_tradnl" w:eastAsia="es-CO"/>
        </w:rPr>
      </w:pPr>
      <w:r w:rsidRPr="00D156D5">
        <w:rPr>
          <w:rFonts w:cs="Arial"/>
          <w:color w:val="222222"/>
          <w:lang w:val="es-ES_tradnl" w:eastAsia="es-CO"/>
        </w:rPr>
        <w:t>Soporte técnico especializado de primer nivel en servicios de mesa de ayuda</w:t>
      </w:r>
    </w:p>
    <w:p w14:paraId="519DA63E" w14:textId="77777777" w:rsidR="00902D75" w:rsidRPr="00D156D5" w:rsidRDefault="00902D75" w:rsidP="008B4625">
      <w:pPr>
        <w:pStyle w:val="Prrafodelista"/>
        <w:numPr>
          <w:ilvl w:val="0"/>
          <w:numId w:val="52"/>
        </w:numPr>
        <w:rPr>
          <w:rFonts w:cs="Arial"/>
          <w:bCs/>
          <w:color w:val="222222"/>
          <w:lang w:val="es-ES_tradnl" w:eastAsia="es-CO"/>
        </w:rPr>
      </w:pPr>
      <w:r w:rsidRPr="00D156D5">
        <w:rPr>
          <w:rFonts w:cs="Arial"/>
          <w:bCs/>
          <w:color w:val="222222"/>
          <w:lang w:val="es-ES_tradnl" w:eastAsia="es-CO"/>
        </w:rPr>
        <w:t>Desarrollar e implementar la nueva versión del Sistema de Información SIPERS</w:t>
      </w:r>
    </w:p>
    <w:p w14:paraId="27FF70F1" w14:textId="77777777" w:rsidR="00902D75" w:rsidRPr="00D156D5" w:rsidRDefault="00902D75" w:rsidP="008B4625">
      <w:pPr>
        <w:pStyle w:val="Prrafodelista"/>
        <w:numPr>
          <w:ilvl w:val="0"/>
          <w:numId w:val="52"/>
        </w:numPr>
        <w:rPr>
          <w:rFonts w:cs="Arial"/>
          <w:bCs/>
          <w:color w:val="222222"/>
          <w:lang w:val="es-ES_tradnl" w:eastAsia="es-CO"/>
        </w:rPr>
      </w:pPr>
      <w:r w:rsidRPr="00D156D5">
        <w:rPr>
          <w:rFonts w:cs="Arial"/>
          <w:bCs/>
          <w:color w:val="222222"/>
          <w:lang w:val="es-ES_tradnl" w:eastAsia="es-CO"/>
        </w:rPr>
        <w:t xml:space="preserve">Adquisición 18 licencias de la Suite ofimática Microsoft Office </w:t>
      </w:r>
      <w:proofErr w:type="spellStart"/>
      <w:r w:rsidRPr="00D156D5">
        <w:rPr>
          <w:rFonts w:cs="Arial"/>
          <w:bCs/>
          <w:color w:val="222222"/>
          <w:lang w:val="es-ES_tradnl" w:eastAsia="es-CO"/>
        </w:rPr>
        <w:t>Government</w:t>
      </w:r>
      <w:proofErr w:type="spellEnd"/>
      <w:r w:rsidRPr="00D156D5">
        <w:rPr>
          <w:rFonts w:cs="Arial"/>
          <w:bCs/>
          <w:color w:val="222222"/>
          <w:lang w:val="es-ES_tradnl" w:eastAsia="es-CO"/>
        </w:rPr>
        <w:t xml:space="preserve"> </w:t>
      </w:r>
      <w:proofErr w:type="spellStart"/>
      <w:r w:rsidRPr="00D156D5">
        <w:rPr>
          <w:rFonts w:cs="Arial"/>
          <w:bCs/>
          <w:color w:val="222222"/>
          <w:lang w:val="es-ES_tradnl" w:eastAsia="es-CO"/>
        </w:rPr>
        <w:t>olp</w:t>
      </w:r>
      <w:proofErr w:type="spellEnd"/>
    </w:p>
    <w:p w14:paraId="0D9C8DEB" w14:textId="77777777" w:rsidR="00902D75" w:rsidRPr="00D156D5" w:rsidRDefault="00902D75" w:rsidP="008B4625">
      <w:pPr>
        <w:pStyle w:val="Prrafodelista"/>
        <w:numPr>
          <w:ilvl w:val="0"/>
          <w:numId w:val="52"/>
        </w:numPr>
        <w:rPr>
          <w:rFonts w:cs="Arial"/>
          <w:bCs/>
          <w:color w:val="222222"/>
          <w:lang w:val="es-ES_tradnl" w:eastAsia="es-CO"/>
        </w:rPr>
      </w:pPr>
      <w:r w:rsidRPr="00D156D5">
        <w:rPr>
          <w:rFonts w:cs="Arial"/>
          <w:bCs/>
          <w:color w:val="222222"/>
          <w:lang w:val="es-ES_tradnl" w:eastAsia="es-CO"/>
        </w:rPr>
        <w:t xml:space="preserve">Adquisición 18 Equipos de Cómputo tipo </w:t>
      </w:r>
      <w:proofErr w:type="spellStart"/>
      <w:r w:rsidRPr="00D156D5">
        <w:rPr>
          <w:rFonts w:cs="Arial"/>
          <w:bCs/>
          <w:color w:val="222222"/>
          <w:lang w:val="es-ES_tradnl" w:eastAsia="es-CO"/>
        </w:rPr>
        <w:t>all</w:t>
      </w:r>
      <w:proofErr w:type="spellEnd"/>
      <w:r w:rsidRPr="00D156D5">
        <w:rPr>
          <w:rFonts w:cs="Arial"/>
          <w:bCs/>
          <w:color w:val="222222"/>
          <w:lang w:val="es-ES_tradnl" w:eastAsia="es-CO"/>
        </w:rPr>
        <w:t xml:space="preserve"> in </w:t>
      </w:r>
      <w:proofErr w:type="spellStart"/>
      <w:r w:rsidRPr="00D156D5">
        <w:rPr>
          <w:rFonts w:cs="Arial"/>
          <w:bCs/>
          <w:color w:val="222222"/>
          <w:lang w:val="es-ES_tradnl" w:eastAsia="es-CO"/>
        </w:rPr>
        <w:t>one</w:t>
      </w:r>
      <w:proofErr w:type="spellEnd"/>
    </w:p>
    <w:p w14:paraId="49FD24F8" w14:textId="77777777" w:rsidR="00902D75" w:rsidRPr="00D156D5" w:rsidRDefault="00902D75" w:rsidP="008B4625">
      <w:pPr>
        <w:pStyle w:val="Prrafodelista"/>
        <w:numPr>
          <w:ilvl w:val="0"/>
          <w:numId w:val="52"/>
        </w:numPr>
        <w:rPr>
          <w:rFonts w:cs="Arial"/>
          <w:bCs/>
          <w:color w:val="222222"/>
          <w:lang w:val="es-ES_tradnl" w:eastAsia="es-CO"/>
        </w:rPr>
      </w:pPr>
      <w:r w:rsidRPr="00D156D5">
        <w:rPr>
          <w:rFonts w:cs="Arial"/>
          <w:bCs/>
          <w:color w:val="222222"/>
          <w:lang w:val="es-ES_tradnl" w:eastAsia="es-CO"/>
        </w:rPr>
        <w:t>Soporte técnico y mantenimiento para las licencias de productos ESRI, de conformidad con las cantidades de productos adquiridos</w:t>
      </w:r>
    </w:p>
    <w:p w14:paraId="0F802B91" w14:textId="77777777" w:rsidR="00902D75" w:rsidRPr="00D156D5" w:rsidRDefault="00902D75" w:rsidP="00902D75">
      <w:pPr>
        <w:shd w:val="clear" w:color="auto" w:fill="FFFFFF"/>
        <w:jc w:val="both"/>
        <w:rPr>
          <w:rFonts w:ascii="Arial" w:hAnsi="Arial" w:cs="Arial"/>
          <w:b/>
          <w:color w:val="000000" w:themeColor="text1"/>
          <w:lang w:val="es-ES_tradnl" w:eastAsia="es-CO"/>
        </w:rPr>
      </w:pPr>
      <w:r w:rsidRPr="00D156D5">
        <w:rPr>
          <w:rFonts w:ascii="Arial" w:hAnsi="Arial" w:cs="Arial"/>
          <w:b/>
          <w:color w:val="000000" w:themeColor="text1"/>
          <w:lang w:val="es-ES_tradnl" w:eastAsia="es-CO"/>
        </w:rPr>
        <w:t>ARTICULACION DE ACCIONES PARA LA EXPANSION DEL SUBSECTOR ELÉCTRICO A NIVEL NACIONAL</w:t>
      </w:r>
    </w:p>
    <w:p w14:paraId="43141B9D" w14:textId="77777777" w:rsidR="00902D75" w:rsidRPr="00D156D5" w:rsidRDefault="00902D75" w:rsidP="007B6220">
      <w:pPr>
        <w:pStyle w:val="Prrafodelista"/>
        <w:numPr>
          <w:ilvl w:val="0"/>
          <w:numId w:val="23"/>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Apoyo al grupo de Registro, Incentivos, y Certificaciones a la Evaluación de Proyectos de Certificación Técnica para Beneficios Tributarios</w:t>
      </w:r>
    </w:p>
    <w:p w14:paraId="757429E1" w14:textId="77777777" w:rsidR="00902D75" w:rsidRPr="00D156D5" w:rsidRDefault="00902D75" w:rsidP="00902D75">
      <w:pPr>
        <w:pStyle w:val="Prrafodelista"/>
        <w:shd w:val="clear" w:color="auto" w:fill="FFFFFF"/>
        <w:spacing w:after="0" w:line="240" w:lineRule="auto"/>
        <w:ind w:left="720"/>
        <w:contextualSpacing/>
        <w:jc w:val="both"/>
        <w:rPr>
          <w:rFonts w:cs="Arial"/>
          <w:color w:val="222222"/>
          <w:lang w:val="es-ES_tradnl" w:eastAsia="es-CO"/>
        </w:rPr>
      </w:pPr>
    </w:p>
    <w:p w14:paraId="04778066" w14:textId="77777777" w:rsidR="00902D75" w:rsidRPr="00D156D5" w:rsidRDefault="00902D75" w:rsidP="007B6220">
      <w:pPr>
        <w:pStyle w:val="Prrafodelista"/>
        <w:numPr>
          <w:ilvl w:val="0"/>
          <w:numId w:val="23"/>
        </w:numPr>
        <w:rPr>
          <w:rFonts w:cs="Arial"/>
          <w:color w:val="222222"/>
          <w:lang w:val="es-ES_tradnl" w:eastAsia="es-CO"/>
        </w:rPr>
      </w:pPr>
      <w:r w:rsidRPr="00D156D5">
        <w:rPr>
          <w:rFonts w:cs="Arial"/>
          <w:color w:val="222222"/>
          <w:lang w:val="es-ES_tradnl" w:eastAsia="es-CO"/>
        </w:rPr>
        <w:t>Apoyar el procesamiento y análisis de información socio ambiental asociada a proyectos en planeación en estructuración</w:t>
      </w:r>
    </w:p>
    <w:p w14:paraId="77856C7E" w14:textId="77777777" w:rsidR="00902D75" w:rsidRPr="00D156D5" w:rsidRDefault="00902D75" w:rsidP="007B6220">
      <w:pPr>
        <w:pStyle w:val="Prrafodelista"/>
        <w:numPr>
          <w:ilvl w:val="0"/>
          <w:numId w:val="23"/>
        </w:numPr>
        <w:rPr>
          <w:rFonts w:cs="Arial"/>
          <w:color w:val="222222"/>
          <w:lang w:val="es-ES_tradnl" w:eastAsia="es-CO"/>
        </w:rPr>
      </w:pPr>
      <w:r w:rsidRPr="00D156D5">
        <w:rPr>
          <w:rFonts w:cs="Arial"/>
          <w:color w:val="222222"/>
          <w:lang w:val="es-ES_tradnl" w:eastAsia="es-CO"/>
        </w:rPr>
        <w:t>Contrato Prestación Servicios Profesionales, para gestionar la información técnica de los proyectos de transmisión nacional y regional.</w:t>
      </w:r>
    </w:p>
    <w:p w14:paraId="54A01AC1" w14:textId="77777777" w:rsidR="00902D75" w:rsidRPr="00D156D5" w:rsidRDefault="00902D75" w:rsidP="007B6220">
      <w:pPr>
        <w:pStyle w:val="Prrafodelista"/>
        <w:numPr>
          <w:ilvl w:val="0"/>
          <w:numId w:val="23"/>
        </w:numPr>
        <w:rPr>
          <w:rFonts w:cs="Arial"/>
          <w:color w:val="222222"/>
          <w:lang w:val="es-ES_tradnl" w:eastAsia="es-CO"/>
        </w:rPr>
      </w:pPr>
      <w:r w:rsidRPr="00D156D5">
        <w:rPr>
          <w:rFonts w:cs="Arial"/>
          <w:color w:val="222222"/>
          <w:lang w:val="es-ES_tradnl" w:eastAsia="es-CO"/>
        </w:rPr>
        <w:t>Apoyar el seguimiento al desarrollo ambiental y social de los proyectos</w:t>
      </w:r>
    </w:p>
    <w:p w14:paraId="1D2F370E" w14:textId="77777777" w:rsidR="00902D75" w:rsidRPr="00D156D5" w:rsidRDefault="00902D75" w:rsidP="007B6220">
      <w:pPr>
        <w:pStyle w:val="Prrafodelista"/>
        <w:numPr>
          <w:ilvl w:val="0"/>
          <w:numId w:val="23"/>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Apoyar el seguimiento al desarrollo ambiental y social de los proyectos en ejecución, procesamiento y preparación de información tendiente a las posibilidades y condiciones de los proyectos.</w:t>
      </w:r>
    </w:p>
    <w:p w14:paraId="375FDEDD" w14:textId="77777777" w:rsidR="00902D75" w:rsidRPr="00D156D5" w:rsidRDefault="00902D75" w:rsidP="007B6220">
      <w:pPr>
        <w:pStyle w:val="Prrafodelista"/>
        <w:numPr>
          <w:ilvl w:val="0"/>
          <w:numId w:val="23"/>
        </w:numPr>
        <w:shd w:val="clear" w:color="auto" w:fill="FFFFFF"/>
        <w:spacing w:after="0" w:line="240" w:lineRule="auto"/>
        <w:contextualSpacing/>
        <w:jc w:val="both"/>
        <w:rPr>
          <w:rFonts w:cs="Arial"/>
          <w:color w:val="222222"/>
          <w:lang w:val="es-ES_tradnl" w:eastAsia="es-CO"/>
        </w:rPr>
      </w:pPr>
    </w:p>
    <w:p w14:paraId="73F5A8C3" w14:textId="77777777" w:rsidR="00902D75" w:rsidRPr="00D156D5" w:rsidRDefault="00902D75" w:rsidP="007B6220">
      <w:pPr>
        <w:pStyle w:val="Prrafodelista"/>
        <w:numPr>
          <w:ilvl w:val="0"/>
          <w:numId w:val="23"/>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Gestión de Información Técnica y de operación de los proyectos de transmisión nacional y regional objeto de convocatorias públicas</w:t>
      </w:r>
    </w:p>
    <w:p w14:paraId="325830EF" w14:textId="77777777" w:rsidR="00902D75" w:rsidRPr="00D156D5" w:rsidRDefault="00902D75" w:rsidP="007B6220">
      <w:pPr>
        <w:pStyle w:val="Prrafodelista"/>
        <w:numPr>
          <w:ilvl w:val="0"/>
          <w:numId w:val="23"/>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Asesoría Jurídica a la UPME en temas Judiciales, mineros y Energéticos.</w:t>
      </w:r>
    </w:p>
    <w:p w14:paraId="7C5A1078" w14:textId="77777777" w:rsidR="00902D75" w:rsidRPr="00D156D5" w:rsidRDefault="00902D75" w:rsidP="007B6220">
      <w:pPr>
        <w:pStyle w:val="Prrafodelista"/>
        <w:numPr>
          <w:ilvl w:val="0"/>
          <w:numId w:val="23"/>
        </w:numPr>
        <w:shd w:val="clear" w:color="auto" w:fill="FFFFFF"/>
        <w:spacing w:after="0" w:line="240" w:lineRule="auto"/>
        <w:contextualSpacing/>
        <w:jc w:val="both"/>
        <w:rPr>
          <w:rFonts w:cs="Arial"/>
          <w:color w:val="222222"/>
          <w:lang w:val="es-ES_tradnl" w:eastAsia="es-CO"/>
        </w:rPr>
      </w:pPr>
      <w:r w:rsidRPr="00D156D5">
        <w:rPr>
          <w:rFonts w:cs="Arial"/>
          <w:color w:val="222222"/>
          <w:lang w:val="es-ES_tradnl" w:eastAsia="es-CO"/>
        </w:rPr>
        <w:t>Realizar ingreso y validación de información para estimación del ICEE a nivel de sitio, PIEC.</w:t>
      </w:r>
    </w:p>
    <w:p w14:paraId="7E109E9E" w14:textId="77777777" w:rsidR="008A4B8C" w:rsidRDefault="008A4B8C" w:rsidP="00902D75">
      <w:pPr>
        <w:shd w:val="clear" w:color="auto" w:fill="FFFFFF"/>
        <w:jc w:val="both"/>
        <w:rPr>
          <w:rFonts w:ascii="Arial" w:hAnsi="Arial" w:cs="Arial"/>
          <w:b/>
          <w:color w:val="000000" w:themeColor="text1"/>
          <w:lang w:val="es-ES_tradnl" w:eastAsia="es-CO"/>
        </w:rPr>
      </w:pPr>
    </w:p>
    <w:p w14:paraId="2636CF05" w14:textId="76ADA144" w:rsidR="00902D75" w:rsidRPr="00D156D5" w:rsidRDefault="00902D75" w:rsidP="00902D75">
      <w:pPr>
        <w:shd w:val="clear" w:color="auto" w:fill="FFFFFF"/>
        <w:jc w:val="both"/>
        <w:rPr>
          <w:rFonts w:ascii="Arial" w:hAnsi="Arial" w:cs="Arial"/>
          <w:b/>
          <w:color w:val="000000" w:themeColor="text1"/>
          <w:lang w:val="es-ES_tradnl" w:eastAsia="es-CO"/>
        </w:rPr>
      </w:pPr>
      <w:r w:rsidRPr="00D156D5">
        <w:rPr>
          <w:rFonts w:ascii="Arial" w:hAnsi="Arial" w:cs="Arial"/>
          <w:b/>
          <w:color w:val="000000" w:themeColor="text1"/>
          <w:lang w:val="es-ES_tradnl" w:eastAsia="es-CO"/>
        </w:rPr>
        <w:lastRenderedPageBreak/>
        <w:t>GESTIÓN DEL CONOCIMIENTO APLICADO A LA UNIDAD DE PLANEACIÓN MINERO ENERGÉTICO</w:t>
      </w:r>
    </w:p>
    <w:p w14:paraId="1FB0BD39"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Financiar el 80% de la matrícula del programa de postgrado "Maestría en Derecho Privado, Persona y Sociedad con énfasis en Contratación Contemporánea</w:t>
      </w:r>
    </w:p>
    <w:p w14:paraId="5A57F558"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Dictar los cursos de Experticia energética e ingeniería aplicada, programa de salud, seguridad, y ambiente laboral</w:t>
      </w:r>
    </w:p>
    <w:p w14:paraId="7B6C0F4D"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 xml:space="preserve">Cursos de temáticas misionales, comportamentales y laborales afines con las funciones de funcionarios </w:t>
      </w:r>
      <w:proofErr w:type="spellStart"/>
      <w:r w:rsidRPr="00D156D5">
        <w:rPr>
          <w:rFonts w:cs="Arial"/>
          <w:color w:val="000000" w:themeColor="text1"/>
          <w:lang w:val="es-ES_tradnl" w:eastAsia="es-CO"/>
        </w:rPr>
        <w:t>Upme</w:t>
      </w:r>
      <w:proofErr w:type="spellEnd"/>
    </w:p>
    <w:p w14:paraId="7B93F11C"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"Líneas y Subestaciones Eléctricas" para funcionarios de la UPME.</w:t>
      </w:r>
    </w:p>
    <w:p w14:paraId="7595ADD7"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 xml:space="preserve">Dictar curso </w:t>
      </w:r>
      <w:proofErr w:type="spellStart"/>
      <w:r w:rsidRPr="00D156D5">
        <w:rPr>
          <w:rFonts w:cs="Arial"/>
          <w:color w:val="000000" w:themeColor="text1"/>
          <w:lang w:val="es-ES_tradnl" w:eastAsia="es-CO"/>
        </w:rPr>
        <w:t>ArcGis</w:t>
      </w:r>
      <w:proofErr w:type="spellEnd"/>
      <w:r w:rsidRPr="00D156D5">
        <w:rPr>
          <w:rFonts w:cs="Arial"/>
          <w:color w:val="000000" w:themeColor="text1"/>
          <w:lang w:val="es-ES_tradnl" w:eastAsia="es-CO"/>
        </w:rPr>
        <w:t xml:space="preserve"> 2018 a funcionarios </w:t>
      </w:r>
      <w:proofErr w:type="spellStart"/>
      <w:r w:rsidRPr="00D156D5">
        <w:rPr>
          <w:rFonts w:cs="Arial"/>
          <w:color w:val="000000" w:themeColor="text1"/>
          <w:lang w:val="es-ES_tradnl" w:eastAsia="es-CO"/>
        </w:rPr>
        <w:t>Upme</w:t>
      </w:r>
      <w:proofErr w:type="spellEnd"/>
    </w:p>
    <w:p w14:paraId="0A3AF5E3"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"Fundamentos y proyectos de iluminación interior y exterior para los funcionarios de la UPME</w:t>
      </w:r>
    </w:p>
    <w:p w14:paraId="12F7C4C8" w14:textId="77777777" w:rsidR="00902D75" w:rsidRPr="00D156D5" w:rsidRDefault="00902D75" w:rsidP="008B4625">
      <w:pPr>
        <w:pStyle w:val="Prrafodelista"/>
        <w:numPr>
          <w:ilvl w:val="0"/>
          <w:numId w:val="49"/>
        </w:numPr>
        <w:shd w:val="clear" w:color="auto" w:fill="FFFFFF"/>
        <w:jc w:val="both"/>
        <w:rPr>
          <w:rFonts w:cs="Arial"/>
          <w:color w:val="000000" w:themeColor="text1"/>
          <w:lang w:val="es-ES_tradnl" w:eastAsia="es-CO"/>
        </w:rPr>
      </w:pPr>
      <w:r w:rsidRPr="00D156D5">
        <w:rPr>
          <w:rFonts w:cs="Arial"/>
          <w:color w:val="000000" w:themeColor="text1"/>
          <w:lang w:val="es-ES_tradnl" w:eastAsia="es-CO"/>
        </w:rPr>
        <w:t>C-033-2018 Servicios profesionales apoyo a implementación de NICSP y demás</w:t>
      </w:r>
    </w:p>
    <w:p w14:paraId="39ADF954" w14:textId="77777777" w:rsidR="00C02282" w:rsidRPr="006A67B4" w:rsidRDefault="00C02282" w:rsidP="00C02282">
      <w:pPr>
        <w:rPr>
          <w:highlight w:val="yellow"/>
          <w:lang w:val="es-ES_tradnl"/>
        </w:rPr>
      </w:pPr>
    </w:p>
    <w:p w14:paraId="6242E461" w14:textId="77777777" w:rsidR="00C02282" w:rsidRPr="00902D75" w:rsidRDefault="00C02282" w:rsidP="00055F7C">
      <w:pPr>
        <w:pStyle w:val="Ttulo1"/>
        <w:numPr>
          <w:ilvl w:val="0"/>
          <w:numId w:val="12"/>
        </w:numPr>
        <w:rPr>
          <w:rFonts w:ascii="Arial" w:eastAsia="Arial" w:hAnsi="Arial" w:cs="Arial"/>
          <w:b/>
          <w:color w:val="auto"/>
          <w:sz w:val="22"/>
          <w:szCs w:val="22"/>
          <w:lang w:eastAsia="es-CO"/>
        </w:rPr>
      </w:pPr>
      <w:bookmarkStart w:id="306" w:name="_Toc525652096"/>
      <w:r w:rsidRPr="00902D75">
        <w:rPr>
          <w:rFonts w:ascii="Arial" w:eastAsia="Arial" w:hAnsi="Arial" w:cs="Arial"/>
          <w:b/>
          <w:color w:val="auto"/>
          <w:sz w:val="22"/>
          <w:szCs w:val="22"/>
          <w:lang w:eastAsia="es-CO"/>
        </w:rPr>
        <w:t>COMPOSICIÓN REZAGO PRESUPUESTAL DE LA UPME</w:t>
      </w:r>
      <w:bookmarkEnd w:id="306"/>
      <w:r w:rsidRPr="00902D75">
        <w:rPr>
          <w:rFonts w:ascii="Arial" w:eastAsia="Arial" w:hAnsi="Arial" w:cs="Arial"/>
          <w:b/>
          <w:color w:val="auto"/>
          <w:sz w:val="22"/>
          <w:szCs w:val="22"/>
          <w:lang w:eastAsia="es-CO"/>
        </w:rPr>
        <w:t xml:space="preserve"> </w:t>
      </w:r>
    </w:p>
    <w:p w14:paraId="3B40476A" w14:textId="77777777" w:rsidR="00C02282" w:rsidRPr="00902D75" w:rsidRDefault="00C02282" w:rsidP="00055F7C">
      <w:pPr>
        <w:pStyle w:val="Ttulo2"/>
        <w:numPr>
          <w:ilvl w:val="1"/>
          <w:numId w:val="12"/>
        </w:numPr>
        <w:rPr>
          <w:rFonts w:ascii="Arial" w:eastAsia="Calibri" w:hAnsi="Arial" w:cs="Arial"/>
          <w:color w:val="auto"/>
          <w:sz w:val="22"/>
          <w:szCs w:val="22"/>
        </w:rPr>
      </w:pPr>
      <w:bookmarkStart w:id="307" w:name="_Toc525652097"/>
      <w:r w:rsidRPr="00902D75">
        <w:rPr>
          <w:rFonts w:ascii="Arial" w:eastAsia="Calibri" w:hAnsi="Arial" w:cs="Arial"/>
          <w:color w:val="auto"/>
          <w:sz w:val="22"/>
          <w:szCs w:val="22"/>
        </w:rPr>
        <w:t>Ejecución reservas presupuestales UPME</w:t>
      </w:r>
      <w:bookmarkEnd w:id="307"/>
      <w:r w:rsidRPr="00902D75">
        <w:rPr>
          <w:rFonts w:ascii="Arial" w:eastAsia="Calibri" w:hAnsi="Arial" w:cs="Arial"/>
          <w:color w:val="auto"/>
          <w:sz w:val="22"/>
          <w:szCs w:val="22"/>
        </w:rPr>
        <w:t xml:space="preserve"> </w:t>
      </w:r>
    </w:p>
    <w:p w14:paraId="5EBBC04A" w14:textId="77777777" w:rsidR="00902D75" w:rsidRDefault="00902D75" w:rsidP="00902D75">
      <w:pPr>
        <w:suppressAutoHyphens/>
        <w:spacing w:after="0" w:line="240" w:lineRule="auto"/>
        <w:rPr>
          <w:rFonts w:eastAsia="Times New Roman" w:cs="Arial"/>
          <w:noProof/>
          <w:szCs w:val="24"/>
          <w:lang w:eastAsia="es-CO"/>
        </w:rPr>
      </w:pPr>
    </w:p>
    <w:p w14:paraId="5E2309D2" w14:textId="77777777" w:rsidR="00902D75" w:rsidRPr="00902D75" w:rsidRDefault="00902D75" w:rsidP="00902D75">
      <w:pPr>
        <w:jc w:val="both"/>
        <w:rPr>
          <w:rFonts w:ascii="Arial" w:hAnsi="Arial" w:cs="Arial"/>
          <w:lang w:val="es-ES_tradnl"/>
        </w:rPr>
      </w:pPr>
      <w:r w:rsidRPr="00902D75">
        <w:rPr>
          <w:rFonts w:ascii="Arial" w:hAnsi="Arial" w:cs="Arial"/>
          <w:lang w:val="es-ES_tradnl"/>
        </w:rPr>
        <w:t>Como se informó en el trimestre anterior, a 31 de diciembre de 2017, se constituyó el siguiente rezago presupuestal:</w:t>
      </w:r>
    </w:p>
    <w:p w14:paraId="018F8B96" w14:textId="77777777" w:rsidR="00902D75" w:rsidRPr="00D156D5" w:rsidRDefault="00902D75" w:rsidP="00902D75">
      <w:pPr>
        <w:suppressAutoHyphens/>
        <w:spacing w:after="0" w:line="240" w:lineRule="auto"/>
        <w:jc w:val="both"/>
        <w:rPr>
          <w:rFonts w:ascii="Arial" w:eastAsia="Times New Roman" w:hAnsi="Arial" w:cs="Arial"/>
          <w:noProof/>
          <w:szCs w:val="24"/>
          <w:lang w:eastAsia="es-CO"/>
        </w:rPr>
      </w:pPr>
      <w:r w:rsidRPr="00D156D5">
        <w:rPr>
          <w:rFonts w:ascii="Arial" w:eastAsia="Times New Roman" w:hAnsi="Arial" w:cs="Arial"/>
          <w:noProof/>
          <w:szCs w:val="24"/>
          <w:lang w:eastAsia="es-CO"/>
        </w:rPr>
        <w:t>Reservas Presupuestales</w:t>
      </w:r>
      <w:r w:rsidRPr="00D156D5">
        <w:rPr>
          <w:rFonts w:ascii="Arial" w:eastAsia="Times New Roman" w:hAnsi="Arial" w:cs="Arial"/>
          <w:noProof/>
          <w:szCs w:val="24"/>
          <w:lang w:eastAsia="es-CO"/>
        </w:rPr>
        <w:tab/>
        <w:t>$42,8 millones de pesos, equivalentes al 0,15% del total ejecutado.</w:t>
      </w:r>
    </w:p>
    <w:p w14:paraId="7AEAAC24" w14:textId="77777777" w:rsidR="00902D75" w:rsidRPr="00D156D5" w:rsidRDefault="00902D75" w:rsidP="00902D75">
      <w:pPr>
        <w:suppressAutoHyphens/>
        <w:spacing w:after="0" w:line="240" w:lineRule="auto"/>
        <w:jc w:val="both"/>
        <w:rPr>
          <w:rFonts w:ascii="Arial" w:eastAsia="Times New Roman" w:hAnsi="Arial" w:cs="Arial"/>
          <w:noProof/>
          <w:szCs w:val="24"/>
          <w:lang w:eastAsia="es-CO"/>
        </w:rPr>
      </w:pPr>
      <w:r w:rsidRPr="00D156D5">
        <w:rPr>
          <w:rFonts w:ascii="Arial" w:eastAsia="Times New Roman" w:hAnsi="Arial" w:cs="Arial"/>
          <w:noProof/>
          <w:szCs w:val="24"/>
          <w:lang w:eastAsia="es-CO"/>
        </w:rPr>
        <w:t>Cuentas por pagar</w:t>
      </w:r>
      <w:r w:rsidRPr="00D156D5">
        <w:rPr>
          <w:rFonts w:ascii="Arial" w:eastAsia="Times New Roman" w:hAnsi="Arial" w:cs="Arial"/>
          <w:noProof/>
          <w:szCs w:val="24"/>
          <w:lang w:eastAsia="es-CO"/>
        </w:rPr>
        <w:tab/>
      </w:r>
      <w:r w:rsidRPr="00D156D5">
        <w:rPr>
          <w:rFonts w:ascii="Arial" w:eastAsia="Times New Roman" w:hAnsi="Arial" w:cs="Arial"/>
          <w:noProof/>
          <w:szCs w:val="24"/>
          <w:lang w:eastAsia="es-CO"/>
        </w:rPr>
        <w:tab/>
        <w:t>$1.542,96 millones de pesos, con el 5,33% del total ejecutado.</w:t>
      </w:r>
    </w:p>
    <w:p w14:paraId="17DAD931" w14:textId="77777777" w:rsidR="00902D75" w:rsidRPr="00D156D5" w:rsidRDefault="00902D75" w:rsidP="00902D75">
      <w:pPr>
        <w:suppressAutoHyphens/>
        <w:spacing w:after="0" w:line="240" w:lineRule="auto"/>
        <w:jc w:val="both"/>
        <w:rPr>
          <w:rFonts w:ascii="Arial" w:eastAsia="Times New Roman" w:hAnsi="Arial" w:cs="Arial"/>
          <w:b/>
          <w:noProof/>
          <w:sz w:val="20"/>
          <w:szCs w:val="20"/>
          <w:lang w:eastAsia="es-CO"/>
        </w:rPr>
      </w:pPr>
      <w:r w:rsidRPr="00D156D5">
        <w:rPr>
          <w:rFonts w:ascii="Arial" w:eastAsia="Times New Roman" w:hAnsi="Arial" w:cs="Arial"/>
          <w:b/>
          <w:noProof/>
          <w:szCs w:val="24"/>
          <w:lang w:eastAsia="es-CO"/>
        </w:rPr>
        <w:t>Rezago Presupuestal</w:t>
      </w:r>
      <w:r w:rsidRPr="00D156D5">
        <w:rPr>
          <w:rFonts w:ascii="Arial" w:eastAsia="Times New Roman" w:hAnsi="Arial" w:cs="Arial"/>
          <w:b/>
          <w:noProof/>
          <w:szCs w:val="24"/>
          <w:lang w:eastAsia="es-CO"/>
        </w:rPr>
        <w:tab/>
        <w:t xml:space="preserve">$1.585,75 </w:t>
      </w:r>
      <w:r w:rsidRPr="00D156D5">
        <w:rPr>
          <w:rFonts w:ascii="Arial" w:eastAsia="Times New Roman" w:hAnsi="Arial" w:cs="Arial"/>
          <w:b/>
          <w:noProof/>
          <w:sz w:val="20"/>
          <w:szCs w:val="20"/>
          <w:lang w:eastAsia="es-CO"/>
        </w:rPr>
        <w:t>millones de pesos, representan el 5,48% del total ejecutado</w:t>
      </w:r>
    </w:p>
    <w:p w14:paraId="41CAF242" w14:textId="77777777" w:rsidR="00902D75" w:rsidRPr="00D156D5" w:rsidRDefault="00902D75" w:rsidP="00902D75">
      <w:pPr>
        <w:suppressAutoHyphens/>
        <w:spacing w:after="0" w:line="240" w:lineRule="auto"/>
        <w:jc w:val="both"/>
        <w:rPr>
          <w:rFonts w:ascii="Arial" w:eastAsia="Times New Roman" w:hAnsi="Arial" w:cs="Arial"/>
          <w:noProof/>
          <w:szCs w:val="24"/>
          <w:lang w:eastAsia="es-CO"/>
        </w:rPr>
      </w:pPr>
    </w:p>
    <w:p w14:paraId="21BCB66E" w14:textId="77777777" w:rsidR="00902D75" w:rsidRPr="00D156D5" w:rsidRDefault="00902D75" w:rsidP="00902D75">
      <w:pPr>
        <w:suppressAutoHyphens/>
        <w:spacing w:after="0" w:line="240" w:lineRule="auto"/>
        <w:rPr>
          <w:rFonts w:ascii="Arial" w:eastAsia="Times New Roman" w:hAnsi="Arial" w:cs="Arial"/>
          <w:noProof/>
          <w:szCs w:val="24"/>
          <w:lang w:eastAsia="es-CO"/>
        </w:rPr>
      </w:pPr>
      <w:r w:rsidRPr="00D156D5">
        <w:rPr>
          <w:rFonts w:ascii="Arial" w:eastAsia="Times New Roman" w:hAnsi="Arial" w:cs="Arial"/>
          <w:b/>
          <w:noProof/>
          <w:szCs w:val="24"/>
          <w:lang w:eastAsia="es-CO"/>
        </w:rPr>
        <w:t>Nota</w:t>
      </w:r>
      <w:r w:rsidRPr="00D156D5">
        <w:rPr>
          <w:rFonts w:ascii="Arial" w:eastAsia="Times New Roman" w:hAnsi="Arial" w:cs="Arial"/>
          <w:noProof/>
          <w:szCs w:val="24"/>
          <w:lang w:eastAsia="es-CO"/>
        </w:rPr>
        <w:t>: El rezago presupuestal constituído en la vigencia fiscal 2017 fue pagado en su totalidad con corte a 30 de junio de 2018.</w:t>
      </w:r>
    </w:p>
    <w:p w14:paraId="67353914" w14:textId="77777777" w:rsidR="00C02282" w:rsidRPr="006A67B4" w:rsidRDefault="00C02282" w:rsidP="00C02282">
      <w:pPr>
        <w:pStyle w:val="Prrafodelista"/>
        <w:spacing w:after="0" w:line="240" w:lineRule="auto"/>
        <w:ind w:left="720"/>
        <w:contextualSpacing/>
        <w:rPr>
          <w:rFonts w:eastAsia="Calibri" w:cs="Arial"/>
          <w:highlight w:val="yellow"/>
        </w:rPr>
      </w:pPr>
    </w:p>
    <w:p w14:paraId="025BE23A" w14:textId="750B18DD" w:rsidR="00902D75" w:rsidRPr="00902D75" w:rsidRDefault="00C02282" w:rsidP="00902D75">
      <w:pPr>
        <w:pStyle w:val="Ttulo1"/>
        <w:numPr>
          <w:ilvl w:val="0"/>
          <w:numId w:val="12"/>
        </w:numPr>
        <w:rPr>
          <w:rFonts w:ascii="Arial" w:eastAsia="Arial" w:hAnsi="Arial" w:cs="Arial"/>
          <w:b/>
          <w:color w:val="auto"/>
          <w:sz w:val="22"/>
          <w:szCs w:val="22"/>
          <w:lang w:eastAsia="es-CO"/>
        </w:rPr>
      </w:pPr>
      <w:bookmarkStart w:id="308" w:name="_Toc525652098"/>
      <w:r w:rsidRPr="00902D75">
        <w:rPr>
          <w:rFonts w:ascii="Arial" w:eastAsia="Arial" w:hAnsi="Arial" w:cs="Arial"/>
          <w:b/>
          <w:color w:val="auto"/>
          <w:sz w:val="22"/>
          <w:szCs w:val="22"/>
          <w:lang w:eastAsia="es-CO"/>
        </w:rPr>
        <w:t>CONCLUSIONES Y /O COMENTARIO</w:t>
      </w:r>
      <w:bookmarkEnd w:id="308"/>
    </w:p>
    <w:p w14:paraId="219C1E92" w14:textId="77777777" w:rsidR="00902D75" w:rsidRPr="00902D75" w:rsidRDefault="00902D75" w:rsidP="00902D75">
      <w:pPr>
        <w:rPr>
          <w:highlight w:val="yellow"/>
          <w:lang w:eastAsia="es-CO"/>
        </w:rPr>
      </w:pPr>
    </w:p>
    <w:p w14:paraId="646B45A6" w14:textId="7421460F" w:rsidR="00902D75" w:rsidRPr="00902D75" w:rsidRDefault="00902D75" w:rsidP="00902D75">
      <w:pPr>
        <w:jc w:val="both"/>
        <w:rPr>
          <w:rFonts w:ascii="Arial" w:hAnsi="Arial" w:cs="Arial"/>
          <w:lang w:val="es-ES_tradnl"/>
        </w:rPr>
      </w:pPr>
      <w:r w:rsidRPr="00902D75">
        <w:rPr>
          <w:rFonts w:ascii="Arial" w:hAnsi="Arial" w:cs="Arial"/>
          <w:lang w:val="es-ES_tradnl"/>
        </w:rPr>
        <w:t xml:space="preserve">De acuerdo con el anterior comportamiento de ejecución presupuestal, se concluye que a 30 de junio de 2018 los Compromisos ascendieron al 33% del total apropiado y las Obligaciones al 22% al igual que los Pagos, a </w:t>
      </w:r>
      <w:r w:rsidR="008A4B8C" w:rsidRPr="00902D75">
        <w:rPr>
          <w:rFonts w:ascii="Arial" w:hAnsi="Arial" w:cs="Arial"/>
          <w:lang w:val="es-ES_tradnl"/>
        </w:rPr>
        <w:t>continuación,</w:t>
      </w:r>
      <w:r w:rsidRPr="00902D75">
        <w:rPr>
          <w:rFonts w:ascii="Arial" w:hAnsi="Arial" w:cs="Arial"/>
          <w:lang w:val="es-ES_tradnl"/>
        </w:rPr>
        <w:t xml:space="preserve"> se consolida la ejecución al corte de periodo.</w:t>
      </w:r>
    </w:p>
    <w:p w14:paraId="1E526A0F" w14:textId="77777777" w:rsidR="00C02282" w:rsidRPr="00902D75" w:rsidRDefault="00C02282" w:rsidP="00C02282">
      <w:pPr>
        <w:pStyle w:val="Prrafodelista"/>
        <w:suppressAutoHyphens/>
        <w:spacing w:after="0" w:line="240" w:lineRule="auto"/>
        <w:ind w:left="284"/>
        <w:contextualSpacing/>
        <w:rPr>
          <w:rFonts w:ascii="Arial Narrow" w:hAnsi="Arial Narrow" w:cs="Arial"/>
          <w:b/>
          <w:lang w:val="es-ES_tradnl"/>
        </w:rPr>
      </w:pPr>
      <w:r w:rsidRPr="00902D75">
        <w:rPr>
          <w:rFonts w:ascii="Times New Roman" w:hAnsi="Times New Roman"/>
          <w:sz w:val="24"/>
          <w:szCs w:val="24"/>
          <w:lang w:val="es-ES_tradnl"/>
        </w:rPr>
        <w:lastRenderedPageBreak/>
        <w:fldChar w:fldCharType="begin"/>
      </w:r>
      <w:r w:rsidRPr="00902D75">
        <w:rPr>
          <w:lang w:val="es-ES_tradnl"/>
        </w:rPr>
        <w:instrText xml:space="preserve"> LINK Excel.Sheet.12 "D:\\BK ALBEIRO GUZMAN\\PRESUPUESTO 2018\\INFORMES\\CONTRALORÍA\\GRAFICAS INFORMES 2018.xlsx" "compromis a MAR 2018 !F32C1:F39C8" \a \f 4 \h  \* MERGEFORMAT </w:instrText>
      </w:r>
      <w:r w:rsidRPr="00902D75">
        <w:rPr>
          <w:rFonts w:ascii="Times New Roman" w:hAnsi="Times New Roman"/>
          <w:sz w:val="24"/>
          <w:szCs w:val="24"/>
          <w:lang w:val="es-ES_tradnl"/>
        </w:rPr>
        <w:fldChar w:fldCharType="separate"/>
      </w:r>
    </w:p>
    <w:p w14:paraId="21819872" w14:textId="1F300983" w:rsidR="00902D75" w:rsidRPr="00902D75" w:rsidRDefault="00C02282" w:rsidP="00902D75">
      <w:pPr>
        <w:pStyle w:val="Descripcin"/>
        <w:keepNext/>
        <w:shd w:val="clear" w:color="auto" w:fill="FFFFFF" w:themeFill="background1"/>
        <w:jc w:val="center"/>
        <w:rPr>
          <w:rFonts w:ascii="Arial" w:hAnsi="Arial" w:cs="Arial"/>
          <w:color w:val="000000"/>
          <w:sz w:val="16"/>
          <w:szCs w:val="16"/>
        </w:rPr>
      </w:pPr>
      <w:bookmarkStart w:id="309" w:name="_Toc525652576"/>
      <w:r w:rsidRPr="00902D75">
        <w:t xml:space="preserve">Tabla </w:t>
      </w:r>
      <w:r w:rsidRPr="00902D75">
        <w:fldChar w:fldCharType="begin"/>
      </w:r>
      <w:r w:rsidRPr="00902D75">
        <w:instrText xml:space="preserve"> SEQ Tabla \* ARABIC </w:instrText>
      </w:r>
      <w:r w:rsidRPr="00902D75">
        <w:fldChar w:fldCharType="separate"/>
      </w:r>
      <w:r w:rsidR="008B4625">
        <w:rPr>
          <w:noProof/>
        </w:rPr>
        <w:t>131</w:t>
      </w:r>
      <w:r w:rsidRPr="00902D75">
        <w:fldChar w:fldCharType="end"/>
      </w:r>
      <w:r w:rsidR="00902D75" w:rsidRPr="00902D75">
        <w:t xml:space="preserve"> </w:t>
      </w:r>
      <w:r w:rsidRPr="00902D75">
        <w:t>ejecución presupuestal total, con corte a 3</w:t>
      </w:r>
      <w:r w:rsidR="00902D75" w:rsidRPr="00902D75">
        <w:t xml:space="preserve">0 de junio </w:t>
      </w:r>
      <w:r w:rsidRPr="00902D75">
        <w:t xml:space="preserve"> de 2018 UPME</w:t>
      </w:r>
      <w:bookmarkEnd w:id="309"/>
      <w:r w:rsidRPr="00902D75">
        <w:rPr>
          <w:rFonts w:ascii="Arial Narrow" w:hAnsi="Arial Narrow" w:cs="Arial"/>
          <w:b/>
          <w:lang w:val="es-ES_tradnl"/>
        </w:rPr>
        <w:fldChar w:fldCharType="end"/>
      </w:r>
    </w:p>
    <w:tbl>
      <w:tblPr>
        <w:tblW w:w="7476" w:type="dxa"/>
        <w:jc w:val="center"/>
        <w:tblLayout w:type="fixed"/>
        <w:tblCellMar>
          <w:left w:w="70" w:type="dxa"/>
          <w:right w:w="70" w:type="dxa"/>
        </w:tblCellMar>
        <w:tblLook w:val="04A0" w:firstRow="1" w:lastRow="0" w:firstColumn="1" w:lastColumn="0" w:noHBand="0" w:noVBand="1"/>
      </w:tblPr>
      <w:tblGrid>
        <w:gridCol w:w="2089"/>
        <w:gridCol w:w="1058"/>
        <w:gridCol w:w="927"/>
        <w:gridCol w:w="567"/>
        <w:gridCol w:w="850"/>
        <w:gridCol w:w="567"/>
        <w:gridCol w:w="851"/>
        <w:gridCol w:w="567"/>
      </w:tblGrid>
      <w:tr w:rsidR="00902D75" w:rsidRPr="00D156D5" w14:paraId="1D30A6A6" w14:textId="77777777" w:rsidTr="00902D75">
        <w:trPr>
          <w:trHeight w:val="300"/>
          <w:jc w:val="center"/>
        </w:trPr>
        <w:tc>
          <w:tcPr>
            <w:tcW w:w="2089"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3C20072" w14:textId="77777777" w:rsidR="00902D75" w:rsidRPr="00D156D5" w:rsidRDefault="00902D75" w:rsidP="002D3798">
            <w:pPr>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Objeto del Gasto</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497BD47"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Apropiación vigente</w:t>
            </w:r>
          </w:p>
        </w:tc>
        <w:tc>
          <w:tcPr>
            <w:tcW w:w="1494" w:type="dxa"/>
            <w:gridSpan w:val="2"/>
            <w:tcBorders>
              <w:top w:val="single" w:sz="4" w:space="0" w:color="auto"/>
              <w:left w:val="nil"/>
              <w:bottom w:val="single" w:sz="4" w:space="0" w:color="auto"/>
              <w:right w:val="single" w:sz="4" w:space="0" w:color="auto"/>
            </w:tcBorders>
            <w:shd w:val="clear" w:color="auto" w:fill="4F81BD" w:themeFill="accent1"/>
            <w:vAlign w:val="bottom"/>
            <w:hideMark/>
          </w:tcPr>
          <w:p w14:paraId="0C45188D"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Compromisos</w:t>
            </w:r>
          </w:p>
        </w:tc>
        <w:tc>
          <w:tcPr>
            <w:tcW w:w="1417" w:type="dxa"/>
            <w:gridSpan w:val="2"/>
            <w:tcBorders>
              <w:top w:val="single" w:sz="4" w:space="0" w:color="auto"/>
              <w:left w:val="nil"/>
              <w:bottom w:val="single" w:sz="4" w:space="0" w:color="auto"/>
              <w:right w:val="single" w:sz="4" w:space="0" w:color="auto"/>
            </w:tcBorders>
            <w:shd w:val="clear" w:color="auto" w:fill="4F81BD" w:themeFill="accent1"/>
            <w:vAlign w:val="bottom"/>
            <w:hideMark/>
          </w:tcPr>
          <w:p w14:paraId="51CB7ED6"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Obligaciones</w:t>
            </w:r>
          </w:p>
        </w:tc>
        <w:tc>
          <w:tcPr>
            <w:tcW w:w="1418" w:type="dxa"/>
            <w:gridSpan w:val="2"/>
            <w:tcBorders>
              <w:top w:val="single" w:sz="4" w:space="0" w:color="auto"/>
              <w:left w:val="nil"/>
              <w:bottom w:val="single" w:sz="4" w:space="0" w:color="auto"/>
              <w:right w:val="single" w:sz="4" w:space="0" w:color="auto"/>
            </w:tcBorders>
            <w:shd w:val="clear" w:color="auto" w:fill="4F81BD" w:themeFill="accent1"/>
            <w:vAlign w:val="bottom"/>
            <w:hideMark/>
          </w:tcPr>
          <w:p w14:paraId="06CDB8A1"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Pagos</w:t>
            </w:r>
          </w:p>
        </w:tc>
      </w:tr>
      <w:tr w:rsidR="00902D75" w:rsidRPr="00D156D5" w14:paraId="3EE43E87" w14:textId="77777777" w:rsidTr="00902D75">
        <w:trPr>
          <w:trHeight w:val="300"/>
          <w:jc w:val="center"/>
        </w:trPr>
        <w:tc>
          <w:tcPr>
            <w:tcW w:w="2089"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E75DD95" w14:textId="77777777" w:rsidR="00902D75" w:rsidRPr="00D156D5" w:rsidRDefault="00902D75" w:rsidP="002D3798">
            <w:pPr>
              <w:spacing w:after="0" w:line="240" w:lineRule="auto"/>
              <w:rPr>
                <w:rFonts w:ascii="Arial" w:eastAsia="Times New Roman" w:hAnsi="Arial" w:cs="Arial"/>
                <w:b/>
                <w:bCs/>
                <w:color w:val="000000"/>
                <w:sz w:val="20"/>
                <w:szCs w:val="20"/>
                <w:lang w:eastAsia="es-CO"/>
              </w:rPr>
            </w:pPr>
          </w:p>
        </w:tc>
        <w:tc>
          <w:tcPr>
            <w:tcW w:w="1058"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AC28E92" w14:textId="77777777" w:rsidR="00902D75" w:rsidRPr="00D156D5" w:rsidRDefault="00902D75" w:rsidP="002D3798">
            <w:pPr>
              <w:spacing w:after="0" w:line="240" w:lineRule="auto"/>
              <w:rPr>
                <w:rFonts w:ascii="Arial" w:eastAsia="Times New Roman" w:hAnsi="Arial" w:cs="Arial"/>
                <w:b/>
                <w:bCs/>
                <w:color w:val="000000"/>
                <w:sz w:val="20"/>
                <w:szCs w:val="20"/>
                <w:lang w:eastAsia="es-CO"/>
              </w:rPr>
            </w:pPr>
          </w:p>
        </w:tc>
        <w:tc>
          <w:tcPr>
            <w:tcW w:w="927" w:type="dxa"/>
            <w:tcBorders>
              <w:top w:val="nil"/>
              <w:left w:val="nil"/>
              <w:bottom w:val="single" w:sz="4" w:space="0" w:color="auto"/>
              <w:right w:val="single" w:sz="4" w:space="0" w:color="auto"/>
            </w:tcBorders>
            <w:shd w:val="clear" w:color="auto" w:fill="4F81BD" w:themeFill="accent1"/>
            <w:vAlign w:val="bottom"/>
            <w:hideMark/>
          </w:tcPr>
          <w:p w14:paraId="54E45107"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Valor</w:t>
            </w:r>
          </w:p>
        </w:tc>
        <w:tc>
          <w:tcPr>
            <w:tcW w:w="567" w:type="dxa"/>
            <w:tcBorders>
              <w:top w:val="nil"/>
              <w:left w:val="nil"/>
              <w:bottom w:val="single" w:sz="4" w:space="0" w:color="auto"/>
              <w:right w:val="single" w:sz="4" w:space="0" w:color="auto"/>
            </w:tcBorders>
            <w:shd w:val="clear" w:color="auto" w:fill="4F81BD" w:themeFill="accent1"/>
            <w:vAlign w:val="bottom"/>
            <w:hideMark/>
          </w:tcPr>
          <w:p w14:paraId="56055927"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w:t>
            </w:r>
          </w:p>
        </w:tc>
        <w:tc>
          <w:tcPr>
            <w:tcW w:w="850" w:type="dxa"/>
            <w:tcBorders>
              <w:top w:val="nil"/>
              <w:left w:val="nil"/>
              <w:bottom w:val="single" w:sz="4" w:space="0" w:color="auto"/>
              <w:right w:val="single" w:sz="4" w:space="0" w:color="auto"/>
            </w:tcBorders>
            <w:shd w:val="clear" w:color="auto" w:fill="4F81BD" w:themeFill="accent1"/>
            <w:vAlign w:val="bottom"/>
            <w:hideMark/>
          </w:tcPr>
          <w:p w14:paraId="2639FE51"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Valor</w:t>
            </w:r>
          </w:p>
        </w:tc>
        <w:tc>
          <w:tcPr>
            <w:tcW w:w="567" w:type="dxa"/>
            <w:tcBorders>
              <w:top w:val="nil"/>
              <w:left w:val="nil"/>
              <w:bottom w:val="single" w:sz="4" w:space="0" w:color="auto"/>
              <w:right w:val="single" w:sz="4" w:space="0" w:color="auto"/>
            </w:tcBorders>
            <w:shd w:val="clear" w:color="auto" w:fill="4F81BD" w:themeFill="accent1"/>
            <w:vAlign w:val="bottom"/>
            <w:hideMark/>
          </w:tcPr>
          <w:p w14:paraId="19DE3867"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w:t>
            </w:r>
          </w:p>
        </w:tc>
        <w:tc>
          <w:tcPr>
            <w:tcW w:w="851" w:type="dxa"/>
            <w:tcBorders>
              <w:top w:val="nil"/>
              <w:left w:val="nil"/>
              <w:bottom w:val="single" w:sz="4" w:space="0" w:color="auto"/>
              <w:right w:val="single" w:sz="4" w:space="0" w:color="auto"/>
            </w:tcBorders>
            <w:shd w:val="clear" w:color="auto" w:fill="4F81BD" w:themeFill="accent1"/>
            <w:vAlign w:val="bottom"/>
            <w:hideMark/>
          </w:tcPr>
          <w:p w14:paraId="7D268C20"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Valor</w:t>
            </w:r>
          </w:p>
        </w:tc>
        <w:tc>
          <w:tcPr>
            <w:tcW w:w="567" w:type="dxa"/>
            <w:tcBorders>
              <w:top w:val="nil"/>
              <w:left w:val="nil"/>
              <w:bottom w:val="single" w:sz="4" w:space="0" w:color="auto"/>
              <w:right w:val="single" w:sz="4" w:space="0" w:color="auto"/>
            </w:tcBorders>
            <w:shd w:val="clear" w:color="auto" w:fill="4F81BD" w:themeFill="accent1"/>
            <w:vAlign w:val="bottom"/>
            <w:hideMark/>
          </w:tcPr>
          <w:p w14:paraId="4ADA971E"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w:t>
            </w:r>
          </w:p>
        </w:tc>
      </w:tr>
      <w:tr w:rsidR="00902D75" w:rsidRPr="00D156D5" w14:paraId="29C5D46C" w14:textId="77777777" w:rsidTr="00902D75">
        <w:trPr>
          <w:trHeight w:val="300"/>
          <w:jc w:val="center"/>
        </w:trPr>
        <w:tc>
          <w:tcPr>
            <w:tcW w:w="2089" w:type="dxa"/>
            <w:tcBorders>
              <w:top w:val="nil"/>
              <w:left w:val="single" w:sz="4" w:space="0" w:color="auto"/>
              <w:bottom w:val="single" w:sz="4" w:space="0" w:color="auto"/>
              <w:right w:val="single" w:sz="4" w:space="0" w:color="auto"/>
            </w:tcBorders>
            <w:shd w:val="clear" w:color="auto" w:fill="auto"/>
            <w:noWrap/>
            <w:vAlign w:val="bottom"/>
            <w:hideMark/>
          </w:tcPr>
          <w:p w14:paraId="553F98B5"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FUNCIONAMIENTO</w:t>
            </w:r>
          </w:p>
        </w:tc>
        <w:tc>
          <w:tcPr>
            <w:tcW w:w="1058" w:type="dxa"/>
            <w:tcBorders>
              <w:top w:val="nil"/>
              <w:left w:val="nil"/>
              <w:bottom w:val="single" w:sz="4" w:space="0" w:color="auto"/>
              <w:right w:val="single" w:sz="4" w:space="0" w:color="auto"/>
            </w:tcBorders>
            <w:shd w:val="clear" w:color="auto" w:fill="auto"/>
            <w:noWrap/>
            <w:vAlign w:val="bottom"/>
            <w:hideMark/>
          </w:tcPr>
          <w:p w14:paraId="03D24587"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$15,270 </w:t>
            </w:r>
          </w:p>
        </w:tc>
        <w:tc>
          <w:tcPr>
            <w:tcW w:w="927" w:type="dxa"/>
            <w:tcBorders>
              <w:top w:val="nil"/>
              <w:left w:val="nil"/>
              <w:bottom w:val="single" w:sz="4" w:space="0" w:color="auto"/>
              <w:right w:val="single" w:sz="4" w:space="0" w:color="auto"/>
            </w:tcBorders>
            <w:shd w:val="clear" w:color="auto" w:fill="auto"/>
            <w:noWrap/>
            <w:vAlign w:val="bottom"/>
            <w:hideMark/>
          </w:tcPr>
          <w:p w14:paraId="34C2037E"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$6,755 </w:t>
            </w:r>
          </w:p>
        </w:tc>
        <w:tc>
          <w:tcPr>
            <w:tcW w:w="567" w:type="dxa"/>
            <w:tcBorders>
              <w:top w:val="nil"/>
              <w:left w:val="nil"/>
              <w:bottom w:val="single" w:sz="4" w:space="0" w:color="auto"/>
              <w:right w:val="single" w:sz="4" w:space="0" w:color="auto"/>
            </w:tcBorders>
            <w:shd w:val="clear" w:color="auto" w:fill="auto"/>
            <w:noWrap/>
            <w:vAlign w:val="bottom"/>
            <w:hideMark/>
          </w:tcPr>
          <w:p w14:paraId="120CBC23"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44%</w:t>
            </w:r>
          </w:p>
        </w:tc>
        <w:tc>
          <w:tcPr>
            <w:tcW w:w="850" w:type="dxa"/>
            <w:tcBorders>
              <w:top w:val="nil"/>
              <w:left w:val="nil"/>
              <w:bottom w:val="single" w:sz="4" w:space="0" w:color="auto"/>
              <w:right w:val="single" w:sz="4" w:space="0" w:color="auto"/>
            </w:tcBorders>
            <w:shd w:val="clear" w:color="auto" w:fill="auto"/>
            <w:noWrap/>
            <w:vAlign w:val="bottom"/>
            <w:hideMark/>
          </w:tcPr>
          <w:p w14:paraId="0D9A4982"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$5,883 </w:t>
            </w:r>
          </w:p>
        </w:tc>
        <w:tc>
          <w:tcPr>
            <w:tcW w:w="567" w:type="dxa"/>
            <w:tcBorders>
              <w:top w:val="nil"/>
              <w:left w:val="nil"/>
              <w:bottom w:val="single" w:sz="4" w:space="0" w:color="auto"/>
              <w:right w:val="single" w:sz="4" w:space="0" w:color="auto"/>
            </w:tcBorders>
            <w:shd w:val="clear" w:color="auto" w:fill="auto"/>
            <w:noWrap/>
            <w:vAlign w:val="bottom"/>
            <w:hideMark/>
          </w:tcPr>
          <w:p w14:paraId="7302BBF1"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39%</w:t>
            </w:r>
          </w:p>
        </w:tc>
        <w:tc>
          <w:tcPr>
            <w:tcW w:w="851" w:type="dxa"/>
            <w:tcBorders>
              <w:top w:val="nil"/>
              <w:left w:val="nil"/>
              <w:bottom w:val="single" w:sz="4" w:space="0" w:color="auto"/>
              <w:right w:val="single" w:sz="4" w:space="0" w:color="auto"/>
            </w:tcBorders>
            <w:shd w:val="clear" w:color="auto" w:fill="auto"/>
            <w:noWrap/>
            <w:vAlign w:val="bottom"/>
            <w:hideMark/>
          </w:tcPr>
          <w:p w14:paraId="4AF103D6"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$5,883 </w:t>
            </w:r>
          </w:p>
        </w:tc>
        <w:tc>
          <w:tcPr>
            <w:tcW w:w="567" w:type="dxa"/>
            <w:tcBorders>
              <w:top w:val="nil"/>
              <w:left w:val="nil"/>
              <w:bottom w:val="single" w:sz="4" w:space="0" w:color="auto"/>
              <w:right w:val="single" w:sz="4" w:space="0" w:color="auto"/>
            </w:tcBorders>
            <w:shd w:val="clear" w:color="auto" w:fill="auto"/>
            <w:noWrap/>
            <w:vAlign w:val="bottom"/>
            <w:hideMark/>
          </w:tcPr>
          <w:p w14:paraId="1B2D092D"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39%</w:t>
            </w:r>
          </w:p>
        </w:tc>
      </w:tr>
      <w:tr w:rsidR="00902D75" w:rsidRPr="00D156D5" w14:paraId="40AE415C" w14:textId="77777777" w:rsidTr="00902D75">
        <w:trPr>
          <w:trHeight w:val="300"/>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2572FB3E" w14:textId="77777777" w:rsidR="00902D75" w:rsidRPr="00D156D5" w:rsidRDefault="00902D75" w:rsidP="002D3798">
            <w:pPr>
              <w:spacing w:after="0" w:line="240" w:lineRule="auto"/>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Gastos de Personal</w:t>
            </w:r>
          </w:p>
        </w:tc>
        <w:tc>
          <w:tcPr>
            <w:tcW w:w="1058" w:type="dxa"/>
            <w:tcBorders>
              <w:top w:val="nil"/>
              <w:left w:val="nil"/>
              <w:bottom w:val="single" w:sz="4" w:space="0" w:color="auto"/>
              <w:right w:val="single" w:sz="4" w:space="0" w:color="auto"/>
            </w:tcBorders>
            <w:shd w:val="clear" w:color="auto" w:fill="auto"/>
            <w:noWrap/>
            <w:vAlign w:val="center"/>
            <w:hideMark/>
          </w:tcPr>
          <w:p w14:paraId="471D425B"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$13,121 </w:t>
            </w:r>
          </w:p>
        </w:tc>
        <w:tc>
          <w:tcPr>
            <w:tcW w:w="927" w:type="dxa"/>
            <w:tcBorders>
              <w:top w:val="nil"/>
              <w:left w:val="nil"/>
              <w:bottom w:val="single" w:sz="4" w:space="0" w:color="auto"/>
              <w:right w:val="single" w:sz="4" w:space="0" w:color="auto"/>
            </w:tcBorders>
            <w:shd w:val="clear" w:color="auto" w:fill="auto"/>
            <w:noWrap/>
            <w:vAlign w:val="center"/>
            <w:hideMark/>
          </w:tcPr>
          <w:p w14:paraId="488765D0"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$5,604 </w:t>
            </w:r>
          </w:p>
        </w:tc>
        <w:tc>
          <w:tcPr>
            <w:tcW w:w="567" w:type="dxa"/>
            <w:tcBorders>
              <w:top w:val="nil"/>
              <w:left w:val="nil"/>
              <w:bottom w:val="single" w:sz="4" w:space="0" w:color="auto"/>
              <w:right w:val="single" w:sz="4" w:space="0" w:color="auto"/>
            </w:tcBorders>
            <w:shd w:val="clear" w:color="auto" w:fill="auto"/>
            <w:noWrap/>
            <w:vAlign w:val="center"/>
            <w:hideMark/>
          </w:tcPr>
          <w:p w14:paraId="0D59C4B7"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43%</w:t>
            </w:r>
          </w:p>
        </w:tc>
        <w:tc>
          <w:tcPr>
            <w:tcW w:w="850" w:type="dxa"/>
            <w:tcBorders>
              <w:top w:val="nil"/>
              <w:left w:val="nil"/>
              <w:bottom w:val="single" w:sz="4" w:space="0" w:color="auto"/>
              <w:right w:val="single" w:sz="4" w:space="0" w:color="auto"/>
            </w:tcBorders>
            <w:shd w:val="clear" w:color="auto" w:fill="auto"/>
            <w:noWrap/>
            <w:vAlign w:val="center"/>
            <w:hideMark/>
          </w:tcPr>
          <w:p w14:paraId="47DC6663"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$5,285 </w:t>
            </w:r>
          </w:p>
        </w:tc>
        <w:tc>
          <w:tcPr>
            <w:tcW w:w="567" w:type="dxa"/>
            <w:tcBorders>
              <w:top w:val="nil"/>
              <w:left w:val="nil"/>
              <w:bottom w:val="single" w:sz="4" w:space="0" w:color="auto"/>
              <w:right w:val="single" w:sz="4" w:space="0" w:color="auto"/>
            </w:tcBorders>
            <w:shd w:val="clear" w:color="auto" w:fill="auto"/>
            <w:noWrap/>
            <w:vAlign w:val="center"/>
            <w:hideMark/>
          </w:tcPr>
          <w:p w14:paraId="6D50CFDC"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40%</w:t>
            </w:r>
          </w:p>
        </w:tc>
        <w:tc>
          <w:tcPr>
            <w:tcW w:w="851" w:type="dxa"/>
            <w:tcBorders>
              <w:top w:val="nil"/>
              <w:left w:val="nil"/>
              <w:bottom w:val="single" w:sz="4" w:space="0" w:color="auto"/>
              <w:right w:val="single" w:sz="4" w:space="0" w:color="auto"/>
            </w:tcBorders>
            <w:shd w:val="clear" w:color="auto" w:fill="auto"/>
            <w:noWrap/>
            <w:vAlign w:val="center"/>
            <w:hideMark/>
          </w:tcPr>
          <w:p w14:paraId="50431A57"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$5,285 </w:t>
            </w:r>
          </w:p>
        </w:tc>
        <w:tc>
          <w:tcPr>
            <w:tcW w:w="567" w:type="dxa"/>
            <w:tcBorders>
              <w:top w:val="nil"/>
              <w:left w:val="nil"/>
              <w:bottom w:val="single" w:sz="4" w:space="0" w:color="auto"/>
              <w:right w:val="single" w:sz="4" w:space="0" w:color="auto"/>
            </w:tcBorders>
            <w:shd w:val="clear" w:color="auto" w:fill="auto"/>
            <w:noWrap/>
            <w:vAlign w:val="center"/>
            <w:hideMark/>
          </w:tcPr>
          <w:p w14:paraId="39565957"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40%</w:t>
            </w:r>
          </w:p>
        </w:tc>
      </w:tr>
      <w:tr w:rsidR="00902D75" w:rsidRPr="00D156D5" w14:paraId="044880CA" w14:textId="77777777" w:rsidTr="00902D75">
        <w:trPr>
          <w:trHeight w:val="300"/>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780E4FB1" w14:textId="77777777" w:rsidR="00902D75" w:rsidRPr="00D156D5" w:rsidRDefault="00902D75" w:rsidP="002D3798">
            <w:pPr>
              <w:spacing w:after="0" w:line="240" w:lineRule="auto"/>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Gastos Generales</w:t>
            </w:r>
          </w:p>
        </w:tc>
        <w:tc>
          <w:tcPr>
            <w:tcW w:w="1058" w:type="dxa"/>
            <w:tcBorders>
              <w:top w:val="nil"/>
              <w:left w:val="nil"/>
              <w:bottom w:val="single" w:sz="4" w:space="0" w:color="auto"/>
              <w:right w:val="single" w:sz="4" w:space="0" w:color="auto"/>
            </w:tcBorders>
            <w:shd w:val="clear" w:color="auto" w:fill="auto"/>
            <w:noWrap/>
            <w:vAlign w:val="center"/>
            <w:hideMark/>
          </w:tcPr>
          <w:p w14:paraId="5814415F"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$1,744 </w:t>
            </w:r>
          </w:p>
        </w:tc>
        <w:tc>
          <w:tcPr>
            <w:tcW w:w="927" w:type="dxa"/>
            <w:tcBorders>
              <w:top w:val="nil"/>
              <w:left w:val="nil"/>
              <w:bottom w:val="single" w:sz="4" w:space="0" w:color="auto"/>
              <w:right w:val="single" w:sz="4" w:space="0" w:color="auto"/>
            </w:tcBorders>
            <w:shd w:val="clear" w:color="auto" w:fill="auto"/>
            <w:noWrap/>
            <w:vAlign w:val="center"/>
            <w:hideMark/>
          </w:tcPr>
          <w:p w14:paraId="1C1CADF5"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$1,151 </w:t>
            </w:r>
          </w:p>
        </w:tc>
        <w:tc>
          <w:tcPr>
            <w:tcW w:w="567" w:type="dxa"/>
            <w:tcBorders>
              <w:top w:val="nil"/>
              <w:left w:val="nil"/>
              <w:bottom w:val="single" w:sz="4" w:space="0" w:color="auto"/>
              <w:right w:val="single" w:sz="4" w:space="0" w:color="auto"/>
            </w:tcBorders>
            <w:shd w:val="clear" w:color="auto" w:fill="auto"/>
            <w:noWrap/>
            <w:vAlign w:val="center"/>
            <w:hideMark/>
          </w:tcPr>
          <w:p w14:paraId="134A5EAF"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66%</w:t>
            </w:r>
          </w:p>
        </w:tc>
        <w:tc>
          <w:tcPr>
            <w:tcW w:w="850" w:type="dxa"/>
            <w:tcBorders>
              <w:top w:val="nil"/>
              <w:left w:val="nil"/>
              <w:bottom w:val="single" w:sz="4" w:space="0" w:color="auto"/>
              <w:right w:val="single" w:sz="4" w:space="0" w:color="auto"/>
            </w:tcBorders>
            <w:shd w:val="clear" w:color="auto" w:fill="auto"/>
            <w:noWrap/>
            <w:vAlign w:val="center"/>
            <w:hideMark/>
          </w:tcPr>
          <w:p w14:paraId="271F0869"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$598 </w:t>
            </w:r>
          </w:p>
        </w:tc>
        <w:tc>
          <w:tcPr>
            <w:tcW w:w="567" w:type="dxa"/>
            <w:tcBorders>
              <w:top w:val="nil"/>
              <w:left w:val="nil"/>
              <w:bottom w:val="single" w:sz="4" w:space="0" w:color="auto"/>
              <w:right w:val="single" w:sz="4" w:space="0" w:color="auto"/>
            </w:tcBorders>
            <w:shd w:val="clear" w:color="auto" w:fill="auto"/>
            <w:noWrap/>
            <w:vAlign w:val="center"/>
            <w:hideMark/>
          </w:tcPr>
          <w:p w14:paraId="6C927DC2"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34%</w:t>
            </w:r>
          </w:p>
        </w:tc>
        <w:tc>
          <w:tcPr>
            <w:tcW w:w="851" w:type="dxa"/>
            <w:tcBorders>
              <w:top w:val="nil"/>
              <w:left w:val="nil"/>
              <w:bottom w:val="single" w:sz="4" w:space="0" w:color="auto"/>
              <w:right w:val="single" w:sz="4" w:space="0" w:color="auto"/>
            </w:tcBorders>
            <w:shd w:val="clear" w:color="auto" w:fill="auto"/>
            <w:noWrap/>
            <w:vAlign w:val="center"/>
            <w:hideMark/>
          </w:tcPr>
          <w:p w14:paraId="4AEF5E9B"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$598 </w:t>
            </w:r>
          </w:p>
        </w:tc>
        <w:tc>
          <w:tcPr>
            <w:tcW w:w="567" w:type="dxa"/>
            <w:tcBorders>
              <w:top w:val="nil"/>
              <w:left w:val="nil"/>
              <w:bottom w:val="single" w:sz="4" w:space="0" w:color="auto"/>
              <w:right w:val="single" w:sz="4" w:space="0" w:color="auto"/>
            </w:tcBorders>
            <w:shd w:val="clear" w:color="auto" w:fill="auto"/>
            <w:noWrap/>
            <w:vAlign w:val="center"/>
            <w:hideMark/>
          </w:tcPr>
          <w:p w14:paraId="5C0D4622"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34%</w:t>
            </w:r>
          </w:p>
        </w:tc>
      </w:tr>
      <w:tr w:rsidR="00902D75" w:rsidRPr="00D156D5" w14:paraId="5CE9D767" w14:textId="77777777" w:rsidTr="00902D75">
        <w:trPr>
          <w:trHeight w:val="300"/>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6C817137" w14:textId="77777777" w:rsidR="00902D75" w:rsidRPr="00D156D5" w:rsidRDefault="00902D75" w:rsidP="002D3798">
            <w:pPr>
              <w:spacing w:after="0" w:line="240" w:lineRule="auto"/>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Transferencias Corrientes</w:t>
            </w:r>
          </w:p>
        </w:tc>
        <w:tc>
          <w:tcPr>
            <w:tcW w:w="1058" w:type="dxa"/>
            <w:tcBorders>
              <w:top w:val="nil"/>
              <w:left w:val="nil"/>
              <w:bottom w:val="single" w:sz="4" w:space="0" w:color="auto"/>
              <w:right w:val="single" w:sz="4" w:space="0" w:color="auto"/>
            </w:tcBorders>
            <w:shd w:val="clear" w:color="auto" w:fill="auto"/>
            <w:noWrap/>
            <w:vAlign w:val="center"/>
            <w:hideMark/>
          </w:tcPr>
          <w:p w14:paraId="3CE12EC9"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$405 </w:t>
            </w:r>
          </w:p>
        </w:tc>
        <w:tc>
          <w:tcPr>
            <w:tcW w:w="927" w:type="dxa"/>
            <w:tcBorders>
              <w:top w:val="nil"/>
              <w:left w:val="nil"/>
              <w:bottom w:val="single" w:sz="4" w:space="0" w:color="auto"/>
              <w:right w:val="single" w:sz="4" w:space="0" w:color="auto"/>
            </w:tcBorders>
            <w:shd w:val="clear" w:color="auto" w:fill="auto"/>
            <w:noWrap/>
            <w:vAlign w:val="center"/>
            <w:hideMark/>
          </w:tcPr>
          <w:p w14:paraId="25CCACC3"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$0 </w:t>
            </w:r>
          </w:p>
        </w:tc>
        <w:tc>
          <w:tcPr>
            <w:tcW w:w="567" w:type="dxa"/>
            <w:tcBorders>
              <w:top w:val="nil"/>
              <w:left w:val="nil"/>
              <w:bottom w:val="single" w:sz="4" w:space="0" w:color="auto"/>
              <w:right w:val="single" w:sz="4" w:space="0" w:color="auto"/>
            </w:tcBorders>
            <w:shd w:val="clear" w:color="auto" w:fill="auto"/>
            <w:noWrap/>
            <w:vAlign w:val="center"/>
            <w:hideMark/>
          </w:tcPr>
          <w:p w14:paraId="380C8337"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0%</w:t>
            </w:r>
          </w:p>
        </w:tc>
        <w:tc>
          <w:tcPr>
            <w:tcW w:w="850" w:type="dxa"/>
            <w:tcBorders>
              <w:top w:val="nil"/>
              <w:left w:val="nil"/>
              <w:bottom w:val="single" w:sz="4" w:space="0" w:color="auto"/>
              <w:right w:val="single" w:sz="4" w:space="0" w:color="auto"/>
            </w:tcBorders>
            <w:shd w:val="clear" w:color="auto" w:fill="auto"/>
            <w:noWrap/>
            <w:vAlign w:val="center"/>
            <w:hideMark/>
          </w:tcPr>
          <w:p w14:paraId="5312AEAB"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$0   </w:t>
            </w:r>
          </w:p>
        </w:tc>
        <w:tc>
          <w:tcPr>
            <w:tcW w:w="567" w:type="dxa"/>
            <w:tcBorders>
              <w:top w:val="nil"/>
              <w:left w:val="nil"/>
              <w:bottom w:val="single" w:sz="4" w:space="0" w:color="auto"/>
              <w:right w:val="single" w:sz="4" w:space="0" w:color="auto"/>
            </w:tcBorders>
            <w:shd w:val="clear" w:color="auto" w:fill="auto"/>
            <w:noWrap/>
            <w:vAlign w:val="center"/>
            <w:hideMark/>
          </w:tcPr>
          <w:p w14:paraId="0EC3C039"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0%</w:t>
            </w:r>
          </w:p>
        </w:tc>
        <w:tc>
          <w:tcPr>
            <w:tcW w:w="851" w:type="dxa"/>
            <w:tcBorders>
              <w:top w:val="nil"/>
              <w:left w:val="nil"/>
              <w:bottom w:val="single" w:sz="4" w:space="0" w:color="auto"/>
              <w:right w:val="single" w:sz="4" w:space="0" w:color="auto"/>
            </w:tcBorders>
            <w:shd w:val="clear" w:color="auto" w:fill="auto"/>
            <w:noWrap/>
            <w:vAlign w:val="center"/>
            <w:hideMark/>
          </w:tcPr>
          <w:p w14:paraId="06B205FB" w14:textId="77777777" w:rsidR="00902D75" w:rsidRPr="00D156D5" w:rsidRDefault="00902D75" w:rsidP="002D3798">
            <w:pPr>
              <w:spacing w:after="0" w:line="240" w:lineRule="auto"/>
              <w:jc w:val="right"/>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 xml:space="preserve"> $0  </w:t>
            </w:r>
          </w:p>
        </w:tc>
        <w:tc>
          <w:tcPr>
            <w:tcW w:w="567" w:type="dxa"/>
            <w:tcBorders>
              <w:top w:val="nil"/>
              <w:left w:val="nil"/>
              <w:bottom w:val="single" w:sz="4" w:space="0" w:color="auto"/>
              <w:right w:val="single" w:sz="4" w:space="0" w:color="auto"/>
            </w:tcBorders>
            <w:shd w:val="clear" w:color="auto" w:fill="auto"/>
            <w:noWrap/>
            <w:vAlign w:val="center"/>
            <w:hideMark/>
          </w:tcPr>
          <w:p w14:paraId="769C154B" w14:textId="77777777" w:rsidR="00902D75" w:rsidRPr="00D156D5" w:rsidRDefault="00902D75" w:rsidP="002D3798">
            <w:pPr>
              <w:spacing w:after="0" w:line="240" w:lineRule="auto"/>
              <w:jc w:val="center"/>
              <w:rPr>
                <w:rFonts w:ascii="Arial" w:eastAsia="Times New Roman" w:hAnsi="Arial" w:cs="Arial"/>
                <w:color w:val="000000"/>
                <w:sz w:val="20"/>
                <w:szCs w:val="20"/>
                <w:lang w:eastAsia="es-CO"/>
              </w:rPr>
            </w:pPr>
            <w:r w:rsidRPr="00D156D5">
              <w:rPr>
                <w:rFonts w:ascii="Arial" w:eastAsia="Times New Roman" w:hAnsi="Arial" w:cs="Arial"/>
                <w:color w:val="000000"/>
                <w:sz w:val="20"/>
                <w:szCs w:val="20"/>
                <w:lang w:eastAsia="es-CO"/>
              </w:rPr>
              <w:t>0%</w:t>
            </w:r>
          </w:p>
        </w:tc>
      </w:tr>
      <w:tr w:rsidR="00902D75" w:rsidRPr="00D156D5" w14:paraId="47CFC608" w14:textId="77777777" w:rsidTr="00902D75">
        <w:trPr>
          <w:trHeight w:val="300"/>
          <w:jc w:val="center"/>
        </w:trPr>
        <w:tc>
          <w:tcPr>
            <w:tcW w:w="2089" w:type="dxa"/>
            <w:tcBorders>
              <w:top w:val="nil"/>
              <w:left w:val="single" w:sz="4" w:space="0" w:color="auto"/>
              <w:bottom w:val="single" w:sz="4" w:space="0" w:color="auto"/>
              <w:right w:val="single" w:sz="4" w:space="0" w:color="auto"/>
            </w:tcBorders>
            <w:shd w:val="clear" w:color="auto" w:fill="auto"/>
            <w:vAlign w:val="center"/>
            <w:hideMark/>
          </w:tcPr>
          <w:p w14:paraId="11F97FAF" w14:textId="77777777" w:rsidR="00902D75" w:rsidRPr="00D156D5" w:rsidRDefault="00902D75" w:rsidP="002D3798">
            <w:pPr>
              <w:spacing w:after="0" w:line="240" w:lineRule="auto"/>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INVERSION</w:t>
            </w:r>
          </w:p>
        </w:tc>
        <w:tc>
          <w:tcPr>
            <w:tcW w:w="1058" w:type="dxa"/>
            <w:tcBorders>
              <w:top w:val="nil"/>
              <w:left w:val="nil"/>
              <w:bottom w:val="single" w:sz="4" w:space="0" w:color="auto"/>
              <w:right w:val="single" w:sz="4" w:space="0" w:color="auto"/>
            </w:tcBorders>
            <w:shd w:val="clear" w:color="auto" w:fill="auto"/>
            <w:noWrap/>
            <w:vAlign w:val="center"/>
            <w:hideMark/>
          </w:tcPr>
          <w:p w14:paraId="2BA41A51"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$19,272 </w:t>
            </w:r>
          </w:p>
        </w:tc>
        <w:tc>
          <w:tcPr>
            <w:tcW w:w="927" w:type="dxa"/>
            <w:tcBorders>
              <w:top w:val="nil"/>
              <w:left w:val="nil"/>
              <w:bottom w:val="single" w:sz="4" w:space="0" w:color="auto"/>
              <w:right w:val="single" w:sz="4" w:space="0" w:color="auto"/>
            </w:tcBorders>
            <w:shd w:val="clear" w:color="auto" w:fill="auto"/>
            <w:noWrap/>
            <w:vAlign w:val="center"/>
            <w:hideMark/>
          </w:tcPr>
          <w:p w14:paraId="519262AD"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$4,721 </w:t>
            </w:r>
          </w:p>
        </w:tc>
        <w:tc>
          <w:tcPr>
            <w:tcW w:w="567" w:type="dxa"/>
            <w:tcBorders>
              <w:top w:val="nil"/>
              <w:left w:val="nil"/>
              <w:bottom w:val="single" w:sz="4" w:space="0" w:color="auto"/>
              <w:right w:val="single" w:sz="4" w:space="0" w:color="auto"/>
            </w:tcBorders>
            <w:shd w:val="clear" w:color="auto" w:fill="auto"/>
            <w:noWrap/>
            <w:vAlign w:val="center"/>
            <w:hideMark/>
          </w:tcPr>
          <w:p w14:paraId="77E06B19"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24%</w:t>
            </w:r>
          </w:p>
        </w:tc>
        <w:tc>
          <w:tcPr>
            <w:tcW w:w="850" w:type="dxa"/>
            <w:tcBorders>
              <w:top w:val="nil"/>
              <w:left w:val="nil"/>
              <w:bottom w:val="single" w:sz="4" w:space="0" w:color="auto"/>
              <w:right w:val="single" w:sz="4" w:space="0" w:color="auto"/>
            </w:tcBorders>
            <w:shd w:val="clear" w:color="auto" w:fill="auto"/>
            <w:noWrap/>
            <w:vAlign w:val="center"/>
            <w:hideMark/>
          </w:tcPr>
          <w:p w14:paraId="77799FA1"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$1,732 </w:t>
            </w:r>
          </w:p>
        </w:tc>
        <w:tc>
          <w:tcPr>
            <w:tcW w:w="567" w:type="dxa"/>
            <w:tcBorders>
              <w:top w:val="nil"/>
              <w:left w:val="nil"/>
              <w:bottom w:val="single" w:sz="4" w:space="0" w:color="auto"/>
              <w:right w:val="single" w:sz="4" w:space="0" w:color="auto"/>
            </w:tcBorders>
            <w:shd w:val="clear" w:color="auto" w:fill="auto"/>
            <w:noWrap/>
            <w:vAlign w:val="center"/>
            <w:hideMark/>
          </w:tcPr>
          <w:p w14:paraId="0FEDE5F1"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9%</w:t>
            </w:r>
          </w:p>
        </w:tc>
        <w:tc>
          <w:tcPr>
            <w:tcW w:w="851" w:type="dxa"/>
            <w:tcBorders>
              <w:top w:val="nil"/>
              <w:left w:val="nil"/>
              <w:bottom w:val="single" w:sz="4" w:space="0" w:color="auto"/>
              <w:right w:val="single" w:sz="4" w:space="0" w:color="auto"/>
            </w:tcBorders>
            <w:shd w:val="clear" w:color="auto" w:fill="auto"/>
            <w:noWrap/>
            <w:vAlign w:val="center"/>
            <w:hideMark/>
          </w:tcPr>
          <w:p w14:paraId="349B0B2B"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$1,732 </w:t>
            </w:r>
          </w:p>
        </w:tc>
        <w:tc>
          <w:tcPr>
            <w:tcW w:w="567" w:type="dxa"/>
            <w:tcBorders>
              <w:top w:val="nil"/>
              <w:left w:val="nil"/>
              <w:bottom w:val="single" w:sz="4" w:space="0" w:color="auto"/>
              <w:right w:val="single" w:sz="4" w:space="0" w:color="auto"/>
            </w:tcBorders>
            <w:shd w:val="clear" w:color="auto" w:fill="auto"/>
            <w:noWrap/>
            <w:vAlign w:val="center"/>
            <w:hideMark/>
          </w:tcPr>
          <w:p w14:paraId="3B084870"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9.0%</w:t>
            </w:r>
          </w:p>
        </w:tc>
      </w:tr>
      <w:tr w:rsidR="00902D75" w:rsidRPr="00D156D5" w14:paraId="5F5D7411" w14:textId="77777777" w:rsidTr="00902D75">
        <w:trPr>
          <w:trHeight w:val="300"/>
          <w:jc w:val="center"/>
        </w:trPr>
        <w:tc>
          <w:tcPr>
            <w:tcW w:w="2089" w:type="dxa"/>
            <w:tcBorders>
              <w:top w:val="nil"/>
              <w:left w:val="single" w:sz="4" w:space="0" w:color="auto"/>
              <w:bottom w:val="single" w:sz="4" w:space="0" w:color="auto"/>
              <w:right w:val="single" w:sz="4" w:space="0" w:color="auto"/>
            </w:tcBorders>
            <w:shd w:val="clear" w:color="auto" w:fill="4F81BD" w:themeFill="accent1"/>
            <w:vAlign w:val="center"/>
            <w:hideMark/>
          </w:tcPr>
          <w:p w14:paraId="08ECF67A" w14:textId="77777777" w:rsidR="00902D75" w:rsidRPr="00D156D5" w:rsidRDefault="00902D75" w:rsidP="002D3798">
            <w:pPr>
              <w:spacing w:after="0" w:line="240" w:lineRule="auto"/>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TOTAL</w:t>
            </w:r>
          </w:p>
        </w:tc>
        <w:tc>
          <w:tcPr>
            <w:tcW w:w="1058" w:type="dxa"/>
            <w:tcBorders>
              <w:top w:val="nil"/>
              <w:left w:val="nil"/>
              <w:bottom w:val="single" w:sz="4" w:space="0" w:color="auto"/>
              <w:right w:val="single" w:sz="4" w:space="0" w:color="auto"/>
            </w:tcBorders>
            <w:shd w:val="clear" w:color="auto" w:fill="4F81BD" w:themeFill="accent1"/>
            <w:noWrap/>
            <w:vAlign w:val="center"/>
            <w:hideMark/>
          </w:tcPr>
          <w:p w14:paraId="05B86A6F"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$34,541 </w:t>
            </w:r>
          </w:p>
        </w:tc>
        <w:tc>
          <w:tcPr>
            <w:tcW w:w="927" w:type="dxa"/>
            <w:tcBorders>
              <w:top w:val="nil"/>
              <w:left w:val="nil"/>
              <w:bottom w:val="single" w:sz="4" w:space="0" w:color="auto"/>
              <w:right w:val="single" w:sz="4" w:space="0" w:color="auto"/>
            </w:tcBorders>
            <w:shd w:val="clear" w:color="auto" w:fill="4F81BD" w:themeFill="accent1"/>
            <w:noWrap/>
            <w:vAlign w:val="center"/>
            <w:hideMark/>
          </w:tcPr>
          <w:p w14:paraId="0ED7DC13"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$11,477 </w:t>
            </w:r>
          </w:p>
        </w:tc>
        <w:tc>
          <w:tcPr>
            <w:tcW w:w="567" w:type="dxa"/>
            <w:tcBorders>
              <w:top w:val="nil"/>
              <w:left w:val="nil"/>
              <w:bottom w:val="single" w:sz="4" w:space="0" w:color="auto"/>
              <w:right w:val="single" w:sz="4" w:space="0" w:color="auto"/>
            </w:tcBorders>
            <w:shd w:val="clear" w:color="auto" w:fill="4F81BD" w:themeFill="accent1"/>
            <w:noWrap/>
            <w:vAlign w:val="center"/>
            <w:hideMark/>
          </w:tcPr>
          <w:p w14:paraId="0A227DC7"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33%</w:t>
            </w:r>
          </w:p>
        </w:tc>
        <w:tc>
          <w:tcPr>
            <w:tcW w:w="850" w:type="dxa"/>
            <w:tcBorders>
              <w:top w:val="nil"/>
              <w:left w:val="nil"/>
              <w:bottom w:val="single" w:sz="4" w:space="0" w:color="auto"/>
              <w:right w:val="single" w:sz="4" w:space="0" w:color="auto"/>
            </w:tcBorders>
            <w:shd w:val="clear" w:color="auto" w:fill="4F81BD" w:themeFill="accent1"/>
            <w:noWrap/>
            <w:vAlign w:val="center"/>
            <w:hideMark/>
          </w:tcPr>
          <w:p w14:paraId="683FE999"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$7,614 </w:t>
            </w:r>
          </w:p>
        </w:tc>
        <w:tc>
          <w:tcPr>
            <w:tcW w:w="567" w:type="dxa"/>
            <w:tcBorders>
              <w:top w:val="nil"/>
              <w:left w:val="nil"/>
              <w:bottom w:val="single" w:sz="4" w:space="0" w:color="auto"/>
              <w:right w:val="single" w:sz="4" w:space="0" w:color="auto"/>
            </w:tcBorders>
            <w:shd w:val="clear" w:color="auto" w:fill="4F81BD" w:themeFill="accent1"/>
            <w:noWrap/>
            <w:vAlign w:val="center"/>
            <w:hideMark/>
          </w:tcPr>
          <w:p w14:paraId="76F17629"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22%</w:t>
            </w:r>
          </w:p>
        </w:tc>
        <w:tc>
          <w:tcPr>
            <w:tcW w:w="851" w:type="dxa"/>
            <w:tcBorders>
              <w:top w:val="nil"/>
              <w:left w:val="nil"/>
              <w:bottom w:val="single" w:sz="4" w:space="0" w:color="auto"/>
              <w:right w:val="single" w:sz="4" w:space="0" w:color="auto"/>
            </w:tcBorders>
            <w:shd w:val="clear" w:color="auto" w:fill="4F81BD" w:themeFill="accent1"/>
            <w:noWrap/>
            <w:vAlign w:val="center"/>
            <w:hideMark/>
          </w:tcPr>
          <w:p w14:paraId="284EEC18" w14:textId="77777777" w:rsidR="00902D75" w:rsidRPr="00D156D5" w:rsidRDefault="00902D75" w:rsidP="002D3798">
            <w:pPr>
              <w:spacing w:after="0" w:line="240" w:lineRule="auto"/>
              <w:jc w:val="right"/>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 xml:space="preserve"> $7,614 </w:t>
            </w:r>
          </w:p>
        </w:tc>
        <w:tc>
          <w:tcPr>
            <w:tcW w:w="567" w:type="dxa"/>
            <w:tcBorders>
              <w:top w:val="nil"/>
              <w:left w:val="nil"/>
              <w:bottom w:val="single" w:sz="4" w:space="0" w:color="auto"/>
              <w:right w:val="single" w:sz="4" w:space="0" w:color="auto"/>
            </w:tcBorders>
            <w:shd w:val="clear" w:color="auto" w:fill="4F81BD" w:themeFill="accent1"/>
            <w:noWrap/>
            <w:vAlign w:val="center"/>
            <w:hideMark/>
          </w:tcPr>
          <w:p w14:paraId="76C42F74" w14:textId="77777777" w:rsidR="00902D75" w:rsidRPr="00D156D5" w:rsidRDefault="00902D75" w:rsidP="002D3798">
            <w:pPr>
              <w:spacing w:after="0" w:line="240" w:lineRule="auto"/>
              <w:jc w:val="center"/>
              <w:rPr>
                <w:rFonts w:ascii="Arial" w:eastAsia="Times New Roman" w:hAnsi="Arial" w:cs="Arial"/>
                <w:b/>
                <w:bCs/>
                <w:color w:val="000000"/>
                <w:sz w:val="20"/>
                <w:szCs w:val="20"/>
                <w:lang w:eastAsia="es-CO"/>
              </w:rPr>
            </w:pPr>
            <w:r w:rsidRPr="00D156D5">
              <w:rPr>
                <w:rFonts w:ascii="Arial" w:eastAsia="Times New Roman" w:hAnsi="Arial" w:cs="Arial"/>
                <w:b/>
                <w:bCs/>
                <w:color w:val="000000"/>
                <w:sz w:val="20"/>
                <w:szCs w:val="20"/>
                <w:lang w:eastAsia="es-CO"/>
              </w:rPr>
              <w:t>22%</w:t>
            </w:r>
          </w:p>
        </w:tc>
      </w:tr>
      <w:tr w:rsidR="00902D75" w:rsidRPr="00D156D5" w14:paraId="7F9C4C8F" w14:textId="77777777" w:rsidTr="00902D75">
        <w:trPr>
          <w:trHeight w:val="95"/>
          <w:jc w:val="center"/>
        </w:trPr>
        <w:tc>
          <w:tcPr>
            <w:tcW w:w="2089" w:type="dxa"/>
            <w:tcBorders>
              <w:top w:val="nil"/>
              <w:left w:val="nil"/>
              <w:bottom w:val="nil"/>
              <w:right w:val="nil"/>
            </w:tcBorders>
            <w:shd w:val="clear" w:color="auto" w:fill="auto"/>
            <w:noWrap/>
            <w:vAlign w:val="bottom"/>
            <w:hideMark/>
          </w:tcPr>
          <w:p w14:paraId="1F3AA4D7" w14:textId="77777777" w:rsidR="00902D75" w:rsidRPr="00D156D5" w:rsidRDefault="00902D75" w:rsidP="002D3798">
            <w:pPr>
              <w:spacing w:after="0" w:line="240" w:lineRule="auto"/>
              <w:jc w:val="center"/>
              <w:rPr>
                <w:rFonts w:ascii="Arial" w:eastAsia="Times New Roman" w:hAnsi="Arial" w:cs="Arial"/>
                <w:b/>
                <w:bCs/>
                <w:color w:val="000000"/>
                <w:sz w:val="4"/>
                <w:szCs w:val="4"/>
                <w:lang w:eastAsia="es-CO"/>
              </w:rPr>
            </w:pPr>
          </w:p>
        </w:tc>
        <w:tc>
          <w:tcPr>
            <w:tcW w:w="1058" w:type="dxa"/>
            <w:tcBorders>
              <w:top w:val="nil"/>
              <w:left w:val="nil"/>
              <w:bottom w:val="nil"/>
              <w:right w:val="nil"/>
            </w:tcBorders>
            <w:shd w:val="clear" w:color="auto" w:fill="auto"/>
            <w:noWrap/>
            <w:vAlign w:val="bottom"/>
            <w:hideMark/>
          </w:tcPr>
          <w:p w14:paraId="27D29ED4" w14:textId="77777777" w:rsidR="00902D75" w:rsidRPr="00D156D5" w:rsidRDefault="00902D75" w:rsidP="002D3798">
            <w:pPr>
              <w:spacing w:after="0" w:line="240" w:lineRule="auto"/>
              <w:rPr>
                <w:rFonts w:ascii="Arial" w:eastAsia="Times New Roman" w:hAnsi="Arial" w:cs="Arial"/>
                <w:sz w:val="4"/>
                <w:szCs w:val="4"/>
                <w:lang w:eastAsia="es-CO"/>
              </w:rPr>
            </w:pPr>
          </w:p>
        </w:tc>
        <w:tc>
          <w:tcPr>
            <w:tcW w:w="927" w:type="dxa"/>
            <w:tcBorders>
              <w:top w:val="nil"/>
              <w:left w:val="nil"/>
              <w:bottom w:val="nil"/>
              <w:right w:val="nil"/>
            </w:tcBorders>
            <w:shd w:val="clear" w:color="auto" w:fill="auto"/>
            <w:noWrap/>
            <w:vAlign w:val="bottom"/>
            <w:hideMark/>
          </w:tcPr>
          <w:p w14:paraId="5623F2DF" w14:textId="77777777" w:rsidR="00902D75" w:rsidRPr="00D156D5" w:rsidRDefault="00902D75" w:rsidP="002D3798">
            <w:pPr>
              <w:spacing w:after="0" w:line="240" w:lineRule="auto"/>
              <w:rPr>
                <w:rFonts w:ascii="Arial" w:eastAsia="Times New Roman" w:hAnsi="Arial" w:cs="Arial"/>
                <w:sz w:val="4"/>
                <w:szCs w:val="4"/>
                <w:lang w:eastAsia="es-CO"/>
              </w:rPr>
            </w:pPr>
          </w:p>
        </w:tc>
        <w:tc>
          <w:tcPr>
            <w:tcW w:w="567" w:type="dxa"/>
            <w:tcBorders>
              <w:top w:val="nil"/>
              <w:left w:val="nil"/>
              <w:bottom w:val="nil"/>
              <w:right w:val="nil"/>
            </w:tcBorders>
            <w:shd w:val="clear" w:color="auto" w:fill="auto"/>
            <w:noWrap/>
            <w:vAlign w:val="bottom"/>
            <w:hideMark/>
          </w:tcPr>
          <w:p w14:paraId="3C293645" w14:textId="77777777" w:rsidR="00902D75" w:rsidRPr="00D156D5" w:rsidRDefault="00902D75" w:rsidP="002D3798">
            <w:pPr>
              <w:spacing w:after="0" w:line="240" w:lineRule="auto"/>
              <w:rPr>
                <w:rFonts w:ascii="Arial" w:eastAsia="Times New Roman" w:hAnsi="Arial" w:cs="Arial"/>
                <w:sz w:val="4"/>
                <w:szCs w:val="4"/>
                <w:lang w:eastAsia="es-CO"/>
              </w:rPr>
            </w:pPr>
          </w:p>
        </w:tc>
        <w:tc>
          <w:tcPr>
            <w:tcW w:w="850" w:type="dxa"/>
            <w:tcBorders>
              <w:top w:val="nil"/>
              <w:left w:val="nil"/>
              <w:bottom w:val="nil"/>
              <w:right w:val="nil"/>
            </w:tcBorders>
            <w:shd w:val="clear" w:color="auto" w:fill="auto"/>
            <w:noWrap/>
            <w:vAlign w:val="bottom"/>
            <w:hideMark/>
          </w:tcPr>
          <w:p w14:paraId="1413C611" w14:textId="77777777" w:rsidR="00902D75" w:rsidRPr="00D156D5" w:rsidRDefault="00902D75" w:rsidP="002D3798">
            <w:pPr>
              <w:spacing w:after="0" w:line="240" w:lineRule="auto"/>
              <w:rPr>
                <w:rFonts w:ascii="Arial" w:eastAsia="Times New Roman" w:hAnsi="Arial" w:cs="Arial"/>
                <w:sz w:val="4"/>
                <w:szCs w:val="4"/>
                <w:lang w:eastAsia="es-CO"/>
              </w:rPr>
            </w:pPr>
          </w:p>
        </w:tc>
        <w:tc>
          <w:tcPr>
            <w:tcW w:w="567" w:type="dxa"/>
            <w:tcBorders>
              <w:top w:val="nil"/>
              <w:left w:val="nil"/>
              <w:bottom w:val="nil"/>
              <w:right w:val="nil"/>
            </w:tcBorders>
            <w:shd w:val="clear" w:color="auto" w:fill="auto"/>
            <w:noWrap/>
            <w:vAlign w:val="bottom"/>
            <w:hideMark/>
          </w:tcPr>
          <w:p w14:paraId="55A23B36" w14:textId="77777777" w:rsidR="00902D75" w:rsidRPr="00D156D5" w:rsidRDefault="00902D75" w:rsidP="002D3798">
            <w:pPr>
              <w:spacing w:after="0" w:line="240" w:lineRule="auto"/>
              <w:rPr>
                <w:rFonts w:ascii="Arial" w:eastAsia="Times New Roman" w:hAnsi="Arial" w:cs="Arial"/>
                <w:sz w:val="4"/>
                <w:szCs w:val="4"/>
                <w:lang w:eastAsia="es-CO"/>
              </w:rPr>
            </w:pPr>
          </w:p>
        </w:tc>
        <w:tc>
          <w:tcPr>
            <w:tcW w:w="851" w:type="dxa"/>
            <w:tcBorders>
              <w:top w:val="nil"/>
              <w:left w:val="nil"/>
              <w:bottom w:val="nil"/>
              <w:right w:val="nil"/>
            </w:tcBorders>
            <w:shd w:val="clear" w:color="auto" w:fill="auto"/>
            <w:noWrap/>
            <w:vAlign w:val="bottom"/>
            <w:hideMark/>
          </w:tcPr>
          <w:p w14:paraId="4BC679EE" w14:textId="77777777" w:rsidR="00902D75" w:rsidRPr="00D156D5" w:rsidRDefault="00902D75" w:rsidP="002D3798">
            <w:pPr>
              <w:spacing w:after="0" w:line="240" w:lineRule="auto"/>
              <w:rPr>
                <w:rFonts w:ascii="Arial" w:eastAsia="Times New Roman" w:hAnsi="Arial" w:cs="Arial"/>
                <w:sz w:val="4"/>
                <w:szCs w:val="4"/>
                <w:lang w:eastAsia="es-CO"/>
              </w:rPr>
            </w:pPr>
          </w:p>
        </w:tc>
        <w:tc>
          <w:tcPr>
            <w:tcW w:w="567" w:type="dxa"/>
            <w:tcBorders>
              <w:top w:val="nil"/>
              <w:left w:val="nil"/>
              <w:bottom w:val="nil"/>
              <w:right w:val="nil"/>
            </w:tcBorders>
            <w:shd w:val="clear" w:color="auto" w:fill="auto"/>
            <w:noWrap/>
            <w:vAlign w:val="bottom"/>
            <w:hideMark/>
          </w:tcPr>
          <w:p w14:paraId="18408E35" w14:textId="77777777" w:rsidR="00902D75" w:rsidRPr="00D156D5" w:rsidRDefault="00902D75" w:rsidP="002D3798">
            <w:pPr>
              <w:spacing w:after="0" w:line="240" w:lineRule="auto"/>
              <w:rPr>
                <w:rFonts w:ascii="Arial" w:eastAsia="Times New Roman" w:hAnsi="Arial" w:cs="Arial"/>
                <w:sz w:val="4"/>
                <w:szCs w:val="4"/>
                <w:lang w:eastAsia="es-CO"/>
              </w:rPr>
            </w:pPr>
          </w:p>
        </w:tc>
      </w:tr>
      <w:tr w:rsidR="00902D75" w:rsidRPr="00D156D5" w14:paraId="5CD62AAD" w14:textId="77777777" w:rsidTr="00902D75">
        <w:trPr>
          <w:trHeight w:val="570"/>
          <w:jc w:val="center"/>
        </w:trPr>
        <w:tc>
          <w:tcPr>
            <w:tcW w:w="747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A320AD4" w14:textId="77777777" w:rsidR="00902D75" w:rsidRPr="00D156D5" w:rsidRDefault="00902D75" w:rsidP="002D3798">
            <w:pPr>
              <w:spacing w:after="0" w:line="240" w:lineRule="auto"/>
              <w:jc w:val="center"/>
              <w:rPr>
                <w:rFonts w:ascii="Arial" w:eastAsia="Times New Roman" w:hAnsi="Arial" w:cs="Arial"/>
                <w:color w:val="000000"/>
                <w:sz w:val="16"/>
                <w:szCs w:val="16"/>
                <w:lang w:eastAsia="es-CO"/>
              </w:rPr>
            </w:pPr>
            <w:r w:rsidRPr="00D156D5">
              <w:rPr>
                <w:rFonts w:ascii="Arial" w:eastAsia="Times New Roman" w:hAnsi="Arial" w:cs="Arial"/>
                <w:color w:val="000000"/>
                <w:sz w:val="16"/>
                <w:szCs w:val="16"/>
                <w:lang w:eastAsia="es-CO"/>
              </w:rPr>
              <w:t>En la apropiación de gastos de personal está incluida una apropiación con Previo concepto DGPP $627,4 Millones la cual se encuentra en estado bloqueada por DGPP</w:t>
            </w:r>
          </w:p>
        </w:tc>
      </w:tr>
    </w:tbl>
    <w:p w14:paraId="2FEA06B5" w14:textId="6C555A99" w:rsidR="00C02282" w:rsidRPr="00902D75" w:rsidRDefault="00C02282" w:rsidP="00C02282">
      <w:pPr>
        <w:spacing w:after="0"/>
        <w:ind w:left="708"/>
        <w:jc w:val="center"/>
        <w:rPr>
          <w:rFonts w:ascii="Arial" w:hAnsi="Arial" w:cs="Arial"/>
          <w:color w:val="000000"/>
          <w:sz w:val="16"/>
          <w:szCs w:val="16"/>
        </w:rPr>
      </w:pPr>
      <w:r w:rsidRPr="00902D75">
        <w:rPr>
          <w:rFonts w:ascii="Arial" w:hAnsi="Arial" w:cs="Arial"/>
          <w:color w:val="000000"/>
          <w:sz w:val="16"/>
          <w:szCs w:val="16"/>
        </w:rPr>
        <w:t xml:space="preserve"> Millones de pesos</w:t>
      </w:r>
    </w:p>
    <w:p w14:paraId="4010178F" w14:textId="77777777" w:rsidR="00C02282" w:rsidRPr="00902D75" w:rsidRDefault="00C02282" w:rsidP="00C02282">
      <w:pPr>
        <w:spacing w:after="0"/>
        <w:ind w:left="708"/>
        <w:jc w:val="center"/>
        <w:rPr>
          <w:rFonts w:eastAsia="Calibri" w:cs="Arial"/>
        </w:rPr>
      </w:pPr>
      <w:r w:rsidRPr="00902D75">
        <w:rPr>
          <w:rFonts w:ascii="Arial" w:eastAsia="Calibri" w:hAnsi="Arial" w:cs="Arial"/>
          <w:sz w:val="16"/>
          <w:szCs w:val="16"/>
        </w:rPr>
        <w:t>Fuente: SIIF Nación UPME</w:t>
      </w:r>
    </w:p>
    <w:p w14:paraId="44649F91" w14:textId="2277DC87" w:rsidR="00C02282" w:rsidRPr="0024572D" w:rsidRDefault="000D4084" w:rsidP="00C02282">
      <w:pPr>
        <w:pStyle w:val="Ttulo1"/>
        <w:ind w:left="426"/>
        <w:rPr>
          <w:rFonts w:ascii="Arial" w:eastAsia="Arial" w:hAnsi="Arial" w:cs="Arial"/>
          <w:b/>
          <w:color w:val="auto"/>
          <w:sz w:val="22"/>
          <w:szCs w:val="22"/>
          <w:lang w:eastAsia="es-CO"/>
        </w:rPr>
      </w:pPr>
      <w:bookmarkStart w:id="310" w:name="_Toc525652099"/>
      <w:r w:rsidRPr="0024572D">
        <w:rPr>
          <w:rFonts w:ascii="Arial" w:eastAsia="Arial" w:hAnsi="Arial" w:cs="Arial"/>
          <w:b/>
          <w:color w:val="auto"/>
          <w:sz w:val="22"/>
          <w:szCs w:val="22"/>
          <w:lang w:eastAsia="es-CO"/>
        </w:rPr>
        <w:t>H</w:t>
      </w:r>
      <w:r w:rsidR="00C02282" w:rsidRPr="0024572D">
        <w:rPr>
          <w:rFonts w:ascii="Arial" w:eastAsia="Arial" w:hAnsi="Arial" w:cs="Arial"/>
          <w:b/>
          <w:color w:val="auto"/>
          <w:sz w:val="22"/>
          <w:szCs w:val="22"/>
          <w:lang w:eastAsia="es-CO"/>
        </w:rPr>
        <w:t xml:space="preserve">. INFORME SPI PARA </w:t>
      </w:r>
      <w:r w:rsidR="00182EDF" w:rsidRPr="0024572D">
        <w:rPr>
          <w:rFonts w:ascii="Arial" w:eastAsia="Arial" w:hAnsi="Arial" w:cs="Arial"/>
          <w:b/>
          <w:color w:val="auto"/>
          <w:sz w:val="22"/>
          <w:szCs w:val="22"/>
          <w:lang w:eastAsia="es-CO"/>
        </w:rPr>
        <w:t xml:space="preserve">SEGUNDO </w:t>
      </w:r>
      <w:r w:rsidR="00C02282" w:rsidRPr="0024572D">
        <w:rPr>
          <w:rFonts w:ascii="Arial" w:eastAsia="Arial" w:hAnsi="Arial" w:cs="Arial"/>
          <w:b/>
          <w:color w:val="auto"/>
          <w:sz w:val="22"/>
          <w:szCs w:val="22"/>
          <w:lang w:eastAsia="es-CO"/>
        </w:rPr>
        <w:t>TRIMESTRE 201</w:t>
      </w:r>
      <w:bookmarkEnd w:id="310"/>
      <w:r w:rsidR="00182EDF" w:rsidRPr="0024572D">
        <w:rPr>
          <w:rFonts w:ascii="Arial" w:eastAsia="Arial" w:hAnsi="Arial" w:cs="Arial"/>
          <w:b/>
          <w:color w:val="auto"/>
          <w:sz w:val="22"/>
          <w:szCs w:val="22"/>
          <w:lang w:eastAsia="es-CO"/>
        </w:rPr>
        <w:t>8</w:t>
      </w:r>
    </w:p>
    <w:p w14:paraId="634A569D" w14:textId="77777777" w:rsidR="00C02282" w:rsidRPr="0024572D" w:rsidRDefault="00C02282" w:rsidP="008B4625">
      <w:pPr>
        <w:pStyle w:val="Ttulo1"/>
        <w:numPr>
          <w:ilvl w:val="0"/>
          <w:numId w:val="36"/>
        </w:numPr>
        <w:rPr>
          <w:rFonts w:ascii="Arial" w:eastAsia="Arial" w:hAnsi="Arial" w:cs="Arial"/>
          <w:b/>
          <w:color w:val="auto"/>
          <w:sz w:val="22"/>
          <w:szCs w:val="22"/>
          <w:lang w:eastAsia="es-CO"/>
        </w:rPr>
      </w:pPr>
      <w:bookmarkStart w:id="311" w:name="_Toc525652100"/>
      <w:r w:rsidRPr="0024572D">
        <w:rPr>
          <w:rFonts w:ascii="Arial" w:eastAsia="Arial" w:hAnsi="Arial" w:cs="Arial"/>
          <w:b/>
          <w:color w:val="auto"/>
          <w:sz w:val="22"/>
          <w:szCs w:val="22"/>
          <w:lang w:eastAsia="es-CO"/>
        </w:rPr>
        <w:t>Informe del Sector de Minas y Energía.</w:t>
      </w:r>
      <w:bookmarkEnd w:id="311"/>
    </w:p>
    <w:p w14:paraId="35E9B62E" w14:textId="77777777" w:rsidR="00C02282" w:rsidRPr="0024572D" w:rsidRDefault="00C02282" w:rsidP="00C02282">
      <w:pPr>
        <w:rPr>
          <w:lang w:eastAsia="es-CO"/>
        </w:rPr>
      </w:pPr>
    </w:p>
    <w:p w14:paraId="38181542" w14:textId="77777777" w:rsidR="00182EDF" w:rsidRPr="0024572D" w:rsidRDefault="00C02282" w:rsidP="00C02282">
      <w:pPr>
        <w:spacing w:line="240" w:lineRule="auto"/>
        <w:jc w:val="both"/>
        <w:rPr>
          <w:rFonts w:ascii="Arial" w:eastAsia="Calibri" w:hAnsi="Arial" w:cs="Arial"/>
          <w:sz w:val="20"/>
          <w:szCs w:val="20"/>
          <w:lang w:eastAsia="es-CO"/>
        </w:rPr>
      </w:pPr>
      <w:r w:rsidRPr="0024572D">
        <w:rPr>
          <w:rFonts w:ascii="Arial" w:eastAsia="Calibri" w:hAnsi="Arial" w:cs="Arial"/>
          <w:sz w:val="20"/>
          <w:szCs w:val="20"/>
          <w:lang w:eastAsia="es-CO"/>
        </w:rPr>
        <w:t>Teniendo en cuenta el reporte d</w:t>
      </w:r>
      <w:r w:rsidR="00C43FCE" w:rsidRPr="0024572D">
        <w:rPr>
          <w:rFonts w:ascii="Arial" w:eastAsia="Calibri" w:hAnsi="Arial" w:cs="Arial"/>
          <w:sz w:val="20"/>
          <w:szCs w:val="20"/>
          <w:lang w:eastAsia="es-CO"/>
        </w:rPr>
        <w:t xml:space="preserve">el Sistema de SPI al cierre del Segundo </w:t>
      </w:r>
      <w:r w:rsidRPr="0024572D">
        <w:rPr>
          <w:rFonts w:ascii="Arial" w:eastAsia="Calibri" w:hAnsi="Arial" w:cs="Arial"/>
          <w:sz w:val="20"/>
          <w:szCs w:val="20"/>
          <w:lang w:eastAsia="es-CO"/>
        </w:rPr>
        <w:t xml:space="preserve">Trimestre de 2018, el Sector de Minas y Energía presenta 79 proyectos de inversión con un porcentaje de Avance de Ejecución del </w:t>
      </w:r>
      <w:r w:rsidR="00182EDF" w:rsidRPr="0024572D">
        <w:rPr>
          <w:rFonts w:ascii="Arial" w:eastAsia="Calibri" w:hAnsi="Arial" w:cs="Arial"/>
          <w:sz w:val="20"/>
          <w:szCs w:val="20"/>
          <w:lang w:eastAsia="es-CO"/>
        </w:rPr>
        <w:t>41,60</w:t>
      </w:r>
      <w:r w:rsidRPr="0024572D">
        <w:rPr>
          <w:rFonts w:ascii="Arial" w:eastAsia="Calibri" w:hAnsi="Arial" w:cs="Arial"/>
          <w:sz w:val="20"/>
          <w:szCs w:val="20"/>
          <w:lang w:eastAsia="es-CO"/>
        </w:rPr>
        <w:t xml:space="preserve">%, un porcentaje de Avance Físico de Producto con el </w:t>
      </w:r>
      <w:r w:rsidR="00182EDF" w:rsidRPr="0024572D">
        <w:rPr>
          <w:rFonts w:ascii="Arial" w:eastAsia="Calibri" w:hAnsi="Arial" w:cs="Arial"/>
          <w:sz w:val="20"/>
          <w:szCs w:val="20"/>
          <w:lang w:eastAsia="es-CO"/>
        </w:rPr>
        <w:t>78,71</w:t>
      </w:r>
      <w:r w:rsidRPr="0024572D">
        <w:rPr>
          <w:rFonts w:ascii="Arial" w:eastAsia="Calibri" w:hAnsi="Arial" w:cs="Arial"/>
          <w:sz w:val="20"/>
          <w:szCs w:val="20"/>
          <w:lang w:eastAsia="es-CO"/>
        </w:rPr>
        <w:t xml:space="preserve">% y un porcentaje de Avance de Gestión </w:t>
      </w:r>
      <w:r w:rsidR="00182EDF" w:rsidRPr="0024572D">
        <w:rPr>
          <w:rFonts w:ascii="Arial" w:eastAsia="Calibri" w:hAnsi="Arial" w:cs="Arial"/>
          <w:sz w:val="20"/>
          <w:szCs w:val="20"/>
          <w:lang w:eastAsia="es-CO"/>
        </w:rPr>
        <w:t>27,30</w:t>
      </w:r>
      <w:r w:rsidRPr="0024572D">
        <w:rPr>
          <w:rFonts w:ascii="Arial" w:eastAsia="Calibri" w:hAnsi="Arial" w:cs="Arial"/>
          <w:sz w:val="20"/>
          <w:szCs w:val="20"/>
          <w:lang w:eastAsia="es-CO"/>
        </w:rPr>
        <w:t>%.</w:t>
      </w:r>
    </w:p>
    <w:p w14:paraId="61FEC0D3" w14:textId="51CCA9D0" w:rsidR="00C02282" w:rsidRPr="0024572D" w:rsidRDefault="00182EDF" w:rsidP="00C02282">
      <w:pPr>
        <w:spacing w:line="240" w:lineRule="auto"/>
        <w:jc w:val="both"/>
        <w:rPr>
          <w:rFonts w:ascii="Arial" w:eastAsia="Calibri" w:hAnsi="Arial" w:cs="Arial"/>
          <w:sz w:val="20"/>
          <w:szCs w:val="20"/>
          <w:lang w:eastAsia="es-CO"/>
        </w:rPr>
      </w:pPr>
      <w:r w:rsidRPr="0024572D">
        <w:rPr>
          <w:rFonts w:ascii="Arial" w:eastAsia="Calibri" w:hAnsi="Arial" w:cs="Arial"/>
          <w:sz w:val="20"/>
          <w:szCs w:val="20"/>
          <w:lang w:eastAsia="es-CO"/>
        </w:rPr>
        <w:t xml:space="preserve">Las entidades que conforman el Sector, tienen avances de la siguiente forma: </w:t>
      </w:r>
      <w:r w:rsidR="00C02282" w:rsidRPr="0024572D">
        <w:rPr>
          <w:rFonts w:ascii="Arial" w:eastAsia="Calibri" w:hAnsi="Arial" w:cs="Arial"/>
          <w:sz w:val="20"/>
          <w:szCs w:val="20"/>
          <w:lang w:eastAsia="es-CO"/>
        </w:rPr>
        <w:t xml:space="preserve">El Ministerio tiene cerca del 53,16% de los proyectos con un valor de apropiación de $3.323.022,5 millones de pesos con un porcentaje de Avance de Ejecución del </w:t>
      </w:r>
      <w:r w:rsidR="0024572D" w:rsidRPr="0024572D">
        <w:rPr>
          <w:rFonts w:ascii="Arial" w:eastAsia="Calibri" w:hAnsi="Arial" w:cs="Arial"/>
          <w:sz w:val="20"/>
          <w:szCs w:val="20"/>
          <w:lang w:eastAsia="es-CO"/>
        </w:rPr>
        <w:t>44,70</w:t>
      </w:r>
      <w:r w:rsidR="00C02282" w:rsidRPr="0024572D">
        <w:rPr>
          <w:rFonts w:ascii="Arial" w:eastAsia="Calibri" w:hAnsi="Arial" w:cs="Arial"/>
          <w:sz w:val="20"/>
          <w:szCs w:val="20"/>
          <w:lang w:eastAsia="es-CO"/>
        </w:rPr>
        <w:t>%, un porcentaje de Avance Físico de Producto del 8</w:t>
      </w:r>
      <w:r w:rsidR="0024572D" w:rsidRPr="0024572D">
        <w:rPr>
          <w:rFonts w:ascii="Arial" w:eastAsia="Calibri" w:hAnsi="Arial" w:cs="Arial"/>
          <w:sz w:val="20"/>
          <w:szCs w:val="20"/>
          <w:lang w:eastAsia="es-CO"/>
        </w:rPr>
        <w:t>5,52</w:t>
      </w:r>
      <w:r w:rsidR="00C02282" w:rsidRPr="0024572D">
        <w:rPr>
          <w:rFonts w:ascii="Arial" w:eastAsia="Calibri" w:hAnsi="Arial" w:cs="Arial"/>
          <w:sz w:val="20"/>
          <w:szCs w:val="20"/>
          <w:lang w:eastAsia="es-CO"/>
        </w:rPr>
        <w:t xml:space="preserve">% y un porcentaje de Avance de Gestión de </w:t>
      </w:r>
      <w:r w:rsidR="0024572D" w:rsidRPr="0024572D">
        <w:rPr>
          <w:rFonts w:ascii="Arial" w:eastAsia="Calibri" w:hAnsi="Arial" w:cs="Arial"/>
          <w:sz w:val="20"/>
          <w:szCs w:val="20"/>
          <w:lang w:eastAsia="es-CO"/>
        </w:rPr>
        <w:t>24,20</w:t>
      </w:r>
      <w:r w:rsidR="00C02282" w:rsidRPr="0024572D">
        <w:rPr>
          <w:rFonts w:ascii="Arial" w:eastAsia="Calibri" w:hAnsi="Arial" w:cs="Arial"/>
          <w:sz w:val="20"/>
          <w:szCs w:val="20"/>
          <w:lang w:eastAsia="es-CO"/>
        </w:rPr>
        <w:t xml:space="preserve">%. Entre las Entidades del Sector, la ANM, presenta el mayor porcentaje de Ejecución con un </w:t>
      </w:r>
      <w:r w:rsidR="0024572D" w:rsidRPr="0024572D">
        <w:rPr>
          <w:rFonts w:ascii="Arial" w:eastAsia="Calibri" w:hAnsi="Arial" w:cs="Arial"/>
          <w:sz w:val="20"/>
          <w:szCs w:val="20"/>
          <w:lang w:eastAsia="es-CO"/>
        </w:rPr>
        <w:t>24,00</w:t>
      </w:r>
      <w:r w:rsidR="00C02282" w:rsidRPr="0024572D">
        <w:rPr>
          <w:rFonts w:ascii="Arial" w:eastAsia="Calibri" w:hAnsi="Arial" w:cs="Arial"/>
          <w:sz w:val="20"/>
          <w:szCs w:val="20"/>
          <w:lang w:eastAsia="es-CO"/>
        </w:rPr>
        <w:t xml:space="preserve">%, al igual que en Avance Físico del </w:t>
      </w:r>
      <w:r w:rsidR="0024572D" w:rsidRPr="0024572D">
        <w:rPr>
          <w:rFonts w:ascii="Arial" w:eastAsia="Calibri" w:hAnsi="Arial" w:cs="Arial"/>
          <w:sz w:val="20"/>
          <w:szCs w:val="20"/>
          <w:lang w:eastAsia="es-CO"/>
        </w:rPr>
        <w:t>59,51</w:t>
      </w:r>
      <w:r w:rsidR="00C02282" w:rsidRPr="0024572D">
        <w:rPr>
          <w:rFonts w:ascii="Arial" w:eastAsia="Calibri" w:hAnsi="Arial" w:cs="Arial"/>
          <w:sz w:val="20"/>
          <w:szCs w:val="20"/>
          <w:lang w:eastAsia="es-CO"/>
        </w:rPr>
        <w:t xml:space="preserve">% y en Gestión alcanzó el </w:t>
      </w:r>
      <w:r w:rsidR="0024572D" w:rsidRPr="0024572D">
        <w:rPr>
          <w:rFonts w:ascii="Arial" w:eastAsia="Calibri" w:hAnsi="Arial" w:cs="Arial"/>
          <w:sz w:val="20"/>
          <w:szCs w:val="20"/>
          <w:lang w:eastAsia="es-CO"/>
        </w:rPr>
        <w:t>58,30</w:t>
      </w:r>
      <w:r w:rsidR="00C02282" w:rsidRPr="0024572D">
        <w:rPr>
          <w:rFonts w:ascii="Arial" w:eastAsia="Calibri" w:hAnsi="Arial" w:cs="Arial"/>
          <w:sz w:val="20"/>
          <w:szCs w:val="20"/>
          <w:lang w:eastAsia="es-CO"/>
        </w:rPr>
        <w:t xml:space="preserve">%. La CREG presenta un porcentaje de Ejecución de </w:t>
      </w:r>
      <w:r w:rsidR="0024572D" w:rsidRPr="0024572D">
        <w:rPr>
          <w:rFonts w:ascii="Arial" w:eastAsia="Calibri" w:hAnsi="Arial" w:cs="Arial"/>
          <w:sz w:val="20"/>
          <w:szCs w:val="20"/>
          <w:lang w:eastAsia="es-CO"/>
        </w:rPr>
        <w:t>11,2</w:t>
      </w:r>
      <w:r w:rsidR="00C02282" w:rsidRPr="0024572D">
        <w:rPr>
          <w:rFonts w:ascii="Arial" w:eastAsia="Calibri" w:hAnsi="Arial" w:cs="Arial"/>
          <w:sz w:val="20"/>
          <w:szCs w:val="20"/>
          <w:lang w:eastAsia="es-CO"/>
        </w:rPr>
        <w:t xml:space="preserve">%, en Avance Físico del </w:t>
      </w:r>
      <w:r w:rsidR="0024572D" w:rsidRPr="0024572D">
        <w:rPr>
          <w:rFonts w:ascii="Arial" w:eastAsia="Calibri" w:hAnsi="Arial" w:cs="Arial"/>
          <w:sz w:val="20"/>
          <w:szCs w:val="20"/>
          <w:lang w:eastAsia="es-CO"/>
        </w:rPr>
        <w:t>25,44</w:t>
      </w:r>
      <w:r w:rsidR="00C02282" w:rsidRPr="0024572D">
        <w:rPr>
          <w:rFonts w:ascii="Arial" w:eastAsia="Calibri" w:hAnsi="Arial" w:cs="Arial"/>
          <w:sz w:val="20"/>
          <w:szCs w:val="20"/>
          <w:lang w:eastAsia="es-CO"/>
        </w:rPr>
        <w:t xml:space="preserve">% y en Gestión alcanzó el </w:t>
      </w:r>
      <w:r w:rsidR="0024572D" w:rsidRPr="0024572D">
        <w:rPr>
          <w:rFonts w:ascii="Arial" w:eastAsia="Calibri" w:hAnsi="Arial" w:cs="Arial"/>
          <w:sz w:val="20"/>
          <w:szCs w:val="20"/>
          <w:lang w:eastAsia="es-CO"/>
        </w:rPr>
        <w:t>29,00</w:t>
      </w:r>
      <w:r w:rsidR="00C02282" w:rsidRPr="0024572D">
        <w:rPr>
          <w:rFonts w:ascii="Arial" w:eastAsia="Calibri" w:hAnsi="Arial" w:cs="Arial"/>
          <w:sz w:val="20"/>
          <w:szCs w:val="20"/>
          <w:lang w:eastAsia="es-CO"/>
        </w:rPr>
        <w:t>%.</w:t>
      </w:r>
    </w:p>
    <w:p w14:paraId="05384EC0" w14:textId="77777777" w:rsidR="00C02282" w:rsidRPr="00C43FCE" w:rsidRDefault="00C02282" w:rsidP="00C02282">
      <w:pPr>
        <w:spacing w:after="0" w:line="240" w:lineRule="auto"/>
        <w:rPr>
          <w:rFonts w:ascii="Arial" w:eastAsia="Calibri" w:hAnsi="Arial" w:cs="Arial"/>
          <w:sz w:val="20"/>
          <w:szCs w:val="20"/>
          <w:lang w:eastAsia="es-CO"/>
        </w:rPr>
      </w:pPr>
      <w:r w:rsidRPr="0024572D">
        <w:rPr>
          <w:rFonts w:ascii="Arial" w:eastAsia="Calibri" w:hAnsi="Arial" w:cs="Arial"/>
          <w:sz w:val="20"/>
          <w:szCs w:val="20"/>
          <w:lang w:eastAsia="es-CO"/>
        </w:rPr>
        <w:t>En cada una de las Entidades del Sector, se presenta el informe del Sistema de Proyectos de Inversión – SPI y se dará el informe analizando los proyectos más relevantes.</w:t>
      </w:r>
      <w:r w:rsidRPr="00C43FCE">
        <w:rPr>
          <w:rFonts w:ascii="Arial" w:eastAsia="Calibri" w:hAnsi="Arial" w:cs="Arial"/>
          <w:sz w:val="20"/>
          <w:szCs w:val="20"/>
          <w:lang w:eastAsia="es-CO"/>
        </w:rPr>
        <w:t xml:space="preserve"> </w:t>
      </w:r>
    </w:p>
    <w:p w14:paraId="08B42C37" w14:textId="77777777" w:rsidR="004E4B1E" w:rsidRPr="00C43FCE" w:rsidRDefault="004E4B1E" w:rsidP="00C02282">
      <w:pPr>
        <w:spacing w:after="0" w:line="360" w:lineRule="auto"/>
        <w:jc w:val="center"/>
        <w:rPr>
          <w:rFonts w:ascii="Arial" w:eastAsia="Times New Roman" w:hAnsi="Arial" w:cs="Arial"/>
          <w:b/>
          <w:sz w:val="20"/>
          <w:szCs w:val="20"/>
          <w:lang w:eastAsia="es-ES"/>
        </w:rPr>
      </w:pPr>
    </w:p>
    <w:p w14:paraId="026FEBAF" w14:textId="77777777" w:rsidR="00C43FCE" w:rsidRPr="00C43FCE" w:rsidRDefault="00C43FCE" w:rsidP="00C02282">
      <w:pPr>
        <w:spacing w:after="0" w:line="360" w:lineRule="auto"/>
        <w:jc w:val="center"/>
        <w:rPr>
          <w:rFonts w:ascii="Arial" w:eastAsia="Times New Roman" w:hAnsi="Arial" w:cs="Arial"/>
          <w:b/>
          <w:sz w:val="20"/>
          <w:szCs w:val="20"/>
          <w:lang w:eastAsia="es-ES"/>
        </w:rPr>
      </w:pPr>
    </w:p>
    <w:p w14:paraId="1AB14D8D" w14:textId="77777777" w:rsidR="00C43FCE" w:rsidRPr="00C43FCE" w:rsidRDefault="00C43FCE" w:rsidP="00C02282">
      <w:pPr>
        <w:spacing w:after="0" w:line="360" w:lineRule="auto"/>
        <w:jc w:val="center"/>
        <w:rPr>
          <w:rFonts w:ascii="Arial" w:eastAsia="Times New Roman" w:hAnsi="Arial" w:cs="Arial"/>
          <w:b/>
          <w:sz w:val="20"/>
          <w:szCs w:val="20"/>
          <w:lang w:eastAsia="es-ES"/>
        </w:rPr>
      </w:pPr>
    </w:p>
    <w:p w14:paraId="1EF8DDD0" w14:textId="77777777" w:rsidR="00C43FCE" w:rsidRPr="00C43FCE" w:rsidRDefault="00C43FCE" w:rsidP="00C02282">
      <w:pPr>
        <w:spacing w:after="0" w:line="360" w:lineRule="auto"/>
        <w:jc w:val="center"/>
        <w:rPr>
          <w:rFonts w:ascii="Arial" w:eastAsia="Times New Roman" w:hAnsi="Arial" w:cs="Arial"/>
          <w:b/>
          <w:sz w:val="20"/>
          <w:szCs w:val="20"/>
          <w:lang w:eastAsia="es-ES"/>
        </w:rPr>
      </w:pPr>
    </w:p>
    <w:p w14:paraId="0310E8D1" w14:textId="77777777" w:rsidR="004E4B1E" w:rsidRPr="00C43FCE" w:rsidRDefault="004E4B1E" w:rsidP="00C02282">
      <w:pPr>
        <w:spacing w:after="0" w:line="360" w:lineRule="auto"/>
        <w:jc w:val="center"/>
        <w:rPr>
          <w:rFonts w:ascii="Arial" w:eastAsia="Times New Roman" w:hAnsi="Arial" w:cs="Arial"/>
          <w:b/>
          <w:sz w:val="20"/>
          <w:szCs w:val="20"/>
          <w:lang w:eastAsia="es-ES"/>
        </w:rPr>
      </w:pPr>
    </w:p>
    <w:p w14:paraId="3AC03B32" w14:textId="77777777" w:rsidR="004E4B1E" w:rsidRPr="00C43FCE" w:rsidRDefault="004E4B1E" w:rsidP="00C02282">
      <w:pPr>
        <w:spacing w:after="0" w:line="360" w:lineRule="auto"/>
        <w:jc w:val="center"/>
        <w:rPr>
          <w:rFonts w:ascii="Arial" w:eastAsia="Times New Roman" w:hAnsi="Arial" w:cs="Arial"/>
          <w:b/>
          <w:sz w:val="20"/>
          <w:szCs w:val="20"/>
          <w:lang w:eastAsia="es-ES"/>
        </w:rPr>
      </w:pPr>
    </w:p>
    <w:p w14:paraId="7BABB984" w14:textId="77777777" w:rsidR="004E4B1E" w:rsidRPr="00C43FCE" w:rsidRDefault="004E4B1E" w:rsidP="00C02282">
      <w:pPr>
        <w:spacing w:after="0" w:line="360" w:lineRule="auto"/>
        <w:jc w:val="center"/>
        <w:rPr>
          <w:rFonts w:ascii="Arial" w:eastAsia="Times New Roman" w:hAnsi="Arial" w:cs="Arial"/>
          <w:b/>
          <w:sz w:val="20"/>
          <w:szCs w:val="20"/>
          <w:lang w:eastAsia="es-ES"/>
        </w:rPr>
      </w:pPr>
    </w:p>
    <w:p w14:paraId="05F8F152" w14:textId="3C153819" w:rsidR="004E4B1E" w:rsidRPr="00C43FCE" w:rsidRDefault="008A4B8C" w:rsidP="00C02282">
      <w:pPr>
        <w:spacing w:after="0" w:line="360" w:lineRule="auto"/>
        <w:jc w:val="center"/>
        <w:rPr>
          <w:rFonts w:ascii="Arial" w:eastAsia="Times New Roman" w:hAnsi="Arial" w:cs="Arial"/>
          <w:b/>
          <w:sz w:val="20"/>
          <w:szCs w:val="20"/>
          <w:lang w:eastAsia="es-ES"/>
        </w:rPr>
      </w:pPr>
      <w:r w:rsidRPr="00C43FCE">
        <w:rPr>
          <w:noProof/>
          <w:lang w:eastAsia="es-CO"/>
        </w:rPr>
        <w:lastRenderedPageBreak/>
        <w:drawing>
          <wp:anchor distT="0" distB="0" distL="114300" distR="114300" simplePos="0" relativeHeight="251695616" behindDoc="0" locked="0" layoutInCell="1" allowOverlap="1" wp14:anchorId="6D8A4DB7" wp14:editId="36613758">
            <wp:simplePos x="0" y="0"/>
            <wp:positionH relativeFrom="margin">
              <wp:align>left</wp:align>
            </wp:positionH>
            <wp:positionV relativeFrom="paragraph">
              <wp:posOffset>429895</wp:posOffset>
            </wp:positionV>
            <wp:extent cx="5944235" cy="2698115"/>
            <wp:effectExtent l="0" t="0" r="0" b="6985"/>
            <wp:wrapThrough wrapText="bothSides">
              <wp:wrapPolygon edited="0">
                <wp:start x="0" y="0"/>
                <wp:lineTo x="0" y="21503"/>
                <wp:lineTo x="21528" y="21503"/>
                <wp:lineTo x="2152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4235" cy="2698115"/>
                    </a:xfrm>
                    <a:prstGeom prst="rect">
                      <a:avLst/>
                    </a:prstGeom>
                  </pic:spPr>
                </pic:pic>
              </a:graphicData>
            </a:graphic>
            <wp14:sizeRelH relativeFrom="page">
              <wp14:pctWidth>0</wp14:pctWidth>
            </wp14:sizeRelH>
            <wp14:sizeRelV relativeFrom="page">
              <wp14:pctHeight>0</wp14:pctHeight>
            </wp14:sizeRelV>
          </wp:anchor>
        </w:drawing>
      </w:r>
    </w:p>
    <w:p w14:paraId="3A4E8DB6" w14:textId="77777777" w:rsidR="004E4B1E" w:rsidRPr="00C43FCE" w:rsidRDefault="004E4B1E" w:rsidP="00C02282">
      <w:pPr>
        <w:spacing w:after="0" w:line="360" w:lineRule="auto"/>
        <w:jc w:val="center"/>
        <w:rPr>
          <w:rFonts w:ascii="Arial" w:eastAsia="Times New Roman" w:hAnsi="Arial" w:cs="Arial"/>
          <w:b/>
          <w:sz w:val="20"/>
          <w:szCs w:val="20"/>
          <w:lang w:eastAsia="es-ES"/>
        </w:rPr>
      </w:pPr>
    </w:p>
    <w:p w14:paraId="27CBD249" w14:textId="1E3D98A2" w:rsidR="00C02282" w:rsidRPr="00C43FCE" w:rsidRDefault="00C43FCE" w:rsidP="00C43FCE">
      <w:pPr>
        <w:spacing w:after="0" w:line="360" w:lineRule="auto"/>
        <w:jc w:val="center"/>
        <w:rPr>
          <w:rFonts w:ascii="Arial" w:eastAsia="Calibri" w:hAnsi="Arial" w:cs="Arial"/>
          <w:sz w:val="20"/>
          <w:szCs w:val="20"/>
        </w:rPr>
      </w:pPr>
      <w:r w:rsidRPr="00C43FCE">
        <w:rPr>
          <w:noProof/>
          <w:lang w:eastAsia="es-CO"/>
        </w:rPr>
        <mc:AlternateContent>
          <mc:Choice Requires="wps">
            <w:drawing>
              <wp:anchor distT="0" distB="0" distL="114300" distR="114300" simplePos="0" relativeHeight="251557376" behindDoc="0" locked="0" layoutInCell="1" allowOverlap="1" wp14:anchorId="7C0BFC47" wp14:editId="3F76A367">
                <wp:simplePos x="0" y="0"/>
                <wp:positionH relativeFrom="column">
                  <wp:posOffset>-796925</wp:posOffset>
                </wp:positionH>
                <wp:positionV relativeFrom="paragraph">
                  <wp:posOffset>-250825</wp:posOffset>
                </wp:positionV>
                <wp:extent cx="7329170" cy="457200"/>
                <wp:effectExtent l="0" t="0" r="5080" b="0"/>
                <wp:wrapThrough wrapText="bothSides">
                  <wp:wrapPolygon edited="0">
                    <wp:start x="0" y="0"/>
                    <wp:lineTo x="0" y="20700"/>
                    <wp:lineTo x="21559" y="20700"/>
                    <wp:lineTo x="21559" y="0"/>
                    <wp:lineTo x="0" y="0"/>
                  </wp:wrapPolygon>
                </wp:wrapThrough>
                <wp:docPr id="41" name="41 Cuadro de texto"/>
                <wp:cNvGraphicFramePr/>
                <a:graphic xmlns:a="http://schemas.openxmlformats.org/drawingml/2006/main">
                  <a:graphicData uri="http://schemas.microsoft.com/office/word/2010/wordprocessingShape">
                    <wps:wsp>
                      <wps:cNvSpPr txBox="1"/>
                      <wps:spPr>
                        <a:xfrm>
                          <a:off x="0" y="0"/>
                          <a:ext cx="7329170" cy="457200"/>
                        </a:xfrm>
                        <a:prstGeom prst="rect">
                          <a:avLst/>
                        </a:prstGeom>
                        <a:solidFill>
                          <a:prstClr val="white"/>
                        </a:solidFill>
                        <a:ln>
                          <a:noFill/>
                        </a:ln>
                        <a:effectLst/>
                      </wps:spPr>
                      <wps:txbx>
                        <w:txbxContent>
                          <w:p w14:paraId="01A504A1" w14:textId="27EE7529" w:rsidR="008B5E15" w:rsidRPr="00650B08" w:rsidRDefault="008B5E15" w:rsidP="00C02282">
                            <w:pPr>
                              <w:pStyle w:val="Descripcin"/>
                              <w:jc w:val="center"/>
                              <w:rPr>
                                <w:rFonts w:eastAsiaTheme="minorHAnsi"/>
                                <w:noProof/>
                              </w:rPr>
                            </w:pPr>
                            <w:bookmarkStart w:id="312" w:name="_Toc525652577"/>
                            <w:r>
                              <w:t xml:space="preserve">Tabla </w:t>
                            </w:r>
                            <w:r>
                              <w:fldChar w:fldCharType="begin"/>
                            </w:r>
                            <w:r>
                              <w:instrText xml:space="preserve"> SEQ Tabla \* ARABIC </w:instrText>
                            </w:r>
                            <w:r>
                              <w:fldChar w:fldCharType="separate"/>
                            </w:r>
                            <w:r>
                              <w:rPr>
                                <w:noProof/>
                              </w:rPr>
                              <w:t>132</w:t>
                            </w:r>
                            <w:r>
                              <w:fldChar w:fldCharType="end"/>
                            </w:r>
                            <w:r>
                              <w:t xml:space="preserve"> </w:t>
                            </w:r>
                            <w:r w:rsidRPr="00AC6EED">
                              <w:t xml:space="preserve">Resumen Ejecutivo </w:t>
                            </w:r>
                            <w:r>
                              <w:t>Sector Minas y Energía SPI</w:t>
                            </w:r>
                            <w:bookmarkEnd w:id="3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0BFC47" id="_x0000_t202" coordsize="21600,21600" o:spt="202" path="m,l,21600r21600,l21600,xe">
                <v:stroke joinstyle="miter"/>
                <v:path gradientshapeok="t" o:connecttype="rect"/>
              </v:shapetype>
              <v:shape id="41 Cuadro de texto" o:spid="_x0000_s1026" type="#_x0000_t202" style="position:absolute;left:0;text-align:left;margin-left:-62.75pt;margin-top:-19.75pt;width:577.1pt;height:36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" stroked="f">
                <v:textbox inset="0,0,0,0">
                  <w:txbxContent>
                    <w:p w14:paraId="01A504A1" w14:textId="27EE7529" w:rsidR="008B5E15" w:rsidRPr="00650B08" w:rsidRDefault="008B5E15" w:rsidP="00C02282">
                      <w:pPr>
                        <w:pStyle w:val="Descripcin"/>
                        <w:jc w:val="center"/>
                        <w:rPr>
                          <w:rFonts w:eastAsiaTheme="minorHAnsi"/>
                          <w:noProof/>
                        </w:rPr>
                      </w:pPr>
                      <w:bookmarkStart w:id="313" w:name="_Toc525652577"/>
                      <w:r>
                        <w:t xml:space="preserve">Tabla </w:t>
                      </w:r>
                      <w:r>
                        <w:fldChar w:fldCharType="begin"/>
                      </w:r>
                      <w:r>
                        <w:instrText xml:space="preserve"> SEQ Tabla \* ARABIC </w:instrText>
                      </w:r>
                      <w:r>
                        <w:fldChar w:fldCharType="separate"/>
                      </w:r>
                      <w:r>
                        <w:rPr>
                          <w:noProof/>
                        </w:rPr>
                        <w:t>132</w:t>
                      </w:r>
                      <w:r>
                        <w:fldChar w:fldCharType="end"/>
                      </w:r>
                      <w:r>
                        <w:t xml:space="preserve"> </w:t>
                      </w:r>
                      <w:r w:rsidRPr="00AC6EED">
                        <w:t xml:space="preserve">Resumen Ejecutivo </w:t>
                      </w:r>
                      <w:r>
                        <w:t>Sector Minas y Energía SPI</w:t>
                      </w:r>
                      <w:bookmarkEnd w:id="313"/>
                    </w:p>
                  </w:txbxContent>
                </v:textbox>
                <w10:wrap type="through"/>
              </v:shape>
            </w:pict>
          </mc:Fallback>
        </mc:AlternateContent>
      </w:r>
      <w:r w:rsidR="00C02282" w:rsidRPr="00C43FCE">
        <w:rPr>
          <w:rFonts w:ascii="Arial" w:eastAsia="Calibri" w:hAnsi="Arial" w:cs="Arial"/>
          <w:sz w:val="16"/>
          <w:szCs w:val="16"/>
        </w:rPr>
        <w:t xml:space="preserve">Fuente: Sistema de Seguimiento a Proyectos de Inversión – SPI a </w:t>
      </w:r>
      <w:r w:rsidR="004E4B1E" w:rsidRPr="00C43FCE">
        <w:rPr>
          <w:rFonts w:ascii="Arial" w:eastAsia="Calibri" w:hAnsi="Arial" w:cs="Arial"/>
          <w:sz w:val="16"/>
          <w:szCs w:val="16"/>
        </w:rPr>
        <w:t>junio</w:t>
      </w:r>
      <w:r w:rsidR="00C02282" w:rsidRPr="00C43FCE">
        <w:rPr>
          <w:rFonts w:ascii="Arial" w:eastAsia="Calibri" w:hAnsi="Arial" w:cs="Arial"/>
          <w:sz w:val="16"/>
          <w:szCs w:val="16"/>
        </w:rPr>
        <w:t xml:space="preserve"> de 2018</w:t>
      </w:r>
      <w:r w:rsidR="00C02282" w:rsidRPr="00C43FCE">
        <w:rPr>
          <w:rFonts w:ascii="Arial" w:eastAsia="Calibri" w:hAnsi="Arial" w:cs="Arial"/>
          <w:sz w:val="20"/>
          <w:szCs w:val="20"/>
        </w:rPr>
        <w:t>.</w:t>
      </w:r>
    </w:p>
    <w:p w14:paraId="514EFC3B" w14:textId="77777777" w:rsidR="00C02282" w:rsidRPr="00C43FCE" w:rsidRDefault="00C02282" w:rsidP="00C02282">
      <w:pPr>
        <w:spacing w:line="360" w:lineRule="auto"/>
        <w:rPr>
          <w:rFonts w:ascii="Arial" w:eastAsia="Calibri" w:hAnsi="Arial" w:cs="Arial"/>
          <w:b/>
          <w:sz w:val="20"/>
          <w:szCs w:val="20"/>
        </w:rPr>
      </w:pPr>
      <w:r w:rsidRPr="00C43FCE">
        <w:rPr>
          <w:rFonts w:ascii="Arial" w:eastAsia="Calibri" w:hAnsi="Arial" w:cs="Arial"/>
          <w:b/>
          <w:sz w:val="20"/>
          <w:szCs w:val="20"/>
        </w:rPr>
        <w:t>Ministerio De Minas Y Energía – MME</w:t>
      </w:r>
    </w:p>
    <w:p w14:paraId="57064450" w14:textId="1FFC7C61" w:rsidR="00C02282" w:rsidRPr="007A1C0E" w:rsidRDefault="00C02282" w:rsidP="00C02282">
      <w:pPr>
        <w:spacing w:line="240" w:lineRule="auto"/>
        <w:jc w:val="both"/>
        <w:rPr>
          <w:rFonts w:ascii="Arial" w:eastAsia="Calibri" w:hAnsi="Arial" w:cs="Arial"/>
          <w:sz w:val="20"/>
          <w:szCs w:val="20"/>
          <w:highlight w:val="yellow"/>
          <w:lang w:eastAsia="es-CO"/>
        </w:rPr>
      </w:pPr>
      <w:r w:rsidRPr="00A353D2">
        <w:rPr>
          <w:rFonts w:ascii="Arial" w:eastAsia="Calibri" w:hAnsi="Arial" w:cs="Arial"/>
          <w:sz w:val="20"/>
          <w:szCs w:val="20"/>
          <w:lang w:eastAsia="es-CO"/>
        </w:rPr>
        <w:t>En Hidrocarburos, el proyecto de Administración, Implementación Compensación Por El Transporte De Combustibles Líquidos Derivados Del Petróleo Entre Yumbo Y La Ciudad De Pasto, presenta los ind</w:t>
      </w:r>
      <w:r w:rsidR="00A353D2" w:rsidRPr="00A353D2">
        <w:rPr>
          <w:rFonts w:ascii="Arial" w:eastAsia="Calibri" w:hAnsi="Arial" w:cs="Arial"/>
          <w:sz w:val="20"/>
          <w:szCs w:val="20"/>
          <w:lang w:eastAsia="es-CO"/>
        </w:rPr>
        <w:t>icadores de Avance Físico del 99% de Avance de Gestión del 42% y Financiero del 34,1</w:t>
      </w:r>
      <w:r w:rsidRPr="00A353D2">
        <w:rPr>
          <w:rFonts w:ascii="Arial" w:eastAsia="Calibri" w:hAnsi="Arial" w:cs="Arial"/>
          <w:sz w:val="20"/>
          <w:szCs w:val="20"/>
          <w:lang w:eastAsia="es-CO"/>
        </w:rPr>
        <w:t>%. El proyecto de Distribución De Recursos Para Pagos Por Menores Tarifas Sector Gas Combustible Domiciliario Por Red A Nivel Nacional, presenta indicadores de avance</w:t>
      </w:r>
      <w:r w:rsidR="00A353D2" w:rsidRPr="00A353D2">
        <w:rPr>
          <w:rFonts w:ascii="Arial" w:eastAsia="Calibri" w:hAnsi="Arial" w:cs="Arial"/>
          <w:sz w:val="20"/>
          <w:szCs w:val="20"/>
          <w:lang w:eastAsia="es-CO"/>
        </w:rPr>
        <w:t xml:space="preserve"> Físico de 100%, de Gestión el 36</w:t>
      </w:r>
      <w:r w:rsidRPr="00A353D2">
        <w:rPr>
          <w:rFonts w:ascii="Arial" w:eastAsia="Calibri" w:hAnsi="Arial" w:cs="Arial"/>
          <w:sz w:val="20"/>
          <w:szCs w:val="20"/>
          <w:lang w:eastAsia="es-CO"/>
        </w:rPr>
        <w:t xml:space="preserve">% </w:t>
      </w:r>
      <w:r w:rsidR="00A353D2" w:rsidRPr="00A353D2">
        <w:rPr>
          <w:rFonts w:ascii="Arial" w:eastAsia="Calibri" w:hAnsi="Arial" w:cs="Arial"/>
          <w:sz w:val="20"/>
          <w:szCs w:val="20"/>
          <w:lang w:eastAsia="es-CO"/>
        </w:rPr>
        <w:t>y de avance Financiero del 23,5</w:t>
      </w:r>
      <w:r w:rsidRPr="00A353D2">
        <w:rPr>
          <w:rFonts w:ascii="Arial" w:eastAsia="Calibri" w:hAnsi="Arial" w:cs="Arial"/>
          <w:sz w:val="20"/>
          <w:szCs w:val="20"/>
          <w:lang w:eastAsia="es-CO"/>
        </w:rPr>
        <w:t xml:space="preserve">%. El proyecto de </w:t>
      </w:r>
      <w:r w:rsidRPr="00A353D2">
        <w:rPr>
          <w:rFonts w:ascii="Arial" w:eastAsia="Times New Roman" w:hAnsi="Arial" w:cs="Arial"/>
          <w:color w:val="000000"/>
          <w:sz w:val="20"/>
          <w:szCs w:val="20"/>
          <w:lang w:eastAsia="es-CO"/>
        </w:rPr>
        <w:t xml:space="preserve">Distribución De Recursos Para Pagos Por Menores Tarifas Sector GLP Distribuido En Cilindros Y Tanques Estacionarios A Nivel Nacional, </w:t>
      </w:r>
      <w:r w:rsidRPr="00A353D2">
        <w:rPr>
          <w:rFonts w:ascii="Arial" w:eastAsia="Calibri" w:hAnsi="Arial" w:cs="Arial"/>
          <w:sz w:val="20"/>
          <w:szCs w:val="20"/>
          <w:lang w:eastAsia="es-CO"/>
        </w:rPr>
        <w:t>presenta indicadores de avance</w:t>
      </w:r>
      <w:r w:rsidR="00A353D2" w:rsidRPr="00A353D2">
        <w:rPr>
          <w:rFonts w:ascii="Arial" w:eastAsia="Calibri" w:hAnsi="Arial" w:cs="Arial"/>
          <w:sz w:val="20"/>
          <w:szCs w:val="20"/>
          <w:lang w:eastAsia="es-CO"/>
        </w:rPr>
        <w:t xml:space="preserve"> Físico de 80%, de Gestión el 42</w:t>
      </w:r>
      <w:r w:rsidRPr="00A353D2">
        <w:rPr>
          <w:rFonts w:ascii="Arial" w:eastAsia="Calibri" w:hAnsi="Arial" w:cs="Arial"/>
          <w:sz w:val="20"/>
          <w:szCs w:val="20"/>
          <w:lang w:eastAsia="es-CO"/>
        </w:rPr>
        <w:t xml:space="preserve">% </w:t>
      </w:r>
      <w:r w:rsidR="00A353D2" w:rsidRPr="00A353D2">
        <w:rPr>
          <w:rFonts w:ascii="Arial" w:eastAsia="Calibri" w:hAnsi="Arial" w:cs="Arial"/>
          <w:sz w:val="20"/>
          <w:szCs w:val="20"/>
          <w:lang w:eastAsia="es-CO"/>
        </w:rPr>
        <w:t>y de avance Financiero del 42,2</w:t>
      </w:r>
      <w:r w:rsidR="001B6056">
        <w:rPr>
          <w:rFonts w:ascii="Arial" w:eastAsia="Calibri" w:hAnsi="Arial" w:cs="Arial"/>
          <w:sz w:val="20"/>
          <w:szCs w:val="20"/>
          <w:lang w:eastAsia="es-CO"/>
        </w:rPr>
        <w:t xml:space="preserve">%. Y e proyecto </w:t>
      </w:r>
      <w:r w:rsidR="001B6056" w:rsidRPr="001B6056">
        <w:rPr>
          <w:rFonts w:ascii="Arial" w:eastAsia="Calibri" w:hAnsi="Arial" w:cs="Arial"/>
          <w:sz w:val="20"/>
          <w:szCs w:val="20"/>
          <w:lang w:eastAsia="es-CO"/>
        </w:rPr>
        <w:t>A</w:t>
      </w:r>
      <w:r w:rsidR="001B6056" w:rsidRPr="001B6056">
        <w:rPr>
          <w:rFonts w:ascii="Arial" w:eastAsia="Times New Roman" w:hAnsi="Arial" w:cs="Arial"/>
          <w:color w:val="000000"/>
          <w:sz w:val="20"/>
          <w:szCs w:val="20"/>
          <w:lang w:eastAsia="es-CO"/>
        </w:rPr>
        <w:t>sesoría, Diseño, Adquisición</w:t>
      </w:r>
      <w:r w:rsidR="001B6056">
        <w:rPr>
          <w:rFonts w:ascii="Arial" w:eastAsia="Times New Roman" w:hAnsi="Arial" w:cs="Arial"/>
          <w:color w:val="000000"/>
          <w:sz w:val="20"/>
          <w:szCs w:val="20"/>
          <w:lang w:eastAsia="es-CO"/>
        </w:rPr>
        <w:t>, Mantenimiento y</w:t>
      </w:r>
      <w:r w:rsidR="001B6056" w:rsidRPr="001B6056">
        <w:rPr>
          <w:rFonts w:ascii="Arial" w:eastAsia="Times New Roman" w:hAnsi="Arial" w:cs="Arial"/>
          <w:color w:val="000000"/>
          <w:sz w:val="20"/>
          <w:szCs w:val="20"/>
          <w:lang w:eastAsia="es-CO"/>
        </w:rPr>
        <w:t xml:space="preserve"> Construcción</w:t>
      </w:r>
      <w:r w:rsidR="001B6056">
        <w:rPr>
          <w:rFonts w:ascii="Arial" w:eastAsia="Times New Roman" w:hAnsi="Arial" w:cs="Arial"/>
          <w:color w:val="000000"/>
          <w:sz w:val="20"/>
          <w:szCs w:val="20"/>
          <w:lang w:eastAsia="es-CO"/>
        </w:rPr>
        <w:t xml:space="preserve"> d</w:t>
      </w:r>
      <w:r w:rsidR="001B6056" w:rsidRPr="001B6056">
        <w:rPr>
          <w:rFonts w:ascii="Arial" w:eastAsia="Times New Roman" w:hAnsi="Arial" w:cs="Arial"/>
          <w:color w:val="000000"/>
          <w:sz w:val="20"/>
          <w:szCs w:val="20"/>
          <w:lang w:eastAsia="es-CO"/>
        </w:rPr>
        <w:t>el Sistem</w:t>
      </w:r>
      <w:r w:rsidR="001B6056">
        <w:rPr>
          <w:rFonts w:ascii="Arial" w:eastAsia="Times New Roman" w:hAnsi="Arial" w:cs="Arial"/>
          <w:color w:val="000000"/>
          <w:sz w:val="20"/>
          <w:szCs w:val="20"/>
          <w:lang w:eastAsia="es-CO"/>
        </w:rPr>
        <w:t>a d</w:t>
      </w:r>
      <w:r w:rsidR="001B6056" w:rsidRPr="001B6056">
        <w:rPr>
          <w:rFonts w:ascii="Arial" w:eastAsia="Times New Roman" w:hAnsi="Arial" w:cs="Arial"/>
          <w:color w:val="000000"/>
          <w:sz w:val="20"/>
          <w:szCs w:val="20"/>
          <w:lang w:eastAsia="es-CO"/>
        </w:rPr>
        <w:t>e Información</w:t>
      </w:r>
      <w:r w:rsidR="001B6056">
        <w:rPr>
          <w:rFonts w:ascii="Arial" w:eastAsia="Times New Roman" w:hAnsi="Arial" w:cs="Arial"/>
          <w:color w:val="000000"/>
          <w:sz w:val="20"/>
          <w:szCs w:val="20"/>
          <w:lang w:eastAsia="es-CO"/>
        </w:rPr>
        <w:t xml:space="preserve"> de la Cadena d</w:t>
      </w:r>
      <w:r w:rsidR="001B6056" w:rsidRPr="001B6056">
        <w:rPr>
          <w:rFonts w:ascii="Arial" w:eastAsia="Times New Roman" w:hAnsi="Arial" w:cs="Arial"/>
          <w:color w:val="000000"/>
          <w:sz w:val="20"/>
          <w:szCs w:val="20"/>
          <w:lang w:eastAsia="es-CO"/>
        </w:rPr>
        <w:t>e Distribución</w:t>
      </w:r>
      <w:r w:rsidR="001B6056">
        <w:rPr>
          <w:rFonts w:ascii="Arial" w:eastAsia="Times New Roman" w:hAnsi="Arial" w:cs="Arial"/>
          <w:color w:val="000000"/>
          <w:sz w:val="20"/>
          <w:szCs w:val="20"/>
          <w:lang w:eastAsia="es-CO"/>
        </w:rPr>
        <w:t xml:space="preserve"> d</w:t>
      </w:r>
      <w:r w:rsidR="001B6056" w:rsidRPr="001B6056">
        <w:rPr>
          <w:rFonts w:ascii="Arial" w:eastAsia="Times New Roman" w:hAnsi="Arial" w:cs="Arial"/>
          <w:color w:val="000000"/>
          <w:sz w:val="20"/>
          <w:szCs w:val="20"/>
          <w:lang w:eastAsia="es-CO"/>
        </w:rPr>
        <w:t>e Combustibles Liquidaos Derivados</w:t>
      </w:r>
      <w:r w:rsidR="001B6056">
        <w:rPr>
          <w:rFonts w:ascii="Arial" w:eastAsia="Times New Roman" w:hAnsi="Arial" w:cs="Arial"/>
          <w:color w:val="000000"/>
          <w:sz w:val="20"/>
          <w:szCs w:val="20"/>
          <w:lang w:eastAsia="es-CO"/>
        </w:rPr>
        <w:t xml:space="preserve"> d</w:t>
      </w:r>
      <w:r w:rsidR="001B6056" w:rsidRPr="001B6056">
        <w:rPr>
          <w:rFonts w:ascii="Arial" w:eastAsia="Times New Roman" w:hAnsi="Arial" w:cs="Arial"/>
          <w:color w:val="000000"/>
          <w:sz w:val="20"/>
          <w:szCs w:val="20"/>
          <w:lang w:eastAsia="es-CO"/>
        </w:rPr>
        <w:t>el Petróleo - SICOM - Región Nacional</w:t>
      </w:r>
      <w:r w:rsidR="001B6056">
        <w:rPr>
          <w:rFonts w:ascii="Arial" w:eastAsia="Times New Roman" w:hAnsi="Arial" w:cs="Arial"/>
          <w:color w:val="000000"/>
          <w:sz w:val="20"/>
          <w:szCs w:val="20"/>
          <w:lang w:eastAsia="es-CO"/>
        </w:rPr>
        <w:t xml:space="preserve">, </w:t>
      </w:r>
      <w:r w:rsidR="001B6056" w:rsidRPr="00A353D2">
        <w:rPr>
          <w:rFonts w:ascii="Arial" w:eastAsia="Calibri" w:hAnsi="Arial" w:cs="Arial"/>
          <w:sz w:val="20"/>
          <w:szCs w:val="20"/>
          <w:lang w:eastAsia="es-CO"/>
        </w:rPr>
        <w:t>presenta indicadores de avance</w:t>
      </w:r>
      <w:r w:rsidR="001B6056">
        <w:rPr>
          <w:rFonts w:ascii="Arial" w:eastAsia="Calibri" w:hAnsi="Arial" w:cs="Arial"/>
          <w:sz w:val="20"/>
          <w:szCs w:val="20"/>
          <w:lang w:eastAsia="es-CO"/>
        </w:rPr>
        <w:t xml:space="preserve"> Físico de 71%, de Gestión el 100</w:t>
      </w:r>
      <w:r w:rsidR="001B6056" w:rsidRPr="00A353D2">
        <w:rPr>
          <w:rFonts w:ascii="Arial" w:eastAsia="Calibri" w:hAnsi="Arial" w:cs="Arial"/>
          <w:sz w:val="20"/>
          <w:szCs w:val="20"/>
          <w:lang w:eastAsia="es-CO"/>
        </w:rPr>
        <w:t xml:space="preserve">% </w:t>
      </w:r>
      <w:r w:rsidR="001B6056">
        <w:rPr>
          <w:rFonts w:ascii="Arial" w:eastAsia="Calibri" w:hAnsi="Arial" w:cs="Arial"/>
          <w:sz w:val="20"/>
          <w:szCs w:val="20"/>
          <w:lang w:eastAsia="es-CO"/>
        </w:rPr>
        <w:t>y de avance Financiero del 27,71</w:t>
      </w:r>
      <w:r w:rsidR="001B6056" w:rsidRPr="00A353D2">
        <w:rPr>
          <w:rFonts w:ascii="Arial" w:eastAsia="Calibri" w:hAnsi="Arial" w:cs="Arial"/>
          <w:sz w:val="20"/>
          <w:szCs w:val="20"/>
          <w:lang w:eastAsia="es-CO"/>
        </w:rPr>
        <w:t>%.</w:t>
      </w:r>
    </w:p>
    <w:p w14:paraId="2677A01C" w14:textId="27AB153C" w:rsidR="00C02282" w:rsidRPr="007A1C0E" w:rsidRDefault="00C02282" w:rsidP="00C02282">
      <w:pPr>
        <w:spacing w:line="240" w:lineRule="auto"/>
        <w:jc w:val="both"/>
        <w:rPr>
          <w:rFonts w:ascii="Arial" w:eastAsia="Calibri" w:hAnsi="Arial" w:cs="Arial"/>
          <w:sz w:val="20"/>
          <w:szCs w:val="20"/>
          <w:highlight w:val="yellow"/>
          <w:lang w:eastAsia="es-CO"/>
        </w:rPr>
      </w:pPr>
      <w:r w:rsidRPr="00A353D2">
        <w:rPr>
          <w:rFonts w:ascii="Arial" w:eastAsia="Calibri" w:hAnsi="Arial" w:cs="Arial"/>
          <w:sz w:val="20"/>
          <w:szCs w:val="20"/>
          <w:lang w:eastAsia="es-CO"/>
        </w:rPr>
        <w:t xml:space="preserve">En Energía se destaca el proyecto </w:t>
      </w:r>
      <w:r w:rsidRPr="00A353D2">
        <w:rPr>
          <w:rFonts w:ascii="Arial" w:eastAsia="Times New Roman" w:hAnsi="Arial" w:cs="Arial"/>
          <w:color w:val="000000"/>
          <w:sz w:val="20"/>
          <w:szCs w:val="20"/>
          <w:lang w:eastAsia="es-CO"/>
        </w:rPr>
        <w:t>de Distribución De Recursos Para Pagos Por Menores Tarifas Sector Eléctrico</w:t>
      </w:r>
      <w:r w:rsidRPr="00A353D2">
        <w:rPr>
          <w:rFonts w:ascii="Arial" w:eastAsia="Calibri" w:hAnsi="Arial" w:cs="Arial"/>
          <w:sz w:val="20"/>
          <w:szCs w:val="20"/>
          <w:lang w:eastAsia="es-CO"/>
        </w:rPr>
        <w:t>: con un avance Físico del 100%, de G</w:t>
      </w:r>
      <w:r w:rsidRPr="001B6056">
        <w:rPr>
          <w:rFonts w:ascii="Arial" w:eastAsia="Calibri" w:hAnsi="Arial" w:cs="Arial"/>
          <w:sz w:val="20"/>
          <w:szCs w:val="20"/>
          <w:lang w:eastAsia="es-CO"/>
        </w:rPr>
        <w:t>estió</w:t>
      </w:r>
      <w:r w:rsidR="00A353D2" w:rsidRPr="001B6056">
        <w:rPr>
          <w:rFonts w:ascii="Arial" w:eastAsia="Calibri" w:hAnsi="Arial" w:cs="Arial"/>
          <w:sz w:val="20"/>
          <w:szCs w:val="20"/>
          <w:lang w:eastAsia="es-CO"/>
        </w:rPr>
        <w:t>n del 17% y Financiero del 62,6</w:t>
      </w:r>
      <w:r w:rsidRPr="001B6056">
        <w:rPr>
          <w:rFonts w:ascii="Arial" w:eastAsia="Calibri" w:hAnsi="Arial" w:cs="Arial"/>
          <w:sz w:val="20"/>
          <w:szCs w:val="20"/>
          <w:lang w:eastAsia="es-CO"/>
        </w:rPr>
        <w:t xml:space="preserve">%. El proyecto de </w:t>
      </w:r>
      <w:r w:rsidR="001B6056" w:rsidRPr="001B6056">
        <w:rPr>
          <w:rFonts w:ascii="Arial" w:eastAsia="Calibri" w:hAnsi="Arial" w:cs="Arial"/>
          <w:sz w:val="20"/>
          <w:szCs w:val="20"/>
          <w:lang w:eastAsia="es-CO"/>
        </w:rPr>
        <w:t xml:space="preserve">Diseño e Implementación de Herramientas de Mitigación y Adaptación en el Sector Minero-Energético Frente al Cambio Climático – Nacional </w:t>
      </w:r>
      <w:r w:rsidRPr="001B6056">
        <w:rPr>
          <w:rFonts w:ascii="Arial" w:eastAsia="Calibri" w:hAnsi="Arial" w:cs="Arial"/>
          <w:sz w:val="20"/>
          <w:szCs w:val="20"/>
          <w:lang w:eastAsia="es-CO"/>
        </w:rPr>
        <w:t>presenta av</w:t>
      </w:r>
      <w:r w:rsidR="001B6056" w:rsidRPr="001B6056">
        <w:rPr>
          <w:rFonts w:ascii="Arial" w:eastAsia="Calibri" w:hAnsi="Arial" w:cs="Arial"/>
          <w:sz w:val="20"/>
          <w:szCs w:val="20"/>
          <w:lang w:eastAsia="es-CO"/>
        </w:rPr>
        <w:t>ance Físico de 65</w:t>
      </w:r>
      <w:r w:rsidR="00C43FCE" w:rsidRPr="001B6056">
        <w:rPr>
          <w:rFonts w:ascii="Arial" w:eastAsia="Calibri" w:hAnsi="Arial" w:cs="Arial"/>
          <w:sz w:val="20"/>
          <w:szCs w:val="20"/>
          <w:lang w:eastAsia="es-CO"/>
        </w:rPr>
        <w:t xml:space="preserve">%, de Gestión </w:t>
      </w:r>
      <w:r w:rsidR="001B6056" w:rsidRPr="001B6056">
        <w:rPr>
          <w:rFonts w:ascii="Arial" w:eastAsia="Calibri" w:hAnsi="Arial" w:cs="Arial"/>
          <w:sz w:val="20"/>
          <w:szCs w:val="20"/>
          <w:lang w:eastAsia="es-CO"/>
        </w:rPr>
        <w:t>el 62% y Financiero de 69,7</w:t>
      </w:r>
      <w:r w:rsidRPr="001B6056">
        <w:rPr>
          <w:rFonts w:ascii="Arial" w:eastAsia="Calibri" w:hAnsi="Arial" w:cs="Arial"/>
          <w:sz w:val="20"/>
          <w:szCs w:val="20"/>
          <w:lang w:eastAsia="es-CO"/>
        </w:rPr>
        <w:t>9%</w:t>
      </w:r>
    </w:p>
    <w:p w14:paraId="586D364D" w14:textId="4D43545D" w:rsidR="00C02282" w:rsidRPr="00C43FCE" w:rsidRDefault="00C02282" w:rsidP="001B6056">
      <w:pPr>
        <w:spacing w:line="240" w:lineRule="auto"/>
        <w:jc w:val="both"/>
        <w:rPr>
          <w:rFonts w:ascii="Arial" w:eastAsia="Calibri" w:hAnsi="Arial" w:cs="Arial"/>
          <w:b/>
          <w:noProof/>
          <w:sz w:val="20"/>
          <w:szCs w:val="20"/>
          <w:lang w:eastAsia="es-CO"/>
        </w:rPr>
      </w:pPr>
      <w:r w:rsidRPr="001B6056">
        <w:rPr>
          <w:rFonts w:ascii="Arial" w:eastAsia="Calibri" w:hAnsi="Arial" w:cs="Arial"/>
          <w:sz w:val="20"/>
          <w:szCs w:val="20"/>
          <w:lang w:eastAsia="es-CO"/>
        </w:rPr>
        <w:t>Otros proyectos que se destacan en la ejecución son: El proyecto de Implementar Y Mantener Actualizada La Infraestructura TIC Del Sector Minero Energético De Acuerdo Al PETIC Sectorial – Bogotá</w:t>
      </w:r>
      <w:r w:rsidRPr="001B6056">
        <w:rPr>
          <w:rFonts w:ascii="Arial" w:hAnsi="Arial" w:cs="Arial"/>
          <w:sz w:val="20"/>
          <w:szCs w:val="20"/>
        </w:rPr>
        <w:t xml:space="preserve"> </w:t>
      </w:r>
      <w:r w:rsidR="001B6056" w:rsidRPr="001B6056">
        <w:rPr>
          <w:rFonts w:ascii="Arial" w:eastAsia="Calibri" w:hAnsi="Arial" w:cs="Arial"/>
          <w:sz w:val="20"/>
          <w:szCs w:val="20"/>
          <w:lang w:eastAsia="es-CO"/>
        </w:rPr>
        <w:t>presenta avance Físico de 89%, de Gestión el 75% y Financiero de 21,28</w:t>
      </w:r>
      <w:r w:rsidRPr="001B6056">
        <w:rPr>
          <w:rFonts w:ascii="Arial" w:eastAsia="Calibri" w:hAnsi="Arial" w:cs="Arial"/>
          <w:sz w:val="20"/>
          <w:szCs w:val="20"/>
          <w:lang w:eastAsia="es-CO"/>
        </w:rPr>
        <w:t xml:space="preserve">%. El proyecto </w:t>
      </w:r>
      <w:r w:rsidR="001B6056" w:rsidRPr="001B6056">
        <w:rPr>
          <w:rFonts w:ascii="Arial" w:eastAsia="Calibri" w:hAnsi="Arial" w:cs="Arial"/>
          <w:sz w:val="20"/>
          <w:szCs w:val="20"/>
          <w:lang w:eastAsia="es-CO"/>
        </w:rPr>
        <w:t xml:space="preserve">de Mantenimiento Adecuación y Ampliación de la Infraestructura para Sedes del MME, Bogotá, </w:t>
      </w:r>
      <w:r w:rsidRPr="001B6056">
        <w:rPr>
          <w:rFonts w:ascii="Arial" w:eastAsia="Calibri" w:hAnsi="Arial" w:cs="Arial"/>
          <w:sz w:val="20"/>
          <w:szCs w:val="20"/>
          <w:lang w:eastAsia="es-CO"/>
        </w:rPr>
        <w:t xml:space="preserve">presenta avance Físico de </w:t>
      </w:r>
      <w:r w:rsidR="001B6056" w:rsidRPr="001B6056">
        <w:rPr>
          <w:rFonts w:ascii="Arial" w:eastAsia="Calibri" w:hAnsi="Arial" w:cs="Arial"/>
          <w:sz w:val="20"/>
          <w:szCs w:val="20"/>
          <w:lang w:eastAsia="es-CO"/>
        </w:rPr>
        <w:t>0</w:t>
      </w:r>
      <w:r w:rsidRPr="001B6056">
        <w:rPr>
          <w:rFonts w:ascii="Arial" w:eastAsia="Calibri" w:hAnsi="Arial" w:cs="Arial"/>
          <w:sz w:val="20"/>
          <w:szCs w:val="20"/>
          <w:lang w:eastAsia="es-CO"/>
        </w:rPr>
        <w:t>%, d</w:t>
      </w:r>
      <w:r w:rsidR="001B6056" w:rsidRPr="001B6056">
        <w:rPr>
          <w:rFonts w:ascii="Arial" w:eastAsia="Calibri" w:hAnsi="Arial" w:cs="Arial"/>
          <w:sz w:val="20"/>
          <w:szCs w:val="20"/>
          <w:lang w:eastAsia="es-CO"/>
        </w:rPr>
        <w:t>e Gestión el 100% y Financiero de 2,91</w:t>
      </w:r>
      <w:r w:rsidRPr="001B6056">
        <w:rPr>
          <w:rFonts w:ascii="Arial" w:eastAsia="Calibri" w:hAnsi="Arial" w:cs="Arial"/>
          <w:sz w:val="20"/>
          <w:szCs w:val="20"/>
          <w:lang w:eastAsia="es-CO"/>
        </w:rPr>
        <w:t>%.</w:t>
      </w:r>
      <w:r w:rsidRPr="00C43FCE">
        <w:rPr>
          <w:rFonts w:ascii="Arial" w:eastAsia="Calibri" w:hAnsi="Arial" w:cs="Arial"/>
          <w:sz w:val="20"/>
          <w:szCs w:val="20"/>
          <w:lang w:eastAsia="es-CO"/>
        </w:rPr>
        <w:t xml:space="preserve"> </w:t>
      </w:r>
    </w:p>
    <w:p w14:paraId="7C66A43C" w14:textId="2D55D990" w:rsidR="004E4B1E" w:rsidRPr="00C43FCE" w:rsidRDefault="004E4B1E" w:rsidP="00C02282">
      <w:pPr>
        <w:jc w:val="center"/>
        <w:rPr>
          <w:rFonts w:ascii="Arial" w:eastAsia="Calibri" w:hAnsi="Arial" w:cs="Arial"/>
          <w:sz w:val="16"/>
          <w:szCs w:val="16"/>
        </w:rPr>
      </w:pPr>
      <w:r w:rsidRPr="00C43FCE">
        <w:rPr>
          <w:noProof/>
          <w:lang w:eastAsia="es-CO"/>
        </w:rPr>
        <w:lastRenderedPageBreak/>
        <mc:AlternateContent>
          <mc:Choice Requires="wps">
            <w:drawing>
              <wp:anchor distT="0" distB="0" distL="114300" distR="114300" simplePos="0" relativeHeight="251572736" behindDoc="0" locked="0" layoutInCell="1" allowOverlap="1" wp14:anchorId="769E3936" wp14:editId="73CFBD79">
                <wp:simplePos x="0" y="0"/>
                <wp:positionH relativeFrom="column">
                  <wp:posOffset>-900430</wp:posOffset>
                </wp:positionH>
                <wp:positionV relativeFrom="paragraph">
                  <wp:posOffset>173990</wp:posOffset>
                </wp:positionV>
                <wp:extent cx="7293610" cy="295275"/>
                <wp:effectExtent l="0" t="0" r="2540" b="9525"/>
                <wp:wrapThrough wrapText="bothSides">
                  <wp:wrapPolygon edited="0">
                    <wp:start x="0" y="0"/>
                    <wp:lineTo x="0" y="20903"/>
                    <wp:lineTo x="21551" y="20903"/>
                    <wp:lineTo x="21551" y="0"/>
                    <wp:lineTo x="0" y="0"/>
                  </wp:wrapPolygon>
                </wp:wrapThrough>
                <wp:docPr id="44" name="44 Cuadro de texto"/>
                <wp:cNvGraphicFramePr/>
                <a:graphic xmlns:a="http://schemas.openxmlformats.org/drawingml/2006/main">
                  <a:graphicData uri="http://schemas.microsoft.com/office/word/2010/wordprocessingShape">
                    <wps:wsp>
                      <wps:cNvSpPr txBox="1"/>
                      <wps:spPr>
                        <a:xfrm>
                          <a:off x="0" y="0"/>
                          <a:ext cx="7293610" cy="295275"/>
                        </a:xfrm>
                        <a:prstGeom prst="rect">
                          <a:avLst/>
                        </a:prstGeom>
                        <a:solidFill>
                          <a:prstClr val="white"/>
                        </a:solidFill>
                        <a:ln>
                          <a:noFill/>
                        </a:ln>
                        <a:effectLst/>
                      </wps:spPr>
                      <wps:txbx>
                        <w:txbxContent>
                          <w:p w14:paraId="09855F1D" w14:textId="6A4A5F6F" w:rsidR="008B5E15" w:rsidRPr="0064519C" w:rsidRDefault="008B5E15" w:rsidP="00C02282">
                            <w:pPr>
                              <w:pStyle w:val="Descripcin"/>
                              <w:jc w:val="center"/>
                              <w:rPr>
                                <w:rFonts w:eastAsiaTheme="minorHAnsi"/>
                                <w:noProof/>
                              </w:rPr>
                            </w:pPr>
                            <w:bookmarkStart w:id="314" w:name="_Toc525652578"/>
                            <w:r>
                              <w:t xml:space="preserve">Tabla </w:t>
                            </w:r>
                            <w:r>
                              <w:fldChar w:fldCharType="begin"/>
                            </w:r>
                            <w:r>
                              <w:instrText xml:space="preserve"> SEQ Tabla \* ARABIC </w:instrText>
                            </w:r>
                            <w:r>
                              <w:fldChar w:fldCharType="separate"/>
                            </w:r>
                            <w:r>
                              <w:rPr>
                                <w:noProof/>
                              </w:rPr>
                              <w:t>133</w:t>
                            </w:r>
                            <w:r>
                              <w:fldChar w:fldCharType="end"/>
                            </w:r>
                            <w:r>
                              <w:t xml:space="preserve"> </w:t>
                            </w:r>
                            <w:r w:rsidRPr="00C94C11">
                              <w:t xml:space="preserve">Informe de SPI del Ministerio de Minas y Energía a </w:t>
                            </w:r>
                            <w:r>
                              <w:t xml:space="preserve">junio </w:t>
                            </w:r>
                            <w:r w:rsidRPr="00C94C11">
                              <w:t>de 2018</w:t>
                            </w:r>
                            <w:bookmarkEnd w:id="3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E3936" id="44 Cuadro de texto" o:spid="_x0000_s1027" type="#_x0000_t202" style="position:absolute;left:0;text-align:left;margin-left:-70.9pt;margin-top:13.7pt;width:574.3pt;height:23.25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" stroked="f">
                <v:textbox inset="0,0,0,0">
                  <w:txbxContent>
                    <w:p w14:paraId="09855F1D" w14:textId="6A4A5F6F" w:rsidR="008B5E15" w:rsidRPr="0064519C" w:rsidRDefault="008B5E15" w:rsidP="00C02282">
                      <w:pPr>
                        <w:pStyle w:val="Descripcin"/>
                        <w:jc w:val="center"/>
                        <w:rPr>
                          <w:rFonts w:eastAsiaTheme="minorHAnsi"/>
                          <w:noProof/>
                        </w:rPr>
                      </w:pPr>
                      <w:bookmarkStart w:id="315" w:name="_Toc525652578"/>
                      <w:r>
                        <w:t xml:space="preserve">Tabla </w:t>
                      </w:r>
                      <w:r>
                        <w:fldChar w:fldCharType="begin"/>
                      </w:r>
                      <w:r>
                        <w:instrText xml:space="preserve"> SEQ Tabla \* ARABIC </w:instrText>
                      </w:r>
                      <w:r>
                        <w:fldChar w:fldCharType="separate"/>
                      </w:r>
                      <w:r>
                        <w:rPr>
                          <w:noProof/>
                        </w:rPr>
                        <w:t>133</w:t>
                      </w:r>
                      <w:r>
                        <w:fldChar w:fldCharType="end"/>
                      </w:r>
                      <w:r>
                        <w:t xml:space="preserve"> </w:t>
                      </w:r>
                      <w:r w:rsidRPr="00C94C11">
                        <w:t xml:space="preserve">Informe de SPI del Ministerio de Minas y Energía a </w:t>
                      </w:r>
                      <w:r>
                        <w:t xml:space="preserve">junio </w:t>
                      </w:r>
                      <w:r w:rsidRPr="00C94C11">
                        <w:t>de 2018</w:t>
                      </w:r>
                      <w:bookmarkEnd w:id="315"/>
                    </w:p>
                  </w:txbxContent>
                </v:textbox>
                <w10:wrap type="through"/>
              </v:shape>
            </w:pict>
          </mc:Fallback>
        </mc:AlternateContent>
      </w:r>
    </w:p>
    <w:p w14:paraId="54381DE8" w14:textId="73DACB3B" w:rsidR="004E4B1E" w:rsidRPr="00C43FCE" w:rsidRDefault="004E4B1E" w:rsidP="00C02282">
      <w:pPr>
        <w:jc w:val="center"/>
        <w:rPr>
          <w:rFonts w:ascii="Arial" w:eastAsia="Calibri" w:hAnsi="Arial" w:cs="Arial"/>
          <w:sz w:val="16"/>
          <w:szCs w:val="16"/>
        </w:rPr>
      </w:pPr>
      <w:r w:rsidRPr="00C43FCE">
        <w:rPr>
          <w:noProof/>
          <w:lang w:eastAsia="es-CO"/>
        </w:rPr>
        <w:drawing>
          <wp:anchor distT="0" distB="0" distL="114300" distR="114300" simplePos="0" relativeHeight="251680256" behindDoc="1" locked="0" layoutInCell="1" allowOverlap="1" wp14:anchorId="65126987" wp14:editId="5C005C9B">
            <wp:simplePos x="0" y="0"/>
            <wp:positionH relativeFrom="column">
              <wp:posOffset>-52705</wp:posOffset>
            </wp:positionH>
            <wp:positionV relativeFrom="paragraph">
              <wp:posOffset>93345</wp:posOffset>
            </wp:positionV>
            <wp:extent cx="5612130" cy="2715895"/>
            <wp:effectExtent l="0" t="0" r="7620" b="8255"/>
            <wp:wrapThrough wrapText="bothSides">
              <wp:wrapPolygon edited="0">
                <wp:start x="0" y="0"/>
                <wp:lineTo x="0" y="21514"/>
                <wp:lineTo x="21556" y="21514"/>
                <wp:lineTo x="21556"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612130" cy="2715895"/>
                    </a:xfrm>
                    <a:prstGeom prst="rect">
                      <a:avLst/>
                    </a:prstGeom>
                  </pic:spPr>
                </pic:pic>
              </a:graphicData>
            </a:graphic>
            <wp14:sizeRelH relativeFrom="page">
              <wp14:pctWidth>0</wp14:pctWidth>
            </wp14:sizeRelH>
            <wp14:sizeRelV relativeFrom="page">
              <wp14:pctHeight>0</wp14:pctHeight>
            </wp14:sizeRelV>
          </wp:anchor>
        </w:drawing>
      </w:r>
    </w:p>
    <w:p w14:paraId="07E03390" w14:textId="77777777" w:rsidR="004E4B1E" w:rsidRPr="00C43FCE" w:rsidRDefault="004E4B1E" w:rsidP="00C02282">
      <w:pPr>
        <w:jc w:val="center"/>
        <w:rPr>
          <w:rFonts w:ascii="Arial" w:eastAsia="Calibri" w:hAnsi="Arial" w:cs="Arial"/>
          <w:sz w:val="16"/>
          <w:szCs w:val="16"/>
        </w:rPr>
      </w:pPr>
    </w:p>
    <w:p w14:paraId="6CFDBBB6" w14:textId="200889A8" w:rsidR="00C02282" w:rsidRPr="00C43FCE" w:rsidRDefault="00C02282" w:rsidP="004E4B1E">
      <w:pPr>
        <w:jc w:val="center"/>
        <w:rPr>
          <w:rFonts w:ascii="Arial" w:eastAsia="Calibri" w:hAnsi="Arial" w:cs="Arial"/>
          <w:sz w:val="16"/>
          <w:szCs w:val="16"/>
        </w:rPr>
      </w:pPr>
      <w:r w:rsidRPr="00C43FCE">
        <w:rPr>
          <w:rFonts w:ascii="Arial" w:eastAsia="Calibri" w:hAnsi="Arial" w:cs="Arial"/>
          <w:sz w:val="16"/>
          <w:szCs w:val="16"/>
        </w:rPr>
        <w:t xml:space="preserve">Fuente: Sistema de Seguimiento a Proyectos de Inversión – SPI a </w:t>
      </w:r>
      <w:r w:rsidR="004E4B1E" w:rsidRPr="00C43FCE">
        <w:rPr>
          <w:rFonts w:ascii="Arial" w:eastAsia="Calibri" w:hAnsi="Arial" w:cs="Arial"/>
          <w:sz w:val="16"/>
          <w:szCs w:val="16"/>
        </w:rPr>
        <w:t xml:space="preserve">junio de 2018. </w:t>
      </w:r>
    </w:p>
    <w:p w14:paraId="5D172762" w14:textId="56559BC3" w:rsidR="00C02282" w:rsidRPr="00C43FCE" w:rsidRDefault="00C02282" w:rsidP="00C02282">
      <w:pPr>
        <w:pStyle w:val="Descripcin"/>
        <w:keepNext/>
        <w:jc w:val="center"/>
      </w:pPr>
      <w:bookmarkStart w:id="316" w:name="_Toc525652440"/>
      <w:r w:rsidRPr="00C43FCE">
        <w:t xml:space="preserve">Gráfica </w:t>
      </w:r>
      <w:r w:rsidR="00B6251B">
        <w:fldChar w:fldCharType="begin"/>
      </w:r>
      <w:r w:rsidR="00B6251B">
        <w:instrText xml:space="preserve"> SEQ Gráfica \* ARABIC </w:instrText>
      </w:r>
      <w:r w:rsidR="00B6251B">
        <w:fldChar w:fldCharType="separate"/>
      </w:r>
      <w:r w:rsidR="00B6251B">
        <w:rPr>
          <w:noProof/>
        </w:rPr>
        <w:t>27</w:t>
      </w:r>
      <w:r w:rsidR="00B6251B">
        <w:fldChar w:fldCharType="end"/>
      </w:r>
      <w:r w:rsidR="004E4B1E" w:rsidRPr="00C43FCE">
        <w:t xml:space="preserve"> </w:t>
      </w:r>
      <w:r w:rsidRPr="00C43FCE">
        <w:t xml:space="preserve">Informe de SPI del Ministerio de Minas y Energía a </w:t>
      </w:r>
      <w:r w:rsidR="004E4B1E" w:rsidRPr="00C43FCE">
        <w:t xml:space="preserve">junio </w:t>
      </w:r>
      <w:r w:rsidRPr="00C43FCE">
        <w:t xml:space="preserve"> de 2018</w:t>
      </w:r>
      <w:bookmarkEnd w:id="316"/>
    </w:p>
    <w:p w14:paraId="5C4EB497" w14:textId="1C8067D3" w:rsidR="00C02282" w:rsidRDefault="004E4B1E" w:rsidP="00C02282">
      <w:pPr>
        <w:jc w:val="center"/>
        <w:rPr>
          <w:noProof/>
          <w:lang w:eastAsia="es-CO"/>
        </w:rPr>
      </w:pPr>
      <w:r w:rsidRPr="00C43FCE">
        <w:rPr>
          <w:noProof/>
          <w:lang w:eastAsia="es-CO"/>
        </w:rPr>
        <w:drawing>
          <wp:inline distT="0" distB="0" distL="0" distR="0" wp14:anchorId="051BCC58" wp14:editId="167AF269">
            <wp:extent cx="4048125" cy="24479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048125" cy="2447925"/>
                    </a:xfrm>
                    <a:prstGeom prst="rect">
                      <a:avLst/>
                    </a:prstGeom>
                  </pic:spPr>
                </pic:pic>
              </a:graphicData>
            </a:graphic>
          </wp:inline>
        </w:drawing>
      </w:r>
    </w:p>
    <w:p w14:paraId="31C92532" w14:textId="77777777" w:rsidR="006B2A9D" w:rsidRDefault="006B2A9D" w:rsidP="00C02282">
      <w:pPr>
        <w:jc w:val="center"/>
        <w:rPr>
          <w:noProof/>
          <w:lang w:eastAsia="es-CO"/>
        </w:rPr>
      </w:pPr>
    </w:p>
    <w:p w14:paraId="0CA4C962" w14:textId="77777777" w:rsidR="006B2A9D" w:rsidRPr="00C43FCE" w:rsidRDefault="006B2A9D" w:rsidP="00C02282">
      <w:pPr>
        <w:jc w:val="center"/>
        <w:rPr>
          <w:noProof/>
          <w:lang w:eastAsia="es-CO"/>
        </w:rPr>
      </w:pPr>
    </w:p>
    <w:p w14:paraId="5272E477" w14:textId="3C274C70" w:rsidR="00C02282" w:rsidRPr="00C43FCE" w:rsidRDefault="00C02282" w:rsidP="00C02282">
      <w:pPr>
        <w:pStyle w:val="Descripcin"/>
        <w:keepNext/>
        <w:jc w:val="center"/>
      </w:pPr>
      <w:bookmarkStart w:id="317" w:name="_Toc525652579"/>
      <w:r w:rsidRPr="00C43FCE">
        <w:lastRenderedPageBreak/>
        <w:t xml:space="preserve">Tabla </w:t>
      </w:r>
      <w:r w:rsidRPr="00C43FCE">
        <w:fldChar w:fldCharType="begin"/>
      </w:r>
      <w:r w:rsidRPr="00C43FCE">
        <w:instrText xml:space="preserve"> SEQ Tabla \* ARABIC </w:instrText>
      </w:r>
      <w:r w:rsidRPr="00C43FCE">
        <w:fldChar w:fldCharType="separate"/>
      </w:r>
      <w:r w:rsidR="008B4625">
        <w:rPr>
          <w:noProof/>
        </w:rPr>
        <w:t>134</w:t>
      </w:r>
      <w:r w:rsidRPr="00C43FCE">
        <w:fldChar w:fldCharType="end"/>
      </w:r>
      <w:r w:rsidRPr="00C43FCE">
        <w:t xml:space="preserve"> Proyectos Ministerio de Minas y Energía a </w:t>
      </w:r>
      <w:r w:rsidR="004E4B1E" w:rsidRPr="00C43FCE">
        <w:t xml:space="preserve">junio </w:t>
      </w:r>
      <w:r w:rsidRPr="00C43FCE">
        <w:t xml:space="preserve"> de 2018 SPI</w:t>
      </w:r>
      <w:bookmarkEnd w:id="317"/>
    </w:p>
    <w:tbl>
      <w:tblPr>
        <w:tblW w:w="10460" w:type="dxa"/>
        <w:tblInd w:w="75" w:type="dxa"/>
        <w:tblCellMar>
          <w:left w:w="70" w:type="dxa"/>
          <w:right w:w="70" w:type="dxa"/>
        </w:tblCellMar>
        <w:tblLook w:val="04A0" w:firstRow="1" w:lastRow="0" w:firstColumn="1" w:lastColumn="0" w:noHBand="0" w:noVBand="1"/>
      </w:tblPr>
      <w:tblGrid>
        <w:gridCol w:w="1108"/>
        <w:gridCol w:w="1625"/>
        <w:gridCol w:w="4494"/>
        <w:gridCol w:w="807"/>
        <w:gridCol w:w="1041"/>
        <w:gridCol w:w="1385"/>
      </w:tblGrid>
      <w:tr w:rsidR="007A1C0E" w:rsidRPr="007A1C0E" w14:paraId="3B89FD63" w14:textId="77777777" w:rsidTr="007A1C0E">
        <w:trPr>
          <w:trHeight w:val="255"/>
          <w:tblHeader/>
        </w:trPr>
        <w:tc>
          <w:tcPr>
            <w:tcW w:w="1118"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09394B2B"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ENTIDAD</w:t>
            </w:r>
          </w:p>
        </w:tc>
        <w:tc>
          <w:tcPr>
            <w:tcW w:w="1515" w:type="dxa"/>
            <w:tcBorders>
              <w:top w:val="single" w:sz="4" w:space="0" w:color="auto"/>
              <w:left w:val="nil"/>
              <w:bottom w:val="single" w:sz="4" w:space="0" w:color="auto"/>
              <w:right w:val="single" w:sz="4" w:space="0" w:color="auto"/>
            </w:tcBorders>
            <w:shd w:val="clear" w:color="000000" w:fill="B0C4DE"/>
            <w:vAlign w:val="bottom"/>
            <w:hideMark/>
          </w:tcPr>
          <w:p w14:paraId="760568AA"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PROYECTO</w:t>
            </w:r>
          </w:p>
        </w:tc>
        <w:tc>
          <w:tcPr>
            <w:tcW w:w="4787" w:type="dxa"/>
            <w:tcBorders>
              <w:top w:val="single" w:sz="4" w:space="0" w:color="auto"/>
              <w:left w:val="nil"/>
              <w:bottom w:val="single" w:sz="4" w:space="0" w:color="auto"/>
              <w:right w:val="single" w:sz="4" w:space="0" w:color="auto"/>
            </w:tcBorders>
            <w:shd w:val="clear" w:color="000000" w:fill="B0C4DE"/>
            <w:vAlign w:val="bottom"/>
            <w:hideMark/>
          </w:tcPr>
          <w:p w14:paraId="488D3CDD"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NOMBRE_PROYECTO</w:t>
            </w:r>
          </w:p>
        </w:tc>
        <w:tc>
          <w:tcPr>
            <w:tcW w:w="760" w:type="dxa"/>
            <w:tcBorders>
              <w:top w:val="single" w:sz="4" w:space="0" w:color="auto"/>
              <w:left w:val="nil"/>
              <w:bottom w:val="single" w:sz="4" w:space="0" w:color="auto"/>
              <w:right w:val="single" w:sz="4" w:space="0" w:color="auto"/>
            </w:tcBorders>
            <w:shd w:val="clear" w:color="000000" w:fill="B0C4DE"/>
            <w:vAlign w:val="bottom"/>
            <w:hideMark/>
          </w:tcPr>
          <w:p w14:paraId="6D64D4E8"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FISICO</w:t>
            </w:r>
          </w:p>
        </w:tc>
        <w:tc>
          <w:tcPr>
            <w:tcW w:w="980" w:type="dxa"/>
            <w:tcBorders>
              <w:top w:val="single" w:sz="4" w:space="0" w:color="auto"/>
              <w:left w:val="nil"/>
              <w:bottom w:val="single" w:sz="4" w:space="0" w:color="auto"/>
              <w:right w:val="single" w:sz="4" w:space="0" w:color="auto"/>
            </w:tcBorders>
            <w:shd w:val="clear" w:color="000000" w:fill="B0C4DE"/>
            <w:vAlign w:val="bottom"/>
            <w:hideMark/>
          </w:tcPr>
          <w:p w14:paraId="5048B454"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GESTION</w:t>
            </w:r>
          </w:p>
        </w:tc>
        <w:tc>
          <w:tcPr>
            <w:tcW w:w="1300" w:type="dxa"/>
            <w:tcBorders>
              <w:top w:val="single" w:sz="4" w:space="0" w:color="auto"/>
              <w:left w:val="nil"/>
              <w:bottom w:val="single" w:sz="4" w:space="0" w:color="auto"/>
              <w:right w:val="single" w:sz="4" w:space="0" w:color="auto"/>
            </w:tcBorders>
            <w:shd w:val="clear" w:color="000000" w:fill="B0C4DE"/>
            <w:vAlign w:val="bottom"/>
            <w:hideMark/>
          </w:tcPr>
          <w:p w14:paraId="103AD1A9"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FINANCIERO</w:t>
            </w:r>
          </w:p>
        </w:tc>
      </w:tr>
      <w:tr w:rsidR="007A1C0E" w:rsidRPr="007A1C0E" w14:paraId="35161923"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37CA934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180321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'0023000310000</w:t>
            </w:r>
          </w:p>
        </w:tc>
        <w:tc>
          <w:tcPr>
            <w:tcW w:w="4787" w:type="dxa"/>
            <w:tcBorders>
              <w:top w:val="nil"/>
              <w:left w:val="nil"/>
              <w:bottom w:val="single" w:sz="4" w:space="0" w:color="auto"/>
              <w:right w:val="single" w:sz="4" w:space="0" w:color="auto"/>
            </w:tcBorders>
            <w:shd w:val="clear" w:color="auto" w:fill="auto"/>
            <w:vAlign w:val="bottom"/>
            <w:hideMark/>
          </w:tcPr>
          <w:p w14:paraId="5E0E00B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OPTIMIZACION Y ORGANIZACION ARCHIVISTICA DE DOCUMENTOS DEL ARCHIVOCENTRAL DEL MINISTERIO DE MINAS Y ENERGIA , BOGOTA D.C.</w:t>
            </w:r>
          </w:p>
        </w:tc>
        <w:tc>
          <w:tcPr>
            <w:tcW w:w="760" w:type="dxa"/>
            <w:tcBorders>
              <w:top w:val="nil"/>
              <w:left w:val="nil"/>
              <w:bottom w:val="single" w:sz="4" w:space="0" w:color="auto"/>
              <w:right w:val="single" w:sz="4" w:space="0" w:color="auto"/>
            </w:tcBorders>
            <w:shd w:val="clear" w:color="auto" w:fill="auto"/>
            <w:vAlign w:val="bottom"/>
            <w:hideMark/>
          </w:tcPr>
          <w:p w14:paraId="5A3DF8B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18</w:t>
            </w:r>
          </w:p>
        </w:tc>
        <w:tc>
          <w:tcPr>
            <w:tcW w:w="980" w:type="dxa"/>
            <w:tcBorders>
              <w:top w:val="nil"/>
              <w:left w:val="nil"/>
              <w:bottom w:val="single" w:sz="4" w:space="0" w:color="auto"/>
              <w:right w:val="single" w:sz="4" w:space="0" w:color="auto"/>
            </w:tcBorders>
            <w:shd w:val="clear" w:color="auto" w:fill="auto"/>
            <w:vAlign w:val="bottom"/>
            <w:hideMark/>
          </w:tcPr>
          <w:p w14:paraId="167A8F7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67</w:t>
            </w:r>
          </w:p>
        </w:tc>
        <w:tc>
          <w:tcPr>
            <w:tcW w:w="1300" w:type="dxa"/>
            <w:tcBorders>
              <w:top w:val="nil"/>
              <w:left w:val="nil"/>
              <w:bottom w:val="single" w:sz="4" w:space="0" w:color="auto"/>
              <w:right w:val="single" w:sz="4" w:space="0" w:color="auto"/>
            </w:tcBorders>
            <w:shd w:val="clear" w:color="auto" w:fill="auto"/>
            <w:vAlign w:val="bottom"/>
            <w:hideMark/>
          </w:tcPr>
          <w:p w14:paraId="76DDC68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15,83</w:t>
            </w:r>
          </w:p>
        </w:tc>
      </w:tr>
      <w:tr w:rsidR="007A1C0E" w:rsidRPr="007A1C0E" w14:paraId="37D1D47B"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2BCF235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48C83D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'0023000450000</w:t>
            </w:r>
          </w:p>
        </w:tc>
        <w:tc>
          <w:tcPr>
            <w:tcW w:w="4787" w:type="dxa"/>
            <w:tcBorders>
              <w:top w:val="nil"/>
              <w:left w:val="nil"/>
              <w:bottom w:val="single" w:sz="4" w:space="0" w:color="auto"/>
              <w:right w:val="single" w:sz="4" w:space="0" w:color="auto"/>
            </w:tcBorders>
            <w:shd w:val="clear" w:color="auto" w:fill="auto"/>
            <w:vAlign w:val="bottom"/>
            <w:hideMark/>
          </w:tcPr>
          <w:p w14:paraId="5DAAE63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ASESORIA PARA EL ANALISIS Y FORMULACION DEL DESARROLLO DEL SUBSECTOR DE HIDROCARBUROS NACIONAL</w:t>
            </w:r>
          </w:p>
        </w:tc>
        <w:tc>
          <w:tcPr>
            <w:tcW w:w="760" w:type="dxa"/>
            <w:tcBorders>
              <w:top w:val="nil"/>
              <w:left w:val="nil"/>
              <w:bottom w:val="single" w:sz="4" w:space="0" w:color="auto"/>
              <w:right w:val="single" w:sz="4" w:space="0" w:color="auto"/>
            </w:tcBorders>
            <w:shd w:val="clear" w:color="auto" w:fill="auto"/>
            <w:vAlign w:val="bottom"/>
            <w:hideMark/>
          </w:tcPr>
          <w:p w14:paraId="004F73C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w:t>
            </w:r>
          </w:p>
        </w:tc>
        <w:tc>
          <w:tcPr>
            <w:tcW w:w="980" w:type="dxa"/>
            <w:tcBorders>
              <w:top w:val="nil"/>
              <w:left w:val="nil"/>
              <w:bottom w:val="single" w:sz="4" w:space="0" w:color="auto"/>
              <w:right w:val="single" w:sz="4" w:space="0" w:color="auto"/>
            </w:tcBorders>
            <w:shd w:val="clear" w:color="auto" w:fill="auto"/>
            <w:vAlign w:val="bottom"/>
            <w:hideMark/>
          </w:tcPr>
          <w:p w14:paraId="031A377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25</w:t>
            </w:r>
          </w:p>
        </w:tc>
        <w:tc>
          <w:tcPr>
            <w:tcW w:w="1300" w:type="dxa"/>
            <w:tcBorders>
              <w:top w:val="nil"/>
              <w:left w:val="nil"/>
              <w:bottom w:val="single" w:sz="4" w:space="0" w:color="auto"/>
              <w:right w:val="single" w:sz="4" w:space="0" w:color="auto"/>
            </w:tcBorders>
            <w:shd w:val="clear" w:color="auto" w:fill="auto"/>
            <w:vAlign w:val="bottom"/>
            <w:hideMark/>
          </w:tcPr>
          <w:p w14:paraId="1FCDDE3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3,08</w:t>
            </w:r>
          </w:p>
        </w:tc>
      </w:tr>
      <w:tr w:rsidR="007A1C0E" w:rsidRPr="007A1C0E" w14:paraId="0D0E0C92"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07D152B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045EA7A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'0023000730000</w:t>
            </w:r>
          </w:p>
        </w:tc>
        <w:tc>
          <w:tcPr>
            <w:tcW w:w="4787" w:type="dxa"/>
            <w:tcBorders>
              <w:top w:val="nil"/>
              <w:left w:val="nil"/>
              <w:bottom w:val="single" w:sz="4" w:space="0" w:color="auto"/>
              <w:right w:val="single" w:sz="4" w:space="0" w:color="auto"/>
            </w:tcBorders>
            <w:shd w:val="clear" w:color="auto" w:fill="auto"/>
            <w:vAlign w:val="bottom"/>
            <w:hideMark/>
          </w:tcPr>
          <w:p w14:paraId="3E52402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IMPLEMENTACION COMPENSACION POR EL TRANSPORTE DE COMBUSTIBLES LIQUIDOS DERIVADOS DEL PETROLEO ENTRE YUMBO Y LA CIUDAD DE PASTO</w:t>
            </w:r>
          </w:p>
        </w:tc>
        <w:tc>
          <w:tcPr>
            <w:tcW w:w="760" w:type="dxa"/>
            <w:tcBorders>
              <w:top w:val="nil"/>
              <w:left w:val="nil"/>
              <w:bottom w:val="single" w:sz="4" w:space="0" w:color="auto"/>
              <w:right w:val="single" w:sz="4" w:space="0" w:color="auto"/>
            </w:tcBorders>
            <w:shd w:val="clear" w:color="auto" w:fill="auto"/>
            <w:vAlign w:val="bottom"/>
            <w:hideMark/>
          </w:tcPr>
          <w:p w14:paraId="74730DF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99</w:t>
            </w:r>
          </w:p>
        </w:tc>
        <w:tc>
          <w:tcPr>
            <w:tcW w:w="980" w:type="dxa"/>
            <w:tcBorders>
              <w:top w:val="nil"/>
              <w:left w:val="nil"/>
              <w:bottom w:val="single" w:sz="4" w:space="0" w:color="auto"/>
              <w:right w:val="single" w:sz="4" w:space="0" w:color="auto"/>
            </w:tcBorders>
            <w:shd w:val="clear" w:color="auto" w:fill="auto"/>
            <w:vAlign w:val="bottom"/>
            <w:hideMark/>
          </w:tcPr>
          <w:p w14:paraId="7CECF1E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42</w:t>
            </w:r>
          </w:p>
        </w:tc>
        <w:tc>
          <w:tcPr>
            <w:tcW w:w="1300" w:type="dxa"/>
            <w:tcBorders>
              <w:top w:val="nil"/>
              <w:left w:val="nil"/>
              <w:bottom w:val="single" w:sz="4" w:space="0" w:color="auto"/>
              <w:right w:val="single" w:sz="4" w:space="0" w:color="auto"/>
            </w:tcBorders>
            <w:shd w:val="clear" w:color="auto" w:fill="auto"/>
            <w:vAlign w:val="bottom"/>
            <w:hideMark/>
          </w:tcPr>
          <w:p w14:paraId="290A593C"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34,78</w:t>
            </w:r>
          </w:p>
        </w:tc>
      </w:tr>
      <w:tr w:rsidR="007A1C0E" w:rsidRPr="007A1C0E" w14:paraId="40CBE035"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6F04F23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BCDE6A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'0023001140000</w:t>
            </w:r>
          </w:p>
        </w:tc>
        <w:tc>
          <w:tcPr>
            <w:tcW w:w="4787" w:type="dxa"/>
            <w:tcBorders>
              <w:top w:val="nil"/>
              <w:left w:val="nil"/>
              <w:bottom w:val="single" w:sz="4" w:space="0" w:color="auto"/>
              <w:right w:val="single" w:sz="4" w:space="0" w:color="auto"/>
            </w:tcBorders>
            <w:shd w:val="clear" w:color="auto" w:fill="auto"/>
            <w:vAlign w:val="bottom"/>
            <w:hideMark/>
          </w:tcPr>
          <w:p w14:paraId="15165C1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DIAGNOSTICO MINERO AMBIENTAL DE LOS PASIVOS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15D722B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11</w:t>
            </w:r>
          </w:p>
        </w:tc>
        <w:tc>
          <w:tcPr>
            <w:tcW w:w="980" w:type="dxa"/>
            <w:tcBorders>
              <w:top w:val="nil"/>
              <w:left w:val="nil"/>
              <w:bottom w:val="single" w:sz="4" w:space="0" w:color="auto"/>
              <w:right w:val="single" w:sz="4" w:space="0" w:color="auto"/>
            </w:tcBorders>
            <w:shd w:val="clear" w:color="auto" w:fill="auto"/>
            <w:vAlign w:val="bottom"/>
            <w:hideMark/>
          </w:tcPr>
          <w:p w14:paraId="795B89D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w:t>
            </w:r>
          </w:p>
        </w:tc>
        <w:tc>
          <w:tcPr>
            <w:tcW w:w="1300" w:type="dxa"/>
            <w:tcBorders>
              <w:top w:val="nil"/>
              <w:left w:val="nil"/>
              <w:bottom w:val="single" w:sz="4" w:space="0" w:color="auto"/>
              <w:right w:val="single" w:sz="4" w:space="0" w:color="auto"/>
            </w:tcBorders>
            <w:shd w:val="clear" w:color="auto" w:fill="auto"/>
            <w:vAlign w:val="bottom"/>
            <w:hideMark/>
          </w:tcPr>
          <w:p w14:paraId="47C3E24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7,11</w:t>
            </w:r>
          </w:p>
        </w:tc>
      </w:tr>
      <w:tr w:rsidR="007A1C0E" w:rsidRPr="007A1C0E" w14:paraId="38E751C6"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6865301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0CF3A0B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'0023002360000</w:t>
            </w:r>
          </w:p>
        </w:tc>
        <w:tc>
          <w:tcPr>
            <w:tcW w:w="4787" w:type="dxa"/>
            <w:tcBorders>
              <w:top w:val="nil"/>
              <w:left w:val="nil"/>
              <w:bottom w:val="single" w:sz="4" w:space="0" w:color="auto"/>
              <w:right w:val="single" w:sz="4" w:space="0" w:color="auto"/>
            </w:tcBorders>
            <w:shd w:val="clear" w:color="auto" w:fill="auto"/>
            <w:vAlign w:val="bottom"/>
            <w:hideMark/>
          </w:tcPr>
          <w:p w14:paraId="7969D16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ASESORIA TÉCNICA PARA EL SEGUIMIENTO A LOS CONTRATOS Y CONVENIOS DEL SUBSECTOR GAS COMBUSTIBLE NACIONAL</w:t>
            </w:r>
          </w:p>
        </w:tc>
        <w:tc>
          <w:tcPr>
            <w:tcW w:w="760" w:type="dxa"/>
            <w:tcBorders>
              <w:top w:val="nil"/>
              <w:left w:val="nil"/>
              <w:bottom w:val="single" w:sz="4" w:space="0" w:color="auto"/>
              <w:right w:val="single" w:sz="4" w:space="0" w:color="auto"/>
            </w:tcBorders>
            <w:shd w:val="clear" w:color="auto" w:fill="auto"/>
            <w:vAlign w:val="bottom"/>
            <w:hideMark/>
          </w:tcPr>
          <w:p w14:paraId="6B92D0A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50</w:t>
            </w:r>
          </w:p>
        </w:tc>
        <w:tc>
          <w:tcPr>
            <w:tcW w:w="980" w:type="dxa"/>
            <w:tcBorders>
              <w:top w:val="nil"/>
              <w:left w:val="nil"/>
              <w:bottom w:val="single" w:sz="4" w:space="0" w:color="auto"/>
              <w:right w:val="single" w:sz="4" w:space="0" w:color="auto"/>
            </w:tcBorders>
            <w:shd w:val="clear" w:color="auto" w:fill="auto"/>
            <w:vAlign w:val="bottom"/>
            <w:hideMark/>
          </w:tcPr>
          <w:p w14:paraId="7A5B831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44</w:t>
            </w:r>
          </w:p>
        </w:tc>
        <w:tc>
          <w:tcPr>
            <w:tcW w:w="1300" w:type="dxa"/>
            <w:tcBorders>
              <w:top w:val="nil"/>
              <w:left w:val="nil"/>
              <w:bottom w:val="single" w:sz="4" w:space="0" w:color="auto"/>
              <w:right w:val="single" w:sz="4" w:space="0" w:color="auto"/>
            </w:tcBorders>
            <w:shd w:val="clear" w:color="auto" w:fill="auto"/>
            <w:vAlign w:val="bottom"/>
            <w:hideMark/>
          </w:tcPr>
          <w:p w14:paraId="23C0DCE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20,05</w:t>
            </w:r>
          </w:p>
        </w:tc>
      </w:tr>
      <w:tr w:rsidR="007A1C0E" w:rsidRPr="007A1C0E" w14:paraId="6F48922A"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D38FA3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DE2D47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'0023003580000</w:t>
            </w:r>
          </w:p>
        </w:tc>
        <w:tc>
          <w:tcPr>
            <w:tcW w:w="4787" w:type="dxa"/>
            <w:tcBorders>
              <w:top w:val="nil"/>
              <w:left w:val="nil"/>
              <w:bottom w:val="single" w:sz="4" w:space="0" w:color="auto"/>
              <w:right w:val="single" w:sz="4" w:space="0" w:color="auto"/>
            </w:tcBorders>
            <w:shd w:val="clear" w:color="auto" w:fill="auto"/>
            <w:vAlign w:val="bottom"/>
            <w:hideMark/>
          </w:tcPr>
          <w:p w14:paraId="71FC8DB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IMPLEMENTAR Y MANTENER ACTUALIZADA LA INFRAESTRUCTURA TIC DEL SECTOR MINERO ENERGÉTICO DE ACUERDO AL PETIC SECTORIAL – BOGOTÁ</w:t>
            </w:r>
          </w:p>
        </w:tc>
        <w:tc>
          <w:tcPr>
            <w:tcW w:w="760" w:type="dxa"/>
            <w:tcBorders>
              <w:top w:val="nil"/>
              <w:left w:val="nil"/>
              <w:bottom w:val="single" w:sz="4" w:space="0" w:color="auto"/>
              <w:right w:val="single" w:sz="4" w:space="0" w:color="auto"/>
            </w:tcBorders>
            <w:shd w:val="clear" w:color="auto" w:fill="auto"/>
            <w:vAlign w:val="bottom"/>
            <w:hideMark/>
          </w:tcPr>
          <w:p w14:paraId="00D5E58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89</w:t>
            </w:r>
          </w:p>
        </w:tc>
        <w:tc>
          <w:tcPr>
            <w:tcW w:w="980" w:type="dxa"/>
            <w:tcBorders>
              <w:top w:val="nil"/>
              <w:left w:val="nil"/>
              <w:bottom w:val="single" w:sz="4" w:space="0" w:color="auto"/>
              <w:right w:val="single" w:sz="4" w:space="0" w:color="auto"/>
            </w:tcBorders>
            <w:shd w:val="clear" w:color="auto" w:fill="auto"/>
            <w:vAlign w:val="bottom"/>
            <w:hideMark/>
          </w:tcPr>
          <w:p w14:paraId="28D30E2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75</w:t>
            </w:r>
          </w:p>
        </w:tc>
        <w:tc>
          <w:tcPr>
            <w:tcW w:w="1300" w:type="dxa"/>
            <w:tcBorders>
              <w:top w:val="nil"/>
              <w:left w:val="nil"/>
              <w:bottom w:val="single" w:sz="4" w:space="0" w:color="auto"/>
              <w:right w:val="single" w:sz="4" w:space="0" w:color="auto"/>
            </w:tcBorders>
            <w:shd w:val="clear" w:color="auto" w:fill="auto"/>
            <w:vAlign w:val="bottom"/>
            <w:hideMark/>
          </w:tcPr>
          <w:p w14:paraId="43D220F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21,28</w:t>
            </w:r>
          </w:p>
        </w:tc>
      </w:tr>
      <w:tr w:rsidR="007A1C0E" w:rsidRPr="007A1C0E" w14:paraId="13A1F219" w14:textId="77777777" w:rsidTr="007A1C0E">
        <w:trPr>
          <w:trHeight w:val="153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E1C4E5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EF64DD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'0023003820000</w:t>
            </w:r>
          </w:p>
        </w:tc>
        <w:tc>
          <w:tcPr>
            <w:tcW w:w="4787" w:type="dxa"/>
            <w:tcBorders>
              <w:top w:val="nil"/>
              <w:left w:val="nil"/>
              <w:bottom w:val="single" w:sz="4" w:space="0" w:color="auto"/>
              <w:right w:val="single" w:sz="4" w:space="0" w:color="auto"/>
            </w:tcBorders>
            <w:shd w:val="clear" w:color="auto" w:fill="auto"/>
            <w:vAlign w:val="bottom"/>
            <w:hideMark/>
          </w:tcPr>
          <w:p w14:paraId="3A1478E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ASESORIA , DISEÑO, ADQUISICION, MANTENIMIENTO Y CONSTRUCCION DEL SISTEMA DE INFORMACION DE LA CADENA DE DISTRIBUCION DE COMBUSTIBLES LIQUIDIOS DEREIVADOS DEL PETROLEO - SICOM - REGION NACIONAL</w:t>
            </w:r>
          </w:p>
        </w:tc>
        <w:tc>
          <w:tcPr>
            <w:tcW w:w="760" w:type="dxa"/>
            <w:tcBorders>
              <w:top w:val="nil"/>
              <w:left w:val="nil"/>
              <w:bottom w:val="single" w:sz="4" w:space="0" w:color="auto"/>
              <w:right w:val="single" w:sz="4" w:space="0" w:color="auto"/>
            </w:tcBorders>
            <w:shd w:val="clear" w:color="auto" w:fill="auto"/>
            <w:vAlign w:val="bottom"/>
            <w:hideMark/>
          </w:tcPr>
          <w:p w14:paraId="3E6F53A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71</w:t>
            </w:r>
          </w:p>
        </w:tc>
        <w:tc>
          <w:tcPr>
            <w:tcW w:w="980" w:type="dxa"/>
            <w:tcBorders>
              <w:top w:val="nil"/>
              <w:left w:val="nil"/>
              <w:bottom w:val="single" w:sz="4" w:space="0" w:color="auto"/>
              <w:right w:val="single" w:sz="4" w:space="0" w:color="auto"/>
            </w:tcBorders>
            <w:shd w:val="clear" w:color="auto" w:fill="auto"/>
            <w:vAlign w:val="bottom"/>
            <w:hideMark/>
          </w:tcPr>
          <w:p w14:paraId="4FE8A1FB"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100</w:t>
            </w:r>
          </w:p>
        </w:tc>
        <w:tc>
          <w:tcPr>
            <w:tcW w:w="1300" w:type="dxa"/>
            <w:tcBorders>
              <w:top w:val="nil"/>
              <w:left w:val="nil"/>
              <w:bottom w:val="single" w:sz="4" w:space="0" w:color="auto"/>
              <w:right w:val="single" w:sz="4" w:space="0" w:color="auto"/>
            </w:tcBorders>
            <w:shd w:val="clear" w:color="auto" w:fill="auto"/>
            <w:vAlign w:val="bottom"/>
            <w:hideMark/>
          </w:tcPr>
          <w:p w14:paraId="2A9AE72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27,71</w:t>
            </w:r>
          </w:p>
        </w:tc>
      </w:tr>
      <w:tr w:rsidR="007A1C0E" w:rsidRPr="007A1C0E" w14:paraId="2C5B372D"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6D16E6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B84CCD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'0027009219999</w:t>
            </w:r>
          </w:p>
        </w:tc>
        <w:tc>
          <w:tcPr>
            <w:tcW w:w="4787" w:type="dxa"/>
            <w:tcBorders>
              <w:top w:val="nil"/>
              <w:left w:val="nil"/>
              <w:bottom w:val="single" w:sz="4" w:space="0" w:color="auto"/>
              <w:right w:val="single" w:sz="4" w:space="0" w:color="auto"/>
            </w:tcBorders>
            <w:shd w:val="clear" w:color="auto" w:fill="auto"/>
            <w:vAlign w:val="bottom"/>
            <w:hideMark/>
          </w:tcPr>
          <w:p w14:paraId="60B33E2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DISTRIBUCION DE RECURSOS PARA PAGOS POR MENORES TARIFAS SECTOR ELECTRICO</w:t>
            </w:r>
          </w:p>
        </w:tc>
        <w:tc>
          <w:tcPr>
            <w:tcW w:w="760" w:type="dxa"/>
            <w:tcBorders>
              <w:top w:val="nil"/>
              <w:left w:val="nil"/>
              <w:bottom w:val="single" w:sz="4" w:space="0" w:color="auto"/>
              <w:right w:val="single" w:sz="4" w:space="0" w:color="auto"/>
            </w:tcBorders>
            <w:shd w:val="clear" w:color="auto" w:fill="auto"/>
            <w:vAlign w:val="bottom"/>
            <w:hideMark/>
          </w:tcPr>
          <w:p w14:paraId="576352B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100</w:t>
            </w:r>
          </w:p>
        </w:tc>
        <w:tc>
          <w:tcPr>
            <w:tcW w:w="980" w:type="dxa"/>
            <w:tcBorders>
              <w:top w:val="nil"/>
              <w:left w:val="nil"/>
              <w:bottom w:val="single" w:sz="4" w:space="0" w:color="auto"/>
              <w:right w:val="single" w:sz="4" w:space="0" w:color="auto"/>
            </w:tcBorders>
            <w:shd w:val="clear" w:color="auto" w:fill="auto"/>
            <w:vAlign w:val="bottom"/>
            <w:hideMark/>
          </w:tcPr>
          <w:p w14:paraId="1869822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17</w:t>
            </w:r>
          </w:p>
        </w:tc>
        <w:tc>
          <w:tcPr>
            <w:tcW w:w="1300" w:type="dxa"/>
            <w:tcBorders>
              <w:top w:val="nil"/>
              <w:left w:val="nil"/>
              <w:bottom w:val="single" w:sz="4" w:space="0" w:color="auto"/>
              <w:right w:val="single" w:sz="4" w:space="0" w:color="auto"/>
            </w:tcBorders>
            <w:shd w:val="clear" w:color="auto" w:fill="auto"/>
            <w:vAlign w:val="bottom"/>
            <w:hideMark/>
          </w:tcPr>
          <w:p w14:paraId="22B2470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62,6</w:t>
            </w:r>
          </w:p>
        </w:tc>
      </w:tr>
      <w:tr w:rsidR="007A1C0E" w:rsidRPr="007A1C0E" w14:paraId="73544303" w14:textId="77777777" w:rsidTr="007A1C0E">
        <w:trPr>
          <w:trHeight w:val="127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260813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0B49892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'2011011000191</w:t>
            </w:r>
          </w:p>
        </w:tc>
        <w:tc>
          <w:tcPr>
            <w:tcW w:w="4787" w:type="dxa"/>
            <w:tcBorders>
              <w:top w:val="nil"/>
              <w:left w:val="nil"/>
              <w:bottom w:val="single" w:sz="4" w:space="0" w:color="auto"/>
              <w:right w:val="single" w:sz="4" w:space="0" w:color="auto"/>
            </w:tcBorders>
            <w:shd w:val="clear" w:color="auto" w:fill="auto"/>
            <w:vAlign w:val="bottom"/>
            <w:hideMark/>
          </w:tcPr>
          <w:p w14:paraId="1F1F47CE"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CONTROL OPERATIVO A LA DISTRIBUCIÓN DE COMBUSTIBLE LÍQUIDOS DERIVADOS DEL PETRÓLEO, AL CONTRABANDO Y A LA DESTINACIÓN ILÍCITA DE ESTOS PRODUCTOS EN ZONAS DE FRONTERA</w:t>
            </w:r>
          </w:p>
        </w:tc>
        <w:tc>
          <w:tcPr>
            <w:tcW w:w="760" w:type="dxa"/>
            <w:tcBorders>
              <w:top w:val="nil"/>
              <w:left w:val="nil"/>
              <w:bottom w:val="single" w:sz="4" w:space="0" w:color="auto"/>
              <w:right w:val="single" w:sz="4" w:space="0" w:color="auto"/>
            </w:tcBorders>
            <w:shd w:val="clear" w:color="auto" w:fill="auto"/>
            <w:vAlign w:val="bottom"/>
            <w:hideMark/>
          </w:tcPr>
          <w:p w14:paraId="0E126AE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w:t>
            </w:r>
          </w:p>
        </w:tc>
        <w:tc>
          <w:tcPr>
            <w:tcW w:w="980" w:type="dxa"/>
            <w:tcBorders>
              <w:top w:val="nil"/>
              <w:left w:val="nil"/>
              <w:bottom w:val="single" w:sz="4" w:space="0" w:color="auto"/>
              <w:right w:val="single" w:sz="4" w:space="0" w:color="auto"/>
            </w:tcBorders>
            <w:shd w:val="clear" w:color="auto" w:fill="auto"/>
            <w:vAlign w:val="bottom"/>
            <w:hideMark/>
          </w:tcPr>
          <w:p w14:paraId="739AE05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19,8</w:t>
            </w:r>
          </w:p>
        </w:tc>
        <w:tc>
          <w:tcPr>
            <w:tcW w:w="1300" w:type="dxa"/>
            <w:tcBorders>
              <w:top w:val="nil"/>
              <w:left w:val="nil"/>
              <w:bottom w:val="single" w:sz="4" w:space="0" w:color="auto"/>
              <w:right w:val="single" w:sz="4" w:space="0" w:color="auto"/>
            </w:tcBorders>
            <w:shd w:val="clear" w:color="auto" w:fill="auto"/>
            <w:vAlign w:val="bottom"/>
            <w:hideMark/>
          </w:tcPr>
          <w:p w14:paraId="179CBEE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1,03</w:t>
            </w:r>
          </w:p>
        </w:tc>
      </w:tr>
      <w:tr w:rsidR="007A1C0E" w:rsidRPr="007A1C0E" w14:paraId="7AFC7CAA"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029BB28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A1D3A1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'2011011000461</w:t>
            </w:r>
          </w:p>
        </w:tc>
        <w:tc>
          <w:tcPr>
            <w:tcW w:w="4787" w:type="dxa"/>
            <w:tcBorders>
              <w:top w:val="nil"/>
              <w:left w:val="nil"/>
              <w:bottom w:val="single" w:sz="4" w:space="0" w:color="auto"/>
              <w:right w:val="single" w:sz="4" w:space="0" w:color="auto"/>
            </w:tcBorders>
            <w:shd w:val="clear" w:color="auto" w:fill="auto"/>
            <w:vAlign w:val="bottom"/>
            <w:hideMark/>
          </w:tcPr>
          <w:p w14:paraId="3E49612A"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DISTRIBUCIÓN DE RECURSOS PARA PAGOS POR MENORES TARIFAS SECTOR GAS COMBUSTIBLE DOMICILIARIO POR RED A NIVEL NACIONAL</w:t>
            </w:r>
          </w:p>
        </w:tc>
        <w:tc>
          <w:tcPr>
            <w:tcW w:w="760" w:type="dxa"/>
            <w:tcBorders>
              <w:top w:val="nil"/>
              <w:left w:val="nil"/>
              <w:bottom w:val="single" w:sz="4" w:space="0" w:color="auto"/>
              <w:right w:val="single" w:sz="4" w:space="0" w:color="auto"/>
            </w:tcBorders>
            <w:shd w:val="clear" w:color="auto" w:fill="auto"/>
            <w:vAlign w:val="bottom"/>
            <w:hideMark/>
          </w:tcPr>
          <w:p w14:paraId="2021619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100</w:t>
            </w:r>
          </w:p>
        </w:tc>
        <w:tc>
          <w:tcPr>
            <w:tcW w:w="980" w:type="dxa"/>
            <w:tcBorders>
              <w:top w:val="nil"/>
              <w:left w:val="nil"/>
              <w:bottom w:val="single" w:sz="4" w:space="0" w:color="auto"/>
              <w:right w:val="single" w:sz="4" w:space="0" w:color="auto"/>
            </w:tcBorders>
            <w:shd w:val="clear" w:color="auto" w:fill="auto"/>
            <w:vAlign w:val="bottom"/>
            <w:hideMark/>
          </w:tcPr>
          <w:p w14:paraId="3BA90BA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36</w:t>
            </w:r>
          </w:p>
        </w:tc>
        <w:tc>
          <w:tcPr>
            <w:tcW w:w="1300" w:type="dxa"/>
            <w:tcBorders>
              <w:top w:val="nil"/>
              <w:left w:val="nil"/>
              <w:bottom w:val="single" w:sz="4" w:space="0" w:color="auto"/>
              <w:right w:val="single" w:sz="4" w:space="0" w:color="auto"/>
            </w:tcBorders>
            <w:shd w:val="clear" w:color="auto" w:fill="auto"/>
            <w:vAlign w:val="bottom"/>
            <w:hideMark/>
          </w:tcPr>
          <w:p w14:paraId="5F31224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23,46</w:t>
            </w:r>
          </w:p>
        </w:tc>
      </w:tr>
      <w:tr w:rsidR="007A1C0E" w:rsidRPr="007A1C0E" w14:paraId="34293CF0"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347908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B804DCE"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'2012011000095</w:t>
            </w:r>
          </w:p>
        </w:tc>
        <w:tc>
          <w:tcPr>
            <w:tcW w:w="4787" w:type="dxa"/>
            <w:tcBorders>
              <w:top w:val="nil"/>
              <w:left w:val="nil"/>
              <w:bottom w:val="single" w:sz="4" w:space="0" w:color="auto"/>
              <w:right w:val="single" w:sz="4" w:space="0" w:color="auto"/>
            </w:tcBorders>
            <w:shd w:val="clear" w:color="auto" w:fill="auto"/>
            <w:vAlign w:val="bottom"/>
            <w:hideMark/>
          </w:tcPr>
          <w:p w14:paraId="7435AB9A"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CONTROL A LA EXPLOTACIÓN ILÍCITA DE MINERALES COLOMBIA</w:t>
            </w:r>
          </w:p>
        </w:tc>
        <w:tc>
          <w:tcPr>
            <w:tcW w:w="760" w:type="dxa"/>
            <w:tcBorders>
              <w:top w:val="nil"/>
              <w:left w:val="nil"/>
              <w:bottom w:val="single" w:sz="4" w:space="0" w:color="auto"/>
              <w:right w:val="single" w:sz="4" w:space="0" w:color="auto"/>
            </w:tcBorders>
            <w:shd w:val="clear" w:color="auto" w:fill="auto"/>
            <w:vAlign w:val="bottom"/>
            <w:hideMark/>
          </w:tcPr>
          <w:p w14:paraId="4A0535F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62</w:t>
            </w:r>
          </w:p>
        </w:tc>
        <w:tc>
          <w:tcPr>
            <w:tcW w:w="980" w:type="dxa"/>
            <w:tcBorders>
              <w:top w:val="nil"/>
              <w:left w:val="nil"/>
              <w:bottom w:val="single" w:sz="4" w:space="0" w:color="auto"/>
              <w:right w:val="single" w:sz="4" w:space="0" w:color="auto"/>
            </w:tcBorders>
            <w:shd w:val="clear" w:color="auto" w:fill="auto"/>
            <w:vAlign w:val="bottom"/>
            <w:hideMark/>
          </w:tcPr>
          <w:p w14:paraId="44F545A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75</w:t>
            </w:r>
          </w:p>
        </w:tc>
        <w:tc>
          <w:tcPr>
            <w:tcW w:w="1300" w:type="dxa"/>
            <w:tcBorders>
              <w:top w:val="nil"/>
              <w:left w:val="nil"/>
              <w:bottom w:val="single" w:sz="4" w:space="0" w:color="auto"/>
              <w:right w:val="single" w:sz="4" w:space="0" w:color="auto"/>
            </w:tcBorders>
            <w:shd w:val="clear" w:color="auto" w:fill="auto"/>
            <w:vAlign w:val="bottom"/>
            <w:hideMark/>
          </w:tcPr>
          <w:p w14:paraId="107D5B6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59,6</w:t>
            </w:r>
          </w:p>
        </w:tc>
      </w:tr>
      <w:tr w:rsidR="007A1C0E" w:rsidRPr="007A1C0E" w14:paraId="265D5A22"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2D13A2F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55EFCF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'2012011000096</w:t>
            </w:r>
          </w:p>
        </w:tc>
        <w:tc>
          <w:tcPr>
            <w:tcW w:w="4787" w:type="dxa"/>
            <w:tcBorders>
              <w:top w:val="nil"/>
              <w:left w:val="nil"/>
              <w:bottom w:val="single" w:sz="4" w:space="0" w:color="auto"/>
              <w:right w:val="single" w:sz="4" w:space="0" w:color="auto"/>
            </w:tcBorders>
            <w:shd w:val="clear" w:color="auto" w:fill="auto"/>
            <w:vAlign w:val="bottom"/>
            <w:hideMark/>
          </w:tcPr>
          <w:p w14:paraId="081CAFB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CONSTRUCCIÓN E IMPLEMENTACIÓN DEL PROGRAMA DE FORMALIZACIÓN MINERA</w:t>
            </w:r>
          </w:p>
        </w:tc>
        <w:tc>
          <w:tcPr>
            <w:tcW w:w="760" w:type="dxa"/>
            <w:tcBorders>
              <w:top w:val="nil"/>
              <w:left w:val="nil"/>
              <w:bottom w:val="single" w:sz="4" w:space="0" w:color="auto"/>
              <w:right w:val="single" w:sz="4" w:space="0" w:color="auto"/>
            </w:tcBorders>
            <w:shd w:val="clear" w:color="auto" w:fill="auto"/>
            <w:vAlign w:val="bottom"/>
            <w:hideMark/>
          </w:tcPr>
          <w:p w14:paraId="4F8E84C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42</w:t>
            </w:r>
          </w:p>
        </w:tc>
        <w:tc>
          <w:tcPr>
            <w:tcW w:w="980" w:type="dxa"/>
            <w:tcBorders>
              <w:top w:val="nil"/>
              <w:left w:val="nil"/>
              <w:bottom w:val="single" w:sz="4" w:space="0" w:color="auto"/>
              <w:right w:val="single" w:sz="4" w:space="0" w:color="auto"/>
            </w:tcBorders>
            <w:shd w:val="clear" w:color="auto" w:fill="auto"/>
            <w:vAlign w:val="bottom"/>
            <w:hideMark/>
          </w:tcPr>
          <w:p w14:paraId="2987C89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7,2</w:t>
            </w:r>
          </w:p>
        </w:tc>
        <w:tc>
          <w:tcPr>
            <w:tcW w:w="1300" w:type="dxa"/>
            <w:tcBorders>
              <w:top w:val="nil"/>
              <w:left w:val="nil"/>
              <w:bottom w:val="single" w:sz="4" w:space="0" w:color="auto"/>
              <w:right w:val="single" w:sz="4" w:space="0" w:color="auto"/>
            </w:tcBorders>
            <w:shd w:val="clear" w:color="auto" w:fill="auto"/>
            <w:vAlign w:val="bottom"/>
            <w:hideMark/>
          </w:tcPr>
          <w:p w14:paraId="59261E1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39</w:t>
            </w:r>
          </w:p>
        </w:tc>
      </w:tr>
      <w:tr w:rsidR="007A1C0E" w:rsidRPr="007A1C0E" w14:paraId="24B5C186"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665794E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lastRenderedPageBreak/>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8F857D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'2012011000231</w:t>
            </w:r>
          </w:p>
        </w:tc>
        <w:tc>
          <w:tcPr>
            <w:tcW w:w="4787" w:type="dxa"/>
            <w:tcBorders>
              <w:top w:val="nil"/>
              <w:left w:val="nil"/>
              <w:bottom w:val="single" w:sz="4" w:space="0" w:color="auto"/>
              <w:right w:val="single" w:sz="4" w:space="0" w:color="auto"/>
            </w:tcBorders>
            <w:shd w:val="clear" w:color="auto" w:fill="auto"/>
            <w:vAlign w:val="bottom"/>
            <w:hideMark/>
          </w:tcPr>
          <w:p w14:paraId="7A4F42A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DISTRIBUCIÓN DE RECURSOS PARA PAGOS POR MENORES TARIFAS SECTOR GLP DISTRIBUIDO EN CILINDROS Y TANQUES ESTACIONARIOS A NIVEL NACIONAL</w:t>
            </w:r>
          </w:p>
        </w:tc>
        <w:tc>
          <w:tcPr>
            <w:tcW w:w="760" w:type="dxa"/>
            <w:tcBorders>
              <w:top w:val="nil"/>
              <w:left w:val="nil"/>
              <w:bottom w:val="single" w:sz="4" w:space="0" w:color="auto"/>
              <w:right w:val="single" w:sz="4" w:space="0" w:color="auto"/>
            </w:tcBorders>
            <w:shd w:val="clear" w:color="auto" w:fill="auto"/>
            <w:vAlign w:val="bottom"/>
            <w:hideMark/>
          </w:tcPr>
          <w:p w14:paraId="4DBCCF3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80</w:t>
            </w:r>
          </w:p>
        </w:tc>
        <w:tc>
          <w:tcPr>
            <w:tcW w:w="980" w:type="dxa"/>
            <w:tcBorders>
              <w:top w:val="nil"/>
              <w:left w:val="nil"/>
              <w:bottom w:val="single" w:sz="4" w:space="0" w:color="auto"/>
              <w:right w:val="single" w:sz="4" w:space="0" w:color="auto"/>
            </w:tcBorders>
            <w:shd w:val="clear" w:color="auto" w:fill="auto"/>
            <w:vAlign w:val="bottom"/>
            <w:hideMark/>
          </w:tcPr>
          <w:p w14:paraId="5F65726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42</w:t>
            </w:r>
          </w:p>
        </w:tc>
        <w:tc>
          <w:tcPr>
            <w:tcW w:w="1300" w:type="dxa"/>
            <w:tcBorders>
              <w:top w:val="nil"/>
              <w:left w:val="nil"/>
              <w:bottom w:val="single" w:sz="4" w:space="0" w:color="auto"/>
              <w:right w:val="single" w:sz="4" w:space="0" w:color="auto"/>
            </w:tcBorders>
            <w:shd w:val="clear" w:color="auto" w:fill="auto"/>
            <w:vAlign w:val="bottom"/>
            <w:hideMark/>
          </w:tcPr>
          <w:p w14:paraId="51E3A17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42,19</w:t>
            </w:r>
          </w:p>
        </w:tc>
      </w:tr>
      <w:tr w:rsidR="007A1C0E" w:rsidRPr="007A1C0E" w14:paraId="1509A79A"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6BCDF81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57B4407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'2013011000227</w:t>
            </w:r>
          </w:p>
        </w:tc>
        <w:tc>
          <w:tcPr>
            <w:tcW w:w="4787" w:type="dxa"/>
            <w:tcBorders>
              <w:top w:val="nil"/>
              <w:left w:val="nil"/>
              <w:bottom w:val="single" w:sz="4" w:space="0" w:color="auto"/>
              <w:right w:val="single" w:sz="4" w:space="0" w:color="auto"/>
            </w:tcBorders>
            <w:shd w:val="clear" w:color="auto" w:fill="auto"/>
            <w:vAlign w:val="bottom"/>
            <w:hideMark/>
          </w:tcPr>
          <w:p w14:paraId="391AA7B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MEJORAMIENTO DE LA IMAGEN Y PERCEPCIÓN DE LA INDUSTRIA MINERA PARA FACILITAR LA PUESTA EN MARCHA DE LOS PROYECTOS MINEROS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4EA0188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6EDABE9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58CEEA9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14,69</w:t>
            </w:r>
          </w:p>
        </w:tc>
      </w:tr>
      <w:tr w:rsidR="007A1C0E" w:rsidRPr="007A1C0E" w14:paraId="3768C599"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2E6F7A2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05AD7D9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'2014011000201</w:t>
            </w:r>
          </w:p>
        </w:tc>
        <w:tc>
          <w:tcPr>
            <w:tcW w:w="4787" w:type="dxa"/>
            <w:tcBorders>
              <w:top w:val="nil"/>
              <w:left w:val="nil"/>
              <w:bottom w:val="single" w:sz="4" w:space="0" w:color="auto"/>
              <w:right w:val="single" w:sz="4" w:space="0" w:color="auto"/>
            </w:tcBorders>
            <w:shd w:val="clear" w:color="auto" w:fill="auto"/>
            <w:vAlign w:val="bottom"/>
            <w:hideMark/>
          </w:tcPr>
          <w:p w14:paraId="6BB7BA6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INSTITUCIONAL DEL SECTOR MINERO ENERGÉTICO NACIONAL</w:t>
            </w:r>
          </w:p>
        </w:tc>
        <w:tc>
          <w:tcPr>
            <w:tcW w:w="760" w:type="dxa"/>
            <w:tcBorders>
              <w:top w:val="nil"/>
              <w:left w:val="nil"/>
              <w:bottom w:val="single" w:sz="4" w:space="0" w:color="auto"/>
              <w:right w:val="single" w:sz="4" w:space="0" w:color="auto"/>
            </w:tcBorders>
            <w:shd w:val="clear" w:color="auto" w:fill="auto"/>
            <w:vAlign w:val="bottom"/>
            <w:hideMark/>
          </w:tcPr>
          <w:p w14:paraId="02771C9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w:t>
            </w:r>
          </w:p>
        </w:tc>
        <w:tc>
          <w:tcPr>
            <w:tcW w:w="980" w:type="dxa"/>
            <w:tcBorders>
              <w:top w:val="nil"/>
              <w:left w:val="nil"/>
              <w:bottom w:val="single" w:sz="4" w:space="0" w:color="auto"/>
              <w:right w:val="single" w:sz="4" w:space="0" w:color="auto"/>
            </w:tcBorders>
            <w:shd w:val="clear" w:color="auto" w:fill="auto"/>
            <w:vAlign w:val="bottom"/>
            <w:hideMark/>
          </w:tcPr>
          <w:p w14:paraId="2E90D3F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37,8</w:t>
            </w:r>
          </w:p>
        </w:tc>
        <w:tc>
          <w:tcPr>
            <w:tcW w:w="1300" w:type="dxa"/>
            <w:tcBorders>
              <w:top w:val="nil"/>
              <w:left w:val="nil"/>
              <w:bottom w:val="single" w:sz="4" w:space="0" w:color="auto"/>
              <w:right w:val="single" w:sz="4" w:space="0" w:color="auto"/>
            </w:tcBorders>
            <w:shd w:val="clear" w:color="auto" w:fill="auto"/>
            <w:vAlign w:val="bottom"/>
            <w:hideMark/>
          </w:tcPr>
          <w:p w14:paraId="051FFE3B"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12,6</w:t>
            </w:r>
          </w:p>
        </w:tc>
      </w:tr>
      <w:tr w:rsidR="007A1C0E" w:rsidRPr="007A1C0E" w14:paraId="3D423822"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9713FD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18AB235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'2014011000215</w:t>
            </w:r>
          </w:p>
        </w:tc>
        <w:tc>
          <w:tcPr>
            <w:tcW w:w="4787" w:type="dxa"/>
            <w:tcBorders>
              <w:top w:val="nil"/>
              <w:left w:val="nil"/>
              <w:bottom w:val="single" w:sz="4" w:space="0" w:color="auto"/>
              <w:right w:val="single" w:sz="4" w:space="0" w:color="auto"/>
            </w:tcBorders>
            <w:shd w:val="clear" w:color="auto" w:fill="auto"/>
            <w:vAlign w:val="bottom"/>
            <w:hideMark/>
          </w:tcPr>
          <w:p w14:paraId="7877098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APOYO AL MINISTERIO DE MINAS Y ENERGÍA EN EL FORTALECIMIENTO DE LA GESTIÓN INTERNACIONAL , , NACIONAL</w:t>
            </w:r>
          </w:p>
        </w:tc>
        <w:tc>
          <w:tcPr>
            <w:tcW w:w="760" w:type="dxa"/>
            <w:tcBorders>
              <w:top w:val="nil"/>
              <w:left w:val="nil"/>
              <w:bottom w:val="single" w:sz="4" w:space="0" w:color="auto"/>
              <w:right w:val="single" w:sz="4" w:space="0" w:color="auto"/>
            </w:tcBorders>
            <w:shd w:val="clear" w:color="auto" w:fill="auto"/>
            <w:vAlign w:val="bottom"/>
            <w:hideMark/>
          </w:tcPr>
          <w:p w14:paraId="09B5933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46</w:t>
            </w:r>
          </w:p>
        </w:tc>
        <w:tc>
          <w:tcPr>
            <w:tcW w:w="980" w:type="dxa"/>
            <w:tcBorders>
              <w:top w:val="nil"/>
              <w:left w:val="nil"/>
              <w:bottom w:val="single" w:sz="4" w:space="0" w:color="auto"/>
              <w:right w:val="single" w:sz="4" w:space="0" w:color="auto"/>
            </w:tcBorders>
            <w:shd w:val="clear" w:color="auto" w:fill="auto"/>
            <w:vAlign w:val="bottom"/>
            <w:hideMark/>
          </w:tcPr>
          <w:p w14:paraId="15DD01D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54,5</w:t>
            </w:r>
          </w:p>
        </w:tc>
        <w:tc>
          <w:tcPr>
            <w:tcW w:w="1300" w:type="dxa"/>
            <w:tcBorders>
              <w:top w:val="nil"/>
              <w:left w:val="nil"/>
              <w:bottom w:val="single" w:sz="4" w:space="0" w:color="auto"/>
              <w:right w:val="single" w:sz="4" w:space="0" w:color="auto"/>
            </w:tcBorders>
            <w:shd w:val="clear" w:color="auto" w:fill="auto"/>
            <w:vAlign w:val="bottom"/>
            <w:hideMark/>
          </w:tcPr>
          <w:p w14:paraId="5A9C67A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34,11</w:t>
            </w:r>
          </w:p>
        </w:tc>
      </w:tr>
      <w:tr w:rsidR="007A1C0E" w:rsidRPr="007A1C0E" w14:paraId="0CF7A84F"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3070337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5B7412A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'2014011000278</w:t>
            </w:r>
          </w:p>
        </w:tc>
        <w:tc>
          <w:tcPr>
            <w:tcW w:w="4787" w:type="dxa"/>
            <w:tcBorders>
              <w:top w:val="nil"/>
              <w:left w:val="nil"/>
              <w:bottom w:val="single" w:sz="4" w:space="0" w:color="auto"/>
              <w:right w:val="single" w:sz="4" w:space="0" w:color="auto"/>
            </w:tcBorders>
            <w:shd w:val="clear" w:color="auto" w:fill="auto"/>
            <w:vAlign w:val="bottom"/>
            <w:hideMark/>
          </w:tcPr>
          <w:p w14:paraId="0EFCA57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PREVENCIÓN Y MITIGACIÓN DEL DAÑO ANTIJURÍDICO EN EL MINISTERIO DE MINAS Y ENERGÍA EN EL NIVEL NACIONAL</w:t>
            </w:r>
          </w:p>
        </w:tc>
        <w:tc>
          <w:tcPr>
            <w:tcW w:w="760" w:type="dxa"/>
            <w:tcBorders>
              <w:top w:val="nil"/>
              <w:left w:val="nil"/>
              <w:bottom w:val="single" w:sz="4" w:space="0" w:color="auto"/>
              <w:right w:val="single" w:sz="4" w:space="0" w:color="auto"/>
            </w:tcBorders>
            <w:shd w:val="clear" w:color="auto" w:fill="auto"/>
            <w:vAlign w:val="bottom"/>
            <w:hideMark/>
          </w:tcPr>
          <w:p w14:paraId="0D65091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49</w:t>
            </w:r>
          </w:p>
        </w:tc>
        <w:tc>
          <w:tcPr>
            <w:tcW w:w="980" w:type="dxa"/>
            <w:tcBorders>
              <w:top w:val="nil"/>
              <w:left w:val="nil"/>
              <w:bottom w:val="single" w:sz="4" w:space="0" w:color="auto"/>
              <w:right w:val="single" w:sz="4" w:space="0" w:color="auto"/>
            </w:tcBorders>
            <w:shd w:val="clear" w:color="auto" w:fill="auto"/>
            <w:vAlign w:val="bottom"/>
            <w:hideMark/>
          </w:tcPr>
          <w:p w14:paraId="781BAEE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55</w:t>
            </w:r>
          </w:p>
        </w:tc>
        <w:tc>
          <w:tcPr>
            <w:tcW w:w="1300" w:type="dxa"/>
            <w:tcBorders>
              <w:top w:val="nil"/>
              <w:left w:val="nil"/>
              <w:bottom w:val="single" w:sz="4" w:space="0" w:color="auto"/>
              <w:right w:val="single" w:sz="4" w:space="0" w:color="auto"/>
            </w:tcBorders>
            <w:shd w:val="clear" w:color="auto" w:fill="auto"/>
            <w:vAlign w:val="bottom"/>
            <w:hideMark/>
          </w:tcPr>
          <w:p w14:paraId="59116FB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40,59</w:t>
            </w:r>
          </w:p>
        </w:tc>
      </w:tr>
      <w:tr w:rsidR="007A1C0E" w:rsidRPr="007A1C0E" w14:paraId="41CF27C1"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400969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59E326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'2015011000086</w:t>
            </w:r>
          </w:p>
        </w:tc>
        <w:tc>
          <w:tcPr>
            <w:tcW w:w="4787" w:type="dxa"/>
            <w:tcBorders>
              <w:top w:val="nil"/>
              <w:left w:val="nil"/>
              <w:bottom w:val="single" w:sz="4" w:space="0" w:color="auto"/>
              <w:right w:val="single" w:sz="4" w:space="0" w:color="auto"/>
            </w:tcBorders>
            <w:shd w:val="clear" w:color="auto" w:fill="auto"/>
            <w:vAlign w:val="bottom"/>
            <w:hideMark/>
          </w:tcPr>
          <w:p w14:paraId="50FFF2C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DISTRIBUCIÓN DE SUBSIDIOS PARA USUARIOS UBICADOS EN ÁREAS ESPECIALES DEL SISTEMA INTERCONECTADO NACIONAL – SECTOR ELÉCTRICO</w:t>
            </w:r>
          </w:p>
        </w:tc>
        <w:tc>
          <w:tcPr>
            <w:tcW w:w="760" w:type="dxa"/>
            <w:tcBorders>
              <w:top w:val="nil"/>
              <w:left w:val="nil"/>
              <w:bottom w:val="single" w:sz="4" w:space="0" w:color="auto"/>
              <w:right w:val="single" w:sz="4" w:space="0" w:color="auto"/>
            </w:tcBorders>
            <w:shd w:val="clear" w:color="auto" w:fill="auto"/>
            <w:vAlign w:val="bottom"/>
            <w:hideMark/>
          </w:tcPr>
          <w:p w14:paraId="0610BA7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30</w:t>
            </w:r>
          </w:p>
        </w:tc>
        <w:tc>
          <w:tcPr>
            <w:tcW w:w="980" w:type="dxa"/>
            <w:tcBorders>
              <w:top w:val="nil"/>
              <w:left w:val="nil"/>
              <w:bottom w:val="single" w:sz="4" w:space="0" w:color="auto"/>
              <w:right w:val="single" w:sz="4" w:space="0" w:color="auto"/>
            </w:tcBorders>
            <w:shd w:val="clear" w:color="auto" w:fill="auto"/>
            <w:vAlign w:val="bottom"/>
            <w:hideMark/>
          </w:tcPr>
          <w:p w14:paraId="4ACD633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16,5</w:t>
            </w:r>
          </w:p>
        </w:tc>
        <w:tc>
          <w:tcPr>
            <w:tcW w:w="1300" w:type="dxa"/>
            <w:tcBorders>
              <w:top w:val="nil"/>
              <w:left w:val="nil"/>
              <w:bottom w:val="single" w:sz="4" w:space="0" w:color="auto"/>
              <w:right w:val="single" w:sz="4" w:space="0" w:color="auto"/>
            </w:tcBorders>
            <w:shd w:val="clear" w:color="auto" w:fill="auto"/>
            <w:vAlign w:val="bottom"/>
            <w:hideMark/>
          </w:tcPr>
          <w:p w14:paraId="4463C02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29,89</w:t>
            </w:r>
          </w:p>
        </w:tc>
      </w:tr>
      <w:tr w:rsidR="007A1C0E" w:rsidRPr="007A1C0E" w14:paraId="0574BEC7"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334E88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5FCAA0C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'2015011000087</w:t>
            </w:r>
          </w:p>
        </w:tc>
        <w:tc>
          <w:tcPr>
            <w:tcW w:w="4787" w:type="dxa"/>
            <w:tcBorders>
              <w:top w:val="nil"/>
              <w:left w:val="nil"/>
              <w:bottom w:val="single" w:sz="4" w:space="0" w:color="auto"/>
              <w:right w:val="single" w:sz="4" w:space="0" w:color="auto"/>
            </w:tcBorders>
            <w:shd w:val="clear" w:color="auto" w:fill="auto"/>
            <w:vAlign w:val="bottom"/>
            <w:hideMark/>
          </w:tcPr>
          <w:p w14:paraId="7B878CB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APOYO PARA CONSTRUCCIÓN DE PROYECTO DE INFRAESTRUCTURA ELÉCTRICA EN LAS ZONAS NO INTERCONECTADAS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1A2D79A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5DA0F89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89</w:t>
            </w:r>
          </w:p>
        </w:tc>
        <w:tc>
          <w:tcPr>
            <w:tcW w:w="1300" w:type="dxa"/>
            <w:tcBorders>
              <w:top w:val="nil"/>
              <w:left w:val="nil"/>
              <w:bottom w:val="single" w:sz="4" w:space="0" w:color="auto"/>
              <w:right w:val="single" w:sz="4" w:space="0" w:color="auto"/>
            </w:tcBorders>
            <w:shd w:val="clear" w:color="auto" w:fill="auto"/>
            <w:vAlign w:val="bottom"/>
            <w:hideMark/>
          </w:tcPr>
          <w:p w14:paraId="036CF16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3,44</w:t>
            </w:r>
          </w:p>
        </w:tc>
      </w:tr>
      <w:tr w:rsidR="007A1C0E" w:rsidRPr="007A1C0E" w14:paraId="38F46B04"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6AC7960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05D3A48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'2015011000088</w:t>
            </w:r>
          </w:p>
        </w:tc>
        <w:tc>
          <w:tcPr>
            <w:tcW w:w="4787" w:type="dxa"/>
            <w:tcBorders>
              <w:top w:val="nil"/>
              <w:left w:val="nil"/>
              <w:bottom w:val="single" w:sz="4" w:space="0" w:color="auto"/>
              <w:right w:val="single" w:sz="4" w:space="0" w:color="auto"/>
            </w:tcBorders>
            <w:shd w:val="clear" w:color="auto" w:fill="auto"/>
            <w:vAlign w:val="bottom"/>
            <w:hideMark/>
          </w:tcPr>
          <w:p w14:paraId="235B66A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APOYO ELECTRIFICACIÓN RURAL EN ZONAS INTERCONECTADAS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047DAA1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12</w:t>
            </w:r>
          </w:p>
        </w:tc>
        <w:tc>
          <w:tcPr>
            <w:tcW w:w="980" w:type="dxa"/>
            <w:tcBorders>
              <w:top w:val="nil"/>
              <w:left w:val="nil"/>
              <w:bottom w:val="single" w:sz="4" w:space="0" w:color="auto"/>
              <w:right w:val="single" w:sz="4" w:space="0" w:color="auto"/>
            </w:tcBorders>
            <w:shd w:val="clear" w:color="auto" w:fill="auto"/>
            <w:vAlign w:val="bottom"/>
            <w:hideMark/>
          </w:tcPr>
          <w:p w14:paraId="63F358F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09A924C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13,02</w:t>
            </w:r>
          </w:p>
        </w:tc>
      </w:tr>
      <w:tr w:rsidR="007A1C0E" w:rsidRPr="007A1C0E" w14:paraId="69085F4F"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3BA3CF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AC09DC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'2015011000089</w:t>
            </w:r>
          </w:p>
        </w:tc>
        <w:tc>
          <w:tcPr>
            <w:tcW w:w="4787" w:type="dxa"/>
            <w:tcBorders>
              <w:top w:val="nil"/>
              <w:left w:val="nil"/>
              <w:bottom w:val="single" w:sz="4" w:space="0" w:color="auto"/>
              <w:right w:val="single" w:sz="4" w:space="0" w:color="auto"/>
            </w:tcBorders>
            <w:shd w:val="clear" w:color="auto" w:fill="auto"/>
            <w:vAlign w:val="bottom"/>
            <w:hideMark/>
          </w:tcPr>
          <w:p w14:paraId="7A71A5E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DISEÑO E IMPLEMENTACIÓN DE HERRAMIENTAS DE MITIGACIÓN Y ADAPTACIÓN EN EL SECTOR MINERO-ENERGÉTICO FRENTE AL CAMBIO CLIMÁTICO - NACIONAL</w:t>
            </w:r>
          </w:p>
        </w:tc>
        <w:tc>
          <w:tcPr>
            <w:tcW w:w="760" w:type="dxa"/>
            <w:tcBorders>
              <w:top w:val="nil"/>
              <w:left w:val="nil"/>
              <w:bottom w:val="single" w:sz="4" w:space="0" w:color="auto"/>
              <w:right w:val="single" w:sz="4" w:space="0" w:color="auto"/>
            </w:tcBorders>
            <w:shd w:val="clear" w:color="auto" w:fill="auto"/>
            <w:vAlign w:val="bottom"/>
            <w:hideMark/>
          </w:tcPr>
          <w:p w14:paraId="74F7254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65</w:t>
            </w:r>
          </w:p>
        </w:tc>
        <w:tc>
          <w:tcPr>
            <w:tcW w:w="980" w:type="dxa"/>
            <w:tcBorders>
              <w:top w:val="nil"/>
              <w:left w:val="nil"/>
              <w:bottom w:val="single" w:sz="4" w:space="0" w:color="auto"/>
              <w:right w:val="single" w:sz="4" w:space="0" w:color="auto"/>
            </w:tcBorders>
            <w:shd w:val="clear" w:color="auto" w:fill="auto"/>
            <w:vAlign w:val="bottom"/>
            <w:hideMark/>
          </w:tcPr>
          <w:p w14:paraId="485DE6D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62</w:t>
            </w:r>
          </w:p>
        </w:tc>
        <w:tc>
          <w:tcPr>
            <w:tcW w:w="1300" w:type="dxa"/>
            <w:tcBorders>
              <w:top w:val="nil"/>
              <w:left w:val="nil"/>
              <w:bottom w:val="single" w:sz="4" w:space="0" w:color="auto"/>
              <w:right w:val="single" w:sz="4" w:space="0" w:color="auto"/>
            </w:tcBorders>
            <w:shd w:val="clear" w:color="auto" w:fill="auto"/>
            <w:vAlign w:val="bottom"/>
            <w:hideMark/>
          </w:tcPr>
          <w:p w14:paraId="556D9C0C"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69,79</w:t>
            </w:r>
          </w:p>
        </w:tc>
      </w:tr>
      <w:tr w:rsidR="007A1C0E" w:rsidRPr="007A1C0E" w14:paraId="2052C050"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013D499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73C20C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'2015011000118</w:t>
            </w:r>
          </w:p>
        </w:tc>
        <w:tc>
          <w:tcPr>
            <w:tcW w:w="4787" w:type="dxa"/>
            <w:tcBorders>
              <w:top w:val="nil"/>
              <w:left w:val="nil"/>
              <w:bottom w:val="single" w:sz="4" w:space="0" w:color="auto"/>
              <w:right w:val="single" w:sz="4" w:space="0" w:color="auto"/>
            </w:tcBorders>
            <w:shd w:val="clear" w:color="auto" w:fill="auto"/>
            <w:vAlign w:val="bottom"/>
            <w:hideMark/>
          </w:tcPr>
          <w:p w14:paraId="48C2821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NORMALIZACIÓN DEL SERVICIO DE ENERGÍA ELÉCTRICA EN BARRIOS SUBNORMALES DE LOS MUNICIPIOS DEL SISTEMA INTERCONECTADO NACIONAL</w:t>
            </w:r>
          </w:p>
        </w:tc>
        <w:tc>
          <w:tcPr>
            <w:tcW w:w="760" w:type="dxa"/>
            <w:tcBorders>
              <w:top w:val="nil"/>
              <w:left w:val="nil"/>
              <w:bottom w:val="single" w:sz="4" w:space="0" w:color="auto"/>
              <w:right w:val="single" w:sz="4" w:space="0" w:color="auto"/>
            </w:tcBorders>
            <w:shd w:val="clear" w:color="auto" w:fill="auto"/>
            <w:vAlign w:val="bottom"/>
            <w:hideMark/>
          </w:tcPr>
          <w:p w14:paraId="6905346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07B87AF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25</w:t>
            </w:r>
          </w:p>
        </w:tc>
        <w:tc>
          <w:tcPr>
            <w:tcW w:w="1300" w:type="dxa"/>
            <w:tcBorders>
              <w:top w:val="nil"/>
              <w:left w:val="nil"/>
              <w:bottom w:val="single" w:sz="4" w:space="0" w:color="auto"/>
              <w:right w:val="single" w:sz="4" w:space="0" w:color="auto"/>
            </w:tcBorders>
            <w:shd w:val="clear" w:color="auto" w:fill="auto"/>
            <w:vAlign w:val="bottom"/>
            <w:hideMark/>
          </w:tcPr>
          <w:p w14:paraId="4B51E88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35,35</w:t>
            </w:r>
          </w:p>
        </w:tc>
      </w:tr>
      <w:tr w:rsidR="007A1C0E" w:rsidRPr="007A1C0E" w14:paraId="249CE6E8"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21A8902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5AAF393A"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'2015011000175</w:t>
            </w:r>
          </w:p>
        </w:tc>
        <w:tc>
          <w:tcPr>
            <w:tcW w:w="4787" w:type="dxa"/>
            <w:tcBorders>
              <w:top w:val="nil"/>
              <w:left w:val="nil"/>
              <w:bottom w:val="single" w:sz="4" w:space="0" w:color="auto"/>
              <w:right w:val="single" w:sz="4" w:space="0" w:color="auto"/>
            </w:tcBorders>
            <w:shd w:val="clear" w:color="auto" w:fill="auto"/>
            <w:vAlign w:val="bottom"/>
            <w:hideMark/>
          </w:tcPr>
          <w:p w14:paraId="0F33591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FORMULACIÓN Y EJECUCIÓN DE LA ESTRATEGIA DE GESTIÓN AMBIENTAL PARA LA PROMOCIÓN DEL SECTOR BAJO PRINCIPIOS DE COMPETITIVIDAD NACIONAL</w:t>
            </w:r>
          </w:p>
        </w:tc>
        <w:tc>
          <w:tcPr>
            <w:tcW w:w="760" w:type="dxa"/>
            <w:tcBorders>
              <w:top w:val="nil"/>
              <w:left w:val="nil"/>
              <w:bottom w:val="single" w:sz="4" w:space="0" w:color="auto"/>
              <w:right w:val="single" w:sz="4" w:space="0" w:color="auto"/>
            </w:tcBorders>
            <w:shd w:val="clear" w:color="auto" w:fill="auto"/>
            <w:vAlign w:val="bottom"/>
            <w:hideMark/>
          </w:tcPr>
          <w:p w14:paraId="3FED73D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67</w:t>
            </w:r>
          </w:p>
        </w:tc>
        <w:tc>
          <w:tcPr>
            <w:tcW w:w="980" w:type="dxa"/>
            <w:tcBorders>
              <w:top w:val="nil"/>
              <w:left w:val="nil"/>
              <w:bottom w:val="single" w:sz="4" w:space="0" w:color="auto"/>
              <w:right w:val="single" w:sz="4" w:space="0" w:color="auto"/>
            </w:tcBorders>
            <w:shd w:val="clear" w:color="auto" w:fill="auto"/>
            <w:vAlign w:val="bottom"/>
            <w:hideMark/>
          </w:tcPr>
          <w:p w14:paraId="1382BB1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73,8</w:t>
            </w:r>
          </w:p>
        </w:tc>
        <w:tc>
          <w:tcPr>
            <w:tcW w:w="1300" w:type="dxa"/>
            <w:tcBorders>
              <w:top w:val="nil"/>
              <w:left w:val="nil"/>
              <w:bottom w:val="single" w:sz="4" w:space="0" w:color="auto"/>
              <w:right w:val="single" w:sz="4" w:space="0" w:color="auto"/>
            </w:tcBorders>
            <w:shd w:val="clear" w:color="auto" w:fill="auto"/>
            <w:vAlign w:val="bottom"/>
            <w:hideMark/>
          </w:tcPr>
          <w:p w14:paraId="194FC74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76,12</w:t>
            </w:r>
          </w:p>
        </w:tc>
      </w:tr>
      <w:tr w:rsidR="007A1C0E" w:rsidRPr="007A1C0E" w14:paraId="747385A0"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32530C4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lastRenderedPageBreak/>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70AC9E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'2015011000190</w:t>
            </w:r>
          </w:p>
        </w:tc>
        <w:tc>
          <w:tcPr>
            <w:tcW w:w="4787" w:type="dxa"/>
            <w:tcBorders>
              <w:top w:val="nil"/>
              <w:left w:val="nil"/>
              <w:bottom w:val="single" w:sz="4" w:space="0" w:color="auto"/>
              <w:right w:val="single" w:sz="4" w:space="0" w:color="auto"/>
            </w:tcBorders>
            <w:shd w:val="clear" w:color="auto" w:fill="auto"/>
            <w:vAlign w:val="bottom"/>
            <w:hideMark/>
          </w:tcPr>
          <w:p w14:paraId="33F048A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DESARROLLO DE INFRAESTRUCTURA DE TRANSPORTE, DISTRIBUCIÓN Y CONEXIÓN DEL SERVICIO PÚBLICO DE GAS NATURAL A NIVEL NACIONAL</w:t>
            </w:r>
          </w:p>
        </w:tc>
        <w:tc>
          <w:tcPr>
            <w:tcW w:w="760" w:type="dxa"/>
            <w:tcBorders>
              <w:top w:val="nil"/>
              <w:left w:val="nil"/>
              <w:bottom w:val="single" w:sz="4" w:space="0" w:color="auto"/>
              <w:right w:val="single" w:sz="4" w:space="0" w:color="auto"/>
            </w:tcBorders>
            <w:shd w:val="clear" w:color="auto" w:fill="auto"/>
            <w:vAlign w:val="bottom"/>
            <w:hideMark/>
          </w:tcPr>
          <w:p w14:paraId="24212A0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25</w:t>
            </w:r>
          </w:p>
        </w:tc>
        <w:tc>
          <w:tcPr>
            <w:tcW w:w="980" w:type="dxa"/>
            <w:tcBorders>
              <w:top w:val="nil"/>
              <w:left w:val="nil"/>
              <w:bottom w:val="single" w:sz="4" w:space="0" w:color="auto"/>
              <w:right w:val="single" w:sz="4" w:space="0" w:color="auto"/>
            </w:tcBorders>
            <w:shd w:val="clear" w:color="auto" w:fill="auto"/>
            <w:vAlign w:val="bottom"/>
            <w:hideMark/>
          </w:tcPr>
          <w:p w14:paraId="2756412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w:t>
            </w:r>
          </w:p>
        </w:tc>
        <w:tc>
          <w:tcPr>
            <w:tcW w:w="1300" w:type="dxa"/>
            <w:tcBorders>
              <w:top w:val="nil"/>
              <w:left w:val="nil"/>
              <w:bottom w:val="single" w:sz="4" w:space="0" w:color="auto"/>
              <w:right w:val="single" w:sz="4" w:space="0" w:color="auto"/>
            </w:tcBorders>
            <w:shd w:val="clear" w:color="auto" w:fill="auto"/>
            <w:vAlign w:val="bottom"/>
            <w:hideMark/>
          </w:tcPr>
          <w:p w14:paraId="330F7E7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8,21</w:t>
            </w:r>
          </w:p>
        </w:tc>
      </w:tr>
      <w:tr w:rsidR="007A1C0E" w:rsidRPr="007A1C0E" w14:paraId="76BE4AAF"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0EDA48A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7212BE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'2015011000191</w:t>
            </w:r>
          </w:p>
        </w:tc>
        <w:tc>
          <w:tcPr>
            <w:tcW w:w="4787" w:type="dxa"/>
            <w:tcBorders>
              <w:top w:val="nil"/>
              <w:left w:val="nil"/>
              <w:bottom w:val="single" w:sz="4" w:space="0" w:color="auto"/>
              <w:right w:val="single" w:sz="4" w:space="0" w:color="auto"/>
            </w:tcBorders>
            <w:shd w:val="clear" w:color="auto" w:fill="auto"/>
            <w:vAlign w:val="bottom"/>
            <w:hideMark/>
          </w:tcPr>
          <w:p w14:paraId="7E9EB1A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IMPLEMENTACIÓN DE LOS SERVICIOS DE INFORMACIÓN Y COMUNICACIÓN INSTITUCIONAL DEL MINISTERIO DE MINAS Y ENERGÍA</w:t>
            </w:r>
          </w:p>
        </w:tc>
        <w:tc>
          <w:tcPr>
            <w:tcW w:w="760" w:type="dxa"/>
            <w:tcBorders>
              <w:top w:val="nil"/>
              <w:left w:val="nil"/>
              <w:bottom w:val="single" w:sz="4" w:space="0" w:color="auto"/>
              <w:right w:val="single" w:sz="4" w:space="0" w:color="auto"/>
            </w:tcBorders>
            <w:shd w:val="clear" w:color="auto" w:fill="auto"/>
            <w:vAlign w:val="bottom"/>
            <w:hideMark/>
          </w:tcPr>
          <w:p w14:paraId="291176D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49</w:t>
            </w:r>
          </w:p>
        </w:tc>
        <w:tc>
          <w:tcPr>
            <w:tcW w:w="980" w:type="dxa"/>
            <w:tcBorders>
              <w:top w:val="nil"/>
              <w:left w:val="nil"/>
              <w:bottom w:val="single" w:sz="4" w:space="0" w:color="auto"/>
              <w:right w:val="single" w:sz="4" w:space="0" w:color="auto"/>
            </w:tcBorders>
            <w:shd w:val="clear" w:color="auto" w:fill="auto"/>
            <w:vAlign w:val="bottom"/>
            <w:hideMark/>
          </w:tcPr>
          <w:p w14:paraId="1E08A14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47,5</w:t>
            </w:r>
          </w:p>
        </w:tc>
        <w:tc>
          <w:tcPr>
            <w:tcW w:w="1300" w:type="dxa"/>
            <w:tcBorders>
              <w:top w:val="nil"/>
              <w:left w:val="nil"/>
              <w:bottom w:val="single" w:sz="4" w:space="0" w:color="auto"/>
              <w:right w:val="single" w:sz="4" w:space="0" w:color="auto"/>
            </w:tcBorders>
            <w:shd w:val="clear" w:color="auto" w:fill="auto"/>
            <w:vAlign w:val="bottom"/>
            <w:hideMark/>
          </w:tcPr>
          <w:p w14:paraId="4C1FB06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45,31</w:t>
            </w:r>
          </w:p>
        </w:tc>
      </w:tr>
      <w:tr w:rsidR="007A1C0E" w:rsidRPr="007A1C0E" w14:paraId="51C1DFD7"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7D44066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5B737F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'2015011000195</w:t>
            </w:r>
          </w:p>
        </w:tc>
        <w:tc>
          <w:tcPr>
            <w:tcW w:w="4787" w:type="dxa"/>
            <w:tcBorders>
              <w:top w:val="nil"/>
              <w:left w:val="nil"/>
              <w:bottom w:val="single" w:sz="4" w:space="0" w:color="auto"/>
              <w:right w:val="single" w:sz="4" w:space="0" w:color="auto"/>
            </w:tcBorders>
            <w:shd w:val="clear" w:color="auto" w:fill="auto"/>
            <w:vAlign w:val="bottom"/>
            <w:hideMark/>
          </w:tcPr>
          <w:p w14:paraId="50EB241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DEL SERVICIO QUE SE PRESTA AL CIUDADANO – CLIENTE DEL MINISTERIO DE MINAS Y ENERGÍA A NIVEL NACIONAL.</w:t>
            </w:r>
          </w:p>
        </w:tc>
        <w:tc>
          <w:tcPr>
            <w:tcW w:w="760" w:type="dxa"/>
            <w:tcBorders>
              <w:top w:val="nil"/>
              <w:left w:val="nil"/>
              <w:bottom w:val="single" w:sz="4" w:space="0" w:color="auto"/>
              <w:right w:val="single" w:sz="4" w:space="0" w:color="auto"/>
            </w:tcBorders>
            <w:shd w:val="clear" w:color="auto" w:fill="auto"/>
            <w:vAlign w:val="bottom"/>
            <w:hideMark/>
          </w:tcPr>
          <w:p w14:paraId="67D4A85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31</w:t>
            </w:r>
          </w:p>
        </w:tc>
        <w:tc>
          <w:tcPr>
            <w:tcW w:w="980" w:type="dxa"/>
            <w:tcBorders>
              <w:top w:val="nil"/>
              <w:left w:val="nil"/>
              <w:bottom w:val="single" w:sz="4" w:space="0" w:color="auto"/>
              <w:right w:val="single" w:sz="4" w:space="0" w:color="auto"/>
            </w:tcBorders>
            <w:shd w:val="clear" w:color="auto" w:fill="auto"/>
            <w:vAlign w:val="bottom"/>
            <w:hideMark/>
          </w:tcPr>
          <w:p w14:paraId="644B534B"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38C752D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18,55</w:t>
            </w:r>
          </w:p>
        </w:tc>
      </w:tr>
      <w:tr w:rsidR="007A1C0E" w:rsidRPr="007A1C0E" w14:paraId="5BE60642"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5B51DD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0476A3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'2015011000200</w:t>
            </w:r>
          </w:p>
        </w:tc>
        <w:tc>
          <w:tcPr>
            <w:tcW w:w="4787" w:type="dxa"/>
            <w:tcBorders>
              <w:top w:val="nil"/>
              <w:left w:val="nil"/>
              <w:bottom w:val="single" w:sz="4" w:space="0" w:color="auto"/>
              <w:right w:val="single" w:sz="4" w:space="0" w:color="auto"/>
            </w:tcBorders>
            <w:shd w:val="clear" w:color="auto" w:fill="auto"/>
            <w:vAlign w:val="bottom"/>
            <w:hideMark/>
          </w:tcPr>
          <w:p w14:paraId="2EC1E1D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POLÌTICA NACIONAL DE SEGURIDAD MINERA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5F02FC7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33</w:t>
            </w:r>
          </w:p>
        </w:tc>
        <w:tc>
          <w:tcPr>
            <w:tcW w:w="980" w:type="dxa"/>
            <w:tcBorders>
              <w:top w:val="nil"/>
              <w:left w:val="nil"/>
              <w:bottom w:val="single" w:sz="4" w:space="0" w:color="auto"/>
              <w:right w:val="single" w:sz="4" w:space="0" w:color="auto"/>
            </w:tcBorders>
            <w:shd w:val="clear" w:color="auto" w:fill="auto"/>
            <w:vAlign w:val="bottom"/>
            <w:hideMark/>
          </w:tcPr>
          <w:p w14:paraId="109BE32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w:t>
            </w:r>
          </w:p>
        </w:tc>
        <w:tc>
          <w:tcPr>
            <w:tcW w:w="1300" w:type="dxa"/>
            <w:tcBorders>
              <w:top w:val="nil"/>
              <w:left w:val="nil"/>
              <w:bottom w:val="single" w:sz="4" w:space="0" w:color="auto"/>
              <w:right w:val="single" w:sz="4" w:space="0" w:color="auto"/>
            </w:tcBorders>
            <w:shd w:val="clear" w:color="auto" w:fill="auto"/>
            <w:vAlign w:val="bottom"/>
            <w:hideMark/>
          </w:tcPr>
          <w:p w14:paraId="47672AE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6,5</w:t>
            </w:r>
          </w:p>
        </w:tc>
      </w:tr>
      <w:tr w:rsidR="007A1C0E" w:rsidRPr="007A1C0E" w14:paraId="189FF2D0"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228AF51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7E9F29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'2015011000202</w:t>
            </w:r>
          </w:p>
        </w:tc>
        <w:tc>
          <w:tcPr>
            <w:tcW w:w="4787" w:type="dxa"/>
            <w:tcBorders>
              <w:top w:val="nil"/>
              <w:left w:val="nil"/>
              <w:bottom w:val="single" w:sz="4" w:space="0" w:color="auto"/>
              <w:right w:val="single" w:sz="4" w:space="0" w:color="auto"/>
            </w:tcBorders>
            <w:shd w:val="clear" w:color="auto" w:fill="auto"/>
            <w:vAlign w:val="bottom"/>
            <w:hideMark/>
          </w:tcPr>
          <w:p w14:paraId="750B4B6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INFRAESTRUCTURA DE LAS TECNOLOGIAS DE INFORMACIÓN Y COMUNICACIONES DEL MINISTERIO DE MINAS Y ENERGIA A NIVEL NACIONAL</w:t>
            </w:r>
          </w:p>
        </w:tc>
        <w:tc>
          <w:tcPr>
            <w:tcW w:w="760" w:type="dxa"/>
            <w:tcBorders>
              <w:top w:val="nil"/>
              <w:left w:val="nil"/>
              <w:bottom w:val="single" w:sz="4" w:space="0" w:color="auto"/>
              <w:right w:val="single" w:sz="4" w:space="0" w:color="auto"/>
            </w:tcBorders>
            <w:shd w:val="clear" w:color="auto" w:fill="auto"/>
            <w:vAlign w:val="bottom"/>
            <w:hideMark/>
          </w:tcPr>
          <w:p w14:paraId="4D58F7D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16</w:t>
            </w:r>
          </w:p>
        </w:tc>
        <w:tc>
          <w:tcPr>
            <w:tcW w:w="980" w:type="dxa"/>
            <w:tcBorders>
              <w:top w:val="nil"/>
              <w:left w:val="nil"/>
              <w:bottom w:val="single" w:sz="4" w:space="0" w:color="auto"/>
              <w:right w:val="single" w:sz="4" w:space="0" w:color="auto"/>
            </w:tcBorders>
            <w:shd w:val="clear" w:color="auto" w:fill="auto"/>
            <w:vAlign w:val="bottom"/>
            <w:hideMark/>
          </w:tcPr>
          <w:p w14:paraId="69283D1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47BC29E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11,24</w:t>
            </w:r>
          </w:p>
        </w:tc>
      </w:tr>
      <w:tr w:rsidR="007A1C0E" w:rsidRPr="007A1C0E" w14:paraId="2B019059"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B32C70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609B9C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'2015011000226</w:t>
            </w:r>
          </w:p>
        </w:tc>
        <w:tc>
          <w:tcPr>
            <w:tcW w:w="4787" w:type="dxa"/>
            <w:tcBorders>
              <w:top w:val="nil"/>
              <w:left w:val="nil"/>
              <w:bottom w:val="single" w:sz="4" w:space="0" w:color="auto"/>
              <w:right w:val="single" w:sz="4" w:space="0" w:color="auto"/>
            </w:tcBorders>
            <w:shd w:val="clear" w:color="auto" w:fill="auto"/>
            <w:vAlign w:val="bottom"/>
            <w:hideMark/>
          </w:tcPr>
          <w:p w14:paraId="6E299CA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APOYO Y FINACIACIÓN DE PROGRAMAS DE FUENTES NO CONVENCIONALES DE ENERGÍA Y GESTIÓN EFICIENTE DE ENERGÍA A NIVEL NACIONAL</w:t>
            </w:r>
          </w:p>
        </w:tc>
        <w:tc>
          <w:tcPr>
            <w:tcW w:w="760" w:type="dxa"/>
            <w:tcBorders>
              <w:top w:val="nil"/>
              <w:left w:val="nil"/>
              <w:bottom w:val="single" w:sz="4" w:space="0" w:color="auto"/>
              <w:right w:val="single" w:sz="4" w:space="0" w:color="auto"/>
            </w:tcBorders>
            <w:shd w:val="clear" w:color="auto" w:fill="auto"/>
            <w:vAlign w:val="bottom"/>
            <w:hideMark/>
          </w:tcPr>
          <w:p w14:paraId="4D6C837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56FC7EB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2F96107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0,11</w:t>
            </w:r>
          </w:p>
        </w:tc>
      </w:tr>
      <w:tr w:rsidR="007A1C0E" w:rsidRPr="007A1C0E" w14:paraId="6EE5EA3E"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760B833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2B6C45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'2015011000349</w:t>
            </w:r>
          </w:p>
        </w:tc>
        <w:tc>
          <w:tcPr>
            <w:tcW w:w="4787" w:type="dxa"/>
            <w:tcBorders>
              <w:top w:val="nil"/>
              <w:left w:val="nil"/>
              <w:bottom w:val="single" w:sz="4" w:space="0" w:color="auto"/>
              <w:right w:val="single" w:sz="4" w:space="0" w:color="auto"/>
            </w:tcBorders>
            <w:shd w:val="clear" w:color="auto" w:fill="auto"/>
            <w:vAlign w:val="bottom"/>
            <w:hideMark/>
          </w:tcPr>
          <w:p w14:paraId="2897A10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AL ACCESO Y TRANSPARENCIA DE LA INFORMACIÓN EXTRACTIVA - EITI NACIONAL</w:t>
            </w:r>
          </w:p>
        </w:tc>
        <w:tc>
          <w:tcPr>
            <w:tcW w:w="760" w:type="dxa"/>
            <w:tcBorders>
              <w:top w:val="nil"/>
              <w:left w:val="nil"/>
              <w:bottom w:val="single" w:sz="4" w:space="0" w:color="auto"/>
              <w:right w:val="single" w:sz="4" w:space="0" w:color="auto"/>
            </w:tcBorders>
            <w:shd w:val="clear" w:color="auto" w:fill="auto"/>
            <w:vAlign w:val="bottom"/>
            <w:hideMark/>
          </w:tcPr>
          <w:p w14:paraId="5C08D4A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w:t>
            </w:r>
          </w:p>
        </w:tc>
        <w:tc>
          <w:tcPr>
            <w:tcW w:w="980" w:type="dxa"/>
            <w:tcBorders>
              <w:top w:val="nil"/>
              <w:left w:val="nil"/>
              <w:bottom w:val="single" w:sz="4" w:space="0" w:color="auto"/>
              <w:right w:val="single" w:sz="4" w:space="0" w:color="auto"/>
            </w:tcBorders>
            <w:shd w:val="clear" w:color="auto" w:fill="auto"/>
            <w:vAlign w:val="bottom"/>
            <w:hideMark/>
          </w:tcPr>
          <w:p w14:paraId="59D28EA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17</w:t>
            </w:r>
          </w:p>
        </w:tc>
        <w:tc>
          <w:tcPr>
            <w:tcW w:w="1300" w:type="dxa"/>
            <w:tcBorders>
              <w:top w:val="nil"/>
              <w:left w:val="nil"/>
              <w:bottom w:val="single" w:sz="4" w:space="0" w:color="auto"/>
              <w:right w:val="single" w:sz="4" w:space="0" w:color="auto"/>
            </w:tcBorders>
            <w:shd w:val="clear" w:color="auto" w:fill="auto"/>
            <w:vAlign w:val="bottom"/>
            <w:hideMark/>
          </w:tcPr>
          <w:p w14:paraId="7DB6F51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16,91</w:t>
            </w:r>
          </w:p>
        </w:tc>
      </w:tr>
      <w:tr w:rsidR="007A1C0E" w:rsidRPr="007A1C0E" w14:paraId="2464C265"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055839D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4AFEDE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'2016011000154</w:t>
            </w:r>
          </w:p>
        </w:tc>
        <w:tc>
          <w:tcPr>
            <w:tcW w:w="4787" w:type="dxa"/>
            <w:tcBorders>
              <w:top w:val="nil"/>
              <w:left w:val="nil"/>
              <w:bottom w:val="single" w:sz="4" w:space="0" w:color="auto"/>
              <w:right w:val="single" w:sz="4" w:space="0" w:color="auto"/>
            </w:tcBorders>
            <w:shd w:val="clear" w:color="auto" w:fill="auto"/>
            <w:vAlign w:val="bottom"/>
            <w:hideMark/>
          </w:tcPr>
          <w:p w14:paraId="0C46C05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CULTURA ORGANIZACIONAL DEL MINISTERIO DE MINAS Y ENERGÍA EN LA CIUDAD DE BOGOTÁ</w:t>
            </w:r>
          </w:p>
        </w:tc>
        <w:tc>
          <w:tcPr>
            <w:tcW w:w="760" w:type="dxa"/>
            <w:tcBorders>
              <w:top w:val="nil"/>
              <w:left w:val="nil"/>
              <w:bottom w:val="single" w:sz="4" w:space="0" w:color="auto"/>
              <w:right w:val="single" w:sz="4" w:space="0" w:color="auto"/>
            </w:tcBorders>
            <w:shd w:val="clear" w:color="auto" w:fill="auto"/>
            <w:vAlign w:val="bottom"/>
            <w:hideMark/>
          </w:tcPr>
          <w:p w14:paraId="114D820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w:t>
            </w:r>
          </w:p>
        </w:tc>
        <w:tc>
          <w:tcPr>
            <w:tcW w:w="980" w:type="dxa"/>
            <w:tcBorders>
              <w:top w:val="nil"/>
              <w:left w:val="nil"/>
              <w:bottom w:val="single" w:sz="4" w:space="0" w:color="auto"/>
              <w:right w:val="single" w:sz="4" w:space="0" w:color="auto"/>
            </w:tcBorders>
            <w:shd w:val="clear" w:color="auto" w:fill="auto"/>
            <w:vAlign w:val="bottom"/>
            <w:hideMark/>
          </w:tcPr>
          <w:p w14:paraId="658217C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9,5</w:t>
            </w:r>
          </w:p>
        </w:tc>
        <w:tc>
          <w:tcPr>
            <w:tcW w:w="1300" w:type="dxa"/>
            <w:tcBorders>
              <w:top w:val="nil"/>
              <w:left w:val="nil"/>
              <w:bottom w:val="single" w:sz="4" w:space="0" w:color="auto"/>
              <w:right w:val="single" w:sz="4" w:space="0" w:color="auto"/>
            </w:tcBorders>
            <w:shd w:val="clear" w:color="auto" w:fill="auto"/>
            <w:vAlign w:val="bottom"/>
            <w:hideMark/>
          </w:tcPr>
          <w:p w14:paraId="4AD6902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12,89</w:t>
            </w:r>
          </w:p>
        </w:tc>
      </w:tr>
      <w:tr w:rsidR="007A1C0E" w:rsidRPr="007A1C0E" w14:paraId="65DE59BA"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882663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D976D4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'2016011000176</w:t>
            </w:r>
          </w:p>
        </w:tc>
        <w:tc>
          <w:tcPr>
            <w:tcW w:w="4787" w:type="dxa"/>
            <w:tcBorders>
              <w:top w:val="nil"/>
              <w:left w:val="nil"/>
              <w:bottom w:val="single" w:sz="4" w:space="0" w:color="auto"/>
              <w:right w:val="single" w:sz="4" w:space="0" w:color="auto"/>
            </w:tcBorders>
            <w:shd w:val="clear" w:color="auto" w:fill="auto"/>
            <w:vAlign w:val="bottom"/>
            <w:hideMark/>
          </w:tcPr>
          <w:p w14:paraId="4547D97E"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IMPLEMENTACIÓN DEL PLAN ESTRATÉGICO SECTORIAL PARA LA ELIMINACIÓN DEL USO DEL MERCURIO DE LA ACTIVIDAD MINERA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706F800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15</w:t>
            </w:r>
          </w:p>
        </w:tc>
        <w:tc>
          <w:tcPr>
            <w:tcW w:w="980" w:type="dxa"/>
            <w:tcBorders>
              <w:top w:val="nil"/>
              <w:left w:val="nil"/>
              <w:bottom w:val="single" w:sz="4" w:space="0" w:color="auto"/>
              <w:right w:val="single" w:sz="4" w:space="0" w:color="auto"/>
            </w:tcBorders>
            <w:shd w:val="clear" w:color="auto" w:fill="auto"/>
            <w:vAlign w:val="bottom"/>
            <w:hideMark/>
          </w:tcPr>
          <w:p w14:paraId="0090654B"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3E8A976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20,19</w:t>
            </w:r>
          </w:p>
        </w:tc>
      </w:tr>
      <w:tr w:rsidR="007A1C0E" w:rsidRPr="007A1C0E" w14:paraId="49528961"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E2512A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0F4A7C7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'2016011000183</w:t>
            </w:r>
          </w:p>
        </w:tc>
        <w:tc>
          <w:tcPr>
            <w:tcW w:w="4787" w:type="dxa"/>
            <w:tcBorders>
              <w:top w:val="nil"/>
              <w:left w:val="nil"/>
              <w:bottom w:val="single" w:sz="4" w:space="0" w:color="auto"/>
              <w:right w:val="single" w:sz="4" w:space="0" w:color="auto"/>
            </w:tcBorders>
            <w:shd w:val="clear" w:color="auto" w:fill="auto"/>
            <w:vAlign w:val="bottom"/>
            <w:hideMark/>
          </w:tcPr>
          <w:p w14:paraId="3794F61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APOYO PARA LA GENERACIÓN DE ACCESO AL CRÉDITO PARA LA PEQUEÑA MINERIA A NIVEL NACIONAL</w:t>
            </w:r>
          </w:p>
        </w:tc>
        <w:tc>
          <w:tcPr>
            <w:tcW w:w="760" w:type="dxa"/>
            <w:tcBorders>
              <w:top w:val="nil"/>
              <w:left w:val="nil"/>
              <w:bottom w:val="single" w:sz="4" w:space="0" w:color="auto"/>
              <w:right w:val="single" w:sz="4" w:space="0" w:color="auto"/>
            </w:tcBorders>
            <w:shd w:val="clear" w:color="auto" w:fill="auto"/>
            <w:vAlign w:val="bottom"/>
            <w:hideMark/>
          </w:tcPr>
          <w:p w14:paraId="68B1673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11</w:t>
            </w:r>
          </w:p>
        </w:tc>
        <w:tc>
          <w:tcPr>
            <w:tcW w:w="980" w:type="dxa"/>
            <w:tcBorders>
              <w:top w:val="nil"/>
              <w:left w:val="nil"/>
              <w:bottom w:val="single" w:sz="4" w:space="0" w:color="auto"/>
              <w:right w:val="single" w:sz="4" w:space="0" w:color="auto"/>
            </w:tcBorders>
            <w:shd w:val="clear" w:color="auto" w:fill="auto"/>
            <w:vAlign w:val="bottom"/>
            <w:hideMark/>
          </w:tcPr>
          <w:p w14:paraId="78D1457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34</w:t>
            </w:r>
          </w:p>
        </w:tc>
        <w:tc>
          <w:tcPr>
            <w:tcW w:w="1300" w:type="dxa"/>
            <w:tcBorders>
              <w:top w:val="nil"/>
              <w:left w:val="nil"/>
              <w:bottom w:val="single" w:sz="4" w:space="0" w:color="auto"/>
              <w:right w:val="single" w:sz="4" w:space="0" w:color="auto"/>
            </w:tcBorders>
            <w:shd w:val="clear" w:color="auto" w:fill="auto"/>
            <w:vAlign w:val="bottom"/>
            <w:hideMark/>
          </w:tcPr>
          <w:p w14:paraId="0F624DE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10,75</w:t>
            </w:r>
          </w:p>
        </w:tc>
      </w:tr>
      <w:tr w:rsidR="007A1C0E" w:rsidRPr="007A1C0E" w14:paraId="2A1F4026"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7E6D238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BF800D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'2016011000184</w:t>
            </w:r>
          </w:p>
        </w:tc>
        <w:tc>
          <w:tcPr>
            <w:tcW w:w="4787" w:type="dxa"/>
            <w:tcBorders>
              <w:top w:val="nil"/>
              <w:left w:val="nil"/>
              <w:bottom w:val="single" w:sz="4" w:space="0" w:color="auto"/>
              <w:right w:val="single" w:sz="4" w:space="0" w:color="auto"/>
            </w:tcBorders>
            <w:shd w:val="clear" w:color="auto" w:fill="auto"/>
            <w:vAlign w:val="bottom"/>
            <w:hideMark/>
          </w:tcPr>
          <w:p w14:paraId="34448D5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MEJORAMIENTO DE LA CALIDAD DE VIDA DE LOS MINEROS DE SUBSISTENCIA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44EE677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25</w:t>
            </w:r>
          </w:p>
        </w:tc>
        <w:tc>
          <w:tcPr>
            <w:tcW w:w="980" w:type="dxa"/>
            <w:tcBorders>
              <w:top w:val="nil"/>
              <w:left w:val="nil"/>
              <w:bottom w:val="single" w:sz="4" w:space="0" w:color="auto"/>
              <w:right w:val="single" w:sz="4" w:space="0" w:color="auto"/>
            </w:tcBorders>
            <w:shd w:val="clear" w:color="auto" w:fill="auto"/>
            <w:vAlign w:val="bottom"/>
            <w:hideMark/>
          </w:tcPr>
          <w:p w14:paraId="09052B6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265F1E6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72,91</w:t>
            </w:r>
          </w:p>
        </w:tc>
      </w:tr>
      <w:tr w:rsidR="007A1C0E" w:rsidRPr="007A1C0E" w14:paraId="2F0185C3" w14:textId="77777777" w:rsidTr="007A1C0E">
        <w:trPr>
          <w:trHeight w:val="102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0BECB1A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1267D77E"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'2016011000195</w:t>
            </w:r>
          </w:p>
        </w:tc>
        <w:tc>
          <w:tcPr>
            <w:tcW w:w="4787" w:type="dxa"/>
            <w:tcBorders>
              <w:top w:val="nil"/>
              <w:left w:val="nil"/>
              <w:bottom w:val="single" w:sz="4" w:space="0" w:color="auto"/>
              <w:right w:val="single" w:sz="4" w:space="0" w:color="auto"/>
            </w:tcBorders>
            <w:shd w:val="clear" w:color="auto" w:fill="auto"/>
            <w:vAlign w:val="bottom"/>
            <w:hideMark/>
          </w:tcPr>
          <w:p w14:paraId="34C2BA5E"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GESTIÓN INSTITUCIONAL EN TERRITORIO Y CONTRIBUCIÓN A LA GOBERNABILIDAD DEL SECTOR MINERO ENERGÉTICO NACIONAL</w:t>
            </w:r>
          </w:p>
        </w:tc>
        <w:tc>
          <w:tcPr>
            <w:tcW w:w="760" w:type="dxa"/>
            <w:tcBorders>
              <w:top w:val="nil"/>
              <w:left w:val="nil"/>
              <w:bottom w:val="single" w:sz="4" w:space="0" w:color="auto"/>
              <w:right w:val="single" w:sz="4" w:space="0" w:color="auto"/>
            </w:tcBorders>
            <w:shd w:val="clear" w:color="auto" w:fill="auto"/>
            <w:vAlign w:val="bottom"/>
            <w:hideMark/>
          </w:tcPr>
          <w:p w14:paraId="2D74677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39</w:t>
            </w:r>
          </w:p>
        </w:tc>
        <w:tc>
          <w:tcPr>
            <w:tcW w:w="980" w:type="dxa"/>
            <w:tcBorders>
              <w:top w:val="nil"/>
              <w:left w:val="nil"/>
              <w:bottom w:val="single" w:sz="4" w:space="0" w:color="auto"/>
              <w:right w:val="single" w:sz="4" w:space="0" w:color="auto"/>
            </w:tcBorders>
            <w:shd w:val="clear" w:color="auto" w:fill="auto"/>
            <w:vAlign w:val="bottom"/>
            <w:hideMark/>
          </w:tcPr>
          <w:p w14:paraId="65B2065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45</w:t>
            </w:r>
          </w:p>
        </w:tc>
        <w:tc>
          <w:tcPr>
            <w:tcW w:w="1300" w:type="dxa"/>
            <w:tcBorders>
              <w:top w:val="nil"/>
              <w:left w:val="nil"/>
              <w:bottom w:val="single" w:sz="4" w:space="0" w:color="auto"/>
              <w:right w:val="single" w:sz="4" w:space="0" w:color="auto"/>
            </w:tcBorders>
            <w:shd w:val="clear" w:color="auto" w:fill="auto"/>
            <w:vAlign w:val="bottom"/>
            <w:hideMark/>
          </w:tcPr>
          <w:p w14:paraId="79AAF83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42,33</w:t>
            </w:r>
          </w:p>
        </w:tc>
      </w:tr>
      <w:tr w:rsidR="007A1C0E" w:rsidRPr="007A1C0E" w14:paraId="667C7EF2"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687568C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lastRenderedPageBreak/>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B41531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'2016011000217</w:t>
            </w:r>
          </w:p>
        </w:tc>
        <w:tc>
          <w:tcPr>
            <w:tcW w:w="4787" w:type="dxa"/>
            <w:tcBorders>
              <w:top w:val="nil"/>
              <w:left w:val="nil"/>
              <w:bottom w:val="single" w:sz="4" w:space="0" w:color="auto"/>
              <w:right w:val="single" w:sz="4" w:space="0" w:color="auto"/>
            </w:tcBorders>
            <w:shd w:val="clear" w:color="auto" w:fill="auto"/>
            <w:vAlign w:val="bottom"/>
            <w:hideMark/>
          </w:tcPr>
          <w:p w14:paraId="141D670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IMPLEMENTACIÓN SISTEMA GESTION DE DOCUMENTOS ELECTRONICOS DE ARCHIVO EN EL MINISTERIO DE MINAS Y ENERGÍA</w:t>
            </w:r>
          </w:p>
        </w:tc>
        <w:tc>
          <w:tcPr>
            <w:tcW w:w="760" w:type="dxa"/>
            <w:tcBorders>
              <w:top w:val="nil"/>
              <w:left w:val="nil"/>
              <w:bottom w:val="single" w:sz="4" w:space="0" w:color="auto"/>
              <w:right w:val="single" w:sz="4" w:space="0" w:color="auto"/>
            </w:tcBorders>
            <w:shd w:val="clear" w:color="auto" w:fill="auto"/>
            <w:vAlign w:val="bottom"/>
            <w:hideMark/>
          </w:tcPr>
          <w:p w14:paraId="47076BD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17</w:t>
            </w:r>
          </w:p>
        </w:tc>
        <w:tc>
          <w:tcPr>
            <w:tcW w:w="980" w:type="dxa"/>
            <w:tcBorders>
              <w:top w:val="nil"/>
              <w:left w:val="nil"/>
              <w:bottom w:val="single" w:sz="4" w:space="0" w:color="auto"/>
              <w:right w:val="single" w:sz="4" w:space="0" w:color="auto"/>
            </w:tcBorders>
            <w:shd w:val="clear" w:color="auto" w:fill="auto"/>
            <w:vAlign w:val="bottom"/>
            <w:hideMark/>
          </w:tcPr>
          <w:p w14:paraId="02C1C6B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34</w:t>
            </w:r>
          </w:p>
        </w:tc>
        <w:tc>
          <w:tcPr>
            <w:tcW w:w="1300" w:type="dxa"/>
            <w:tcBorders>
              <w:top w:val="nil"/>
              <w:left w:val="nil"/>
              <w:bottom w:val="single" w:sz="4" w:space="0" w:color="auto"/>
              <w:right w:val="single" w:sz="4" w:space="0" w:color="auto"/>
            </w:tcBorders>
            <w:shd w:val="clear" w:color="auto" w:fill="auto"/>
            <w:vAlign w:val="bottom"/>
            <w:hideMark/>
          </w:tcPr>
          <w:p w14:paraId="5EF1349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7,81</w:t>
            </w:r>
          </w:p>
        </w:tc>
      </w:tr>
      <w:tr w:rsidR="007A1C0E" w:rsidRPr="007A1C0E" w14:paraId="30004C7F"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511EE9D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9FD0A5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'2016011000218</w:t>
            </w:r>
          </w:p>
        </w:tc>
        <w:tc>
          <w:tcPr>
            <w:tcW w:w="4787" w:type="dxa"/>
            <w:tcBorders>
              <w:top w:val="nil"/>
              <w:left w:val="nil"/>
              <w:bottom w:val="single" w:sz="4" w:space="0" w:color="auto"/>
              <w:right w:val="single" w:sz="4" w:space="0" w:color="auto"/>
            </w:tcBorders>
            <w:shd w:val="clear" w:color="auto" w:fill="auto"/>
            <w:vAlign w:val="bottom"/>
            <w:hideMark/>
          </w:tcPr>
          <w:p w14:paraId="6B815D8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ESTUDIOS SOBRE POLÍTICA Y REGULACIÓN ENERGÉTICA NACIONAL</w:t>
            </w:r>
          </w:p>
        </w:tc>
        <w:tc>
          <w:tcPr>
            <w:tcW w:w="760" w:type="dxa"/>
            <w:tcBorders>
              <w:top w:val="nil"/>
              <w:left w:val="nil"/>
              <w:bottom w:val="single" w:sz="4" w:space="0" w:color="auto"/>
              <w:right w:val="single" w:sz="4" w:space="0" w:color="auto"/>
            </w:tcBorders>
            <w:shd w:val="clear" w:color="auto" w:fill="auto"/>
            <w:vAlign w:val="bottom"/>
            <w:hideMark/>
          </w:tcPr>
          <w:p w14:paraId="5CEED6CB"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9</w:t>
            </w:r>
          </w:p>
        </w:tc>
        <w:tc>
          <w:tcPr>
            <w:tcW w:w="980" w:type="dxa"/>
            <w:tcBorders>
              <w:top w:val="nil"/>
              <w:left w:val="nil"/>
              <w:bottom w:val="single" w:sz="4" w:space="0" w:color="auto"/>
              <w:right w:val="single" w:sz="4" w:space="0" w:color="auto"/>
            </w:tcBorders>
            <w:shd w:val="clear" w:color="auto" w:fill="auto"/>
            <w:vAlign w:val="bottom"/>
            <w:hideMark/>
          </w:tcPr>
          <w:p w14:paraId="51B30B3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w:t>
            </w:r>
          </w:p>
        </w:tc>
        <w:tc>
          <w:tcPr>
            <w:tcW w:w="1300" w:type="dxa"/>
            <w:tcBorders>
              <w:top w:val="nil"/>
              <w:left w:val="nil"/>
              <w:bottom w:val="single" w:sz="4" w:space="0" w:color="auto"/>
              <w:right w:val="single" w:sz="4" w:space="0" w:color="auto"/>
            </w:tcBorders>
            <w:shd w:val="clear" w:color="auto" w:fill="auto"/>
            <w:vAlign w:val="bottom"/>
            <w:hideMark/>
          </w:tcPr>
          <w:p w14:paraId="5CC295F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29,23</w:t>
            </w:r>
          </w:p>
        </w:tc>
      </w:tr>
      <w:tr w:rsidR="007A1C0E" w:rsidRPr="007A1C0E" w14:paraId="642D9D68"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683723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BC165C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'2016011000224</w:t>
            </w:r>
          </w:p>
        </w:tc>
        <w:tc>
          <w:tcPr>
            <w:tcW w:w="4787" w:type="dxa"/>
            <w:tcBorders>
              <w:top w:val="nil"/>
              <w:left w:val="nil"/>
              <w:bottom w:val="single" w:sz="4" w:space="0" w:color="auto"/>
              <w:right w:val="single" w:sz="4" w:space="0" w:color="auto"/>
            </w:tcBorders>
            <w:shd w:val="clear" w:color="auto" w:fill="auto"/>
            <w:vAlign w:val="bottom"/>
            <w:hideMark/>
          </w:tcPr>
          <w:p w14:paraId="556B175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MANTENIMIENTO ADECUACION Y AMPLIACION DE LA INFRAESTRUCTURA PARA SEDES DEL MME , , BOGOTÁ</w:t>
            </w:r>
          </w:p>
        </w:tc>
        <w:tc>
          <w:tcPr>
            <w:tcW w:w="760" w:type="dxa"/>
            <w:tcBorders>
              <w:top w:val="nil"/>
              <w:left w:val="nil"/>
              <w:bottom w:val="single" w:sz="4" w:space="0" w:color="auto"/>
              <w:right w:val="single" w:sz="4" w:space="0" w:color="auto"/>
            </w:tcBorders>
            <w:shd w:val="clear" w:color="auto" w:fill="auto"/>
            <w:vAlign w:val="bottom"/>
            <w:hideMark/>
          </w:tcPr>
          <w:p w14:paraId="086AD1A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04F9A8D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100</w:t>
            </w:r>
          </w:p>
        </w:tc>
        <w:tc>
          <w:tcPr>
            <w:tcW w:w="1300" w:type="dxa"/>
            <w:tcBorders>
              <w:top w:val="nil"/>
              <w:left w:val="nil"/>
              <w:bottom w:val="single" w:sz="4" w:space="0" w:color="auto"/>
              <w:right w:val="single" w:sz="4" w:space="0" w:color="auto"/>
            </w:tcBorders>
            <w:shd w:val="clear" w:color="auto" w:fill="auto"/>
            <w:vAlign w:val="bottom"/>
            <w:hideMark/>
          </w:tcPr>
          <w:p w14:paraId="78D0252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2,91</w:t>
            </w:r>
          </w:p>
        </w:tc>
      </w:tr>
      <w:tr w:rsidR="007A1C0E" w:rsidRPr="007A1C0E" w14:paraId="575948AD"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44FC9BF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9F9006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'2017011000209</w:t>
            </w:r>
          </w:p>
        </w:tc>
        <w:tc>
          <w:tcPr>
            <w:tcW w:w="4787" w:type="dxa"/>
            <w:tcBorders>
              <w:top w:val="nil"/>
              <w:left w:val="nil"/>
              <w:bottom w:val="single" w:sz="4" w:space="0" w:color="auto"/>
              <w:right w:val="single" w:sz="4" w:space="0" w:color="auto"/>
            </w:tcBorders>
            <w:shd w:val="clear" w:color="auto" w:fill="auto"/>
            <w:vAlign w:val="bottom"/>
            <w:hideMark/>
          </w:tcPr>
          <w:p w14:paraId="5090E11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Mejoramiento del Modelo Integrado de Planeación y Gestión en el Ministerio de Minas y Energía Bogotá</w:t>
            </w:r>
          </w:p>
        </w:tc>
        <w:tc>
          <w:tcPr>
            <w:tcW w:w="760" w:type="dxa"/>
            <w:tcBorders>
              <w:top w:val="nil"/>
              <w:left w:val="nil"/>
              <w:bottom w:val="single" w:sz="4" w:space="0" w:color="auto"/>
              <w:right w:val="single" w:sz="4" w:space="0" w:color="auto"/>
            </w:tcBorders>
            <w:shd w:val="clear" w:color="auto" w:fill="auto"/>
            <w:vAlign w:val="bottom"/>
            <w:hideMark/>
          </w:tcPr>
          <w:p w14:paraId="6118AE6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37</w:t>
            </w:r>
          </w:p>
        </w:tc>
        <w:tc>
          <w:tcPr>
            <w:tcW w:w="980" w:type="dxa"/>
            <w:tcBorders>
              <w:top w:val="nil"/>
              <w:left w:val="nil"/>
              <w:bottom w:val="single" w:sz="4" w:space="0" w:color="auto"/>
              <w:right w:val="single" w:sz="4" w:space="0" w:color="auto"/>
            </w:tcBorders>
            <w:shd w:val="clear" w:color="auto" w:fill="auto"/>
            <w:vAlign w:val="bottom"/>
            <w:hideMark/>
          </w:tcPr>
          <w:p w14:paraId="0AE7D7A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67</w:t>
            </w:r>
          </w:p>
        </w:tc>
        <w:tc>
          <w:tcPr>
            <w:tcW w:w="1300" w:type="dxa"/>
            <w:tcBorders>
              <w:top w:val="nil"/>
              <w:left w:val="nil"/>
              <w:bottom w:val="single" w:sz="4" w:space="0" w:color="auto"/>
              <w:right w:val="single" w:sz="4" w:space="0" w:color="auto"/>
            </w:tcBorders>
            <w:shd w:val="clear" w:color="auto" w:fill="auto"/>
            <w:vAlign w:val="bottom"/>
            <w:hideMark/>
          </w:tcPr>
          <w:p w14:paraId="7B49C00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19,39</w:t>
            </w:r>
          </w:p>
        </w:tc>
      </w:tr>
      <w:tr w:rsidR="007A1C0E" w:rsidRPr="007A1C0E" w14:paraId="5790393E"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1745F73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22A58D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'2017011000218</w:t>
            </w:r>
          </w:p>
        </w:tc>
        <w:tc>
          <w:tcPr>
            <w:tcW w:w="4787" w:type="dxa"/>
            <w:tcBorders>
              <w:top w:val="nil"/>
              <w:left w:val="nil"/>
              <w:bottom w:val="single" w:sz="4" w:space="0" w:color="auto"/>
              <w:right w:val="single" w:sz="4" w:space="0" w:color="auto"/>
            </w:tcBorders>
            <w:shd w:val="clear" w:color="auto" w:fill="auto"/>
            <w:vAlign w:val="bottom"/>
            <w:hideMark/>
          </w:tcPr>
          <w:p w14:paraId="5DA00C9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Autoridad Reguladora para el uso seguro de los materiales nucleares y radiactivos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60101C3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9</w:t>
            </w:r>
          </w:p>
        </w:tc>
        <w:tc>
          <w:tcPr>
            <w:tcW w:w="980" w:type="dxa"/>
            <w:tcBorders>
              <w:top w:val="nil"/>
              <w:left w:val="nil"/>
              <w:bottom w:val="single" w:sz="4" w:space="0" w:color="auto"/>
              <w:right w:val="single" w:sz="4" w:space="0" w:color="auto"/>
            </w:tcBorders>
            <w:shd w:val="clear" w:color="auto" w:fill="auto"/>
            <w:vAlign w:val="bottom"/>
            <w:hideMark/>
          </w:tcPr>
          <w:p w14:paraId="6517C45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16,5</w:t>
            </w:r>
          </w:p>
        </w:tc>
        <w:tc>
          <w:tcPr>
            <w:tcW w:w="1300" w:type="dxa"/>
            <w:tcBorders>
              <w:top w:val="nil"/>
              <w:left w:val="nil"/>
              <w:bottom w:val="single" w:sz="4" w:space="0" w:color="auto"/>
              <w:right w:val="single" w:sz="4" w:space="0" w:color="auto"/>
            </w:tcBorders>
            <w:shd w:val="clear" w:color="auto" w:fill="auto"/>
            <w:vAlign w:val="bottom"/>
            <w:hideMark/>
          </w:tcPr>
          <w:p w14:paraId="5BD3632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9,58</w:t>
            </w:r>
          </w:p>
        </w:tc>
      </w:tr>
      <w:tr w:rsidR="007A1C0E" w:rsidRPr="007A1C0E" w14:paraId="0F52AFA4" w14:textId="77777777" w:rsidTr="007A1C0E">
        <w:trPr>
          <w:trHeight w:val="510"/>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52F0EA7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F5EF8F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'2017011000350</w:t>
            </w:r>
          </w:p>
        </w:tc>
        <w:tc>
          <w:tcPr>
            <w:tcW w:w="4787" w:type="dxa"/>
            <w:tcBorders>
              <w:top w:val="nil"/>
              <w:left w:val="nil"/>
              <w:bottom w:val="single" w:sz="4" w:space="0" w:color="auto"/>
              <w:right w:val="single" w:sz="4" w:space="0" w:color="auto"/>
            </w:tcBorders>
            <w:shd w:val="clear" w:color="auto" w:fill="auto"/>
            <w:vAlign w:val="bottom"/>
            <w:hideMark/>
          </w:tcPr>
          <w:p w14:paraId="79822EF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Apoyo al mejoramiento del desempeño energético en la región caribe Nacional</w:t>
            </w:r>
          </w:p>
        </w:tc>
        <w:tc>
          <w:tcPr>
            <w:tcW w:w="760" w:type="dxa"/>
            <w:tcBorders>
              <w:top w:val="nil"/>
              <w:left w:val="nil"/>
              <w:bottom w:val="single" w:sz="4" w:space="0" w:color="auto"/>
              <w:right w:val="single" w:sz="4" w:space="0" w:color="auto"/>
            </w:tcBorders>
            <w:shd w:val="clear" w:color="auto" w:fill="auto"/>
            <w:vAlign w:val="bottom"/>
            <w:hideMark/>
          </w:tcPr>
          <w:p w14:paraId="125090B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37CCDEB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49885C8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r>
      <w:tr w:rsidR="007A1C0E" w:rsidRPr="007A1C0E" w14:paraId="3150D555" w14:textId="77777777" w:rsidTr="007A1C0E">
        <w:trPr>
          <w:trHeight w:val="765"/>
        </w:trPr>
        <w:tc>
          <w:tcPr>
            <w:tcW w:w="1118" w:type="dxa"/>
            <w:tcBorders>
              <w:top w:val="nil"/>
              <w:left w:val="single" w:sz="4" w:space="0" w:color="auto"/>
              <w:bottom w:val="single" w:sz="4" w:space="0" w:color="auto"/>
              <w:right w:val="single" w:sz="4" w:space="0" w:color="auto"/>
            </w:tcBorders>
            <w:shd w:val="clear" w:color="auto" w:fill="auto"/>
            <w:vAlign w:val="bottom"/>
            <w:hideMark/>
          </w:tcPr>
          <w:p w14:paraId="7228DF1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Minminas</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502B41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'2017011000433</w:t>
            </w:r>
          </w:p>
        </w:tc>
        <w:tc>
          <w:tcPr>
            <w:tcW w:w="4787" w:type="dxa"/>
            <w:tcBorders>
              <w:top w:val="nil"/>
              <w:left w:val="nil"/>
              <w:bottom w:val="single" w:sz="4" w:space="0" w:color="auto"/>
              <w:right w:val="single" w:sz="4" w:space="0" w:color="auto"/>
            </w:tcBorders>
            <w:shd w:val="clear" w:color="auto" w:fill="auto"/>
            <w:vAlign w:val="bottom"/>
            <w:hideMark/>
          </w:tcPr>
          <w:p w14:paraId="73C3CE9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competitividad en la industria minera en los departamentos de Cundinamarca, Boyacá, Norte de Santander</w:t>
            </w:r>
          </w:p>
        </w:tc>
        <w:tc>
          <w:tcPr>
            <w:tcW w:w="760" w:type="dxa"/>
            <w:tcBorders>
              <w:top w:val="nil"/>
              <w:left w:val="nil"/>
              <w:bottom w:val="single" w:sz="4" w:space="0" w:color="auto"/>
              <w:right w:val="single" w:sz="4" w:space="0" w:color="auto"/>
            </w:tcBorders>
            <w:shd w:val="clear" w:color="auto" w:fill="auto"/>
            <w:vAlign w:val="bottom"/>
            <w:hideMark/>
          </w:tcPr>
          <w:p w14:paraId="39DA4B5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0688BDB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46E3EEE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0,67</w:t>
            </w:r>
          </w:p>
        </w:tc>
      </w:tr>
    </w:tbl>
    <w:p w14:paraId="23D54F93" w14:textId="77777777" w:rsidR="007A1C0E" w:rsidRDefault="007A1C0E" w:rsidP="00C02282">
      <w:pPr>
        <w:spacing w:after="0" w:line="240" w:lineRule="auto"/>
        <w:jc w:val="center"/>
        <w:rPr>
          <w:rFonts w:ascii="Arial" w:eastAsia="Calibri" w:hAnsi="Arial" w:cs="Arial"/>
          <w:sz w:val="16"/>
          <w:szCs w:val="16"/>
          <w:lang w:eastAsia="es-CO"/>
        </w:rPr>
      </w:pPr>
    </w:p>
    <w:p w14:paraId="21A6E20D" w14:textId="0205F06A" w:rsidR="00C02282" w:rsidRPr="00C43FCE" w:rsidRDefault="00C02282" w:rsidP="00C02282">
      <w:pPr>
        <w:spacing w:after="0" w:line="240" w:lineRule="auto"/>
        <w:jc w:val="center"/>
        <w:rPr>
          <w:rFonts w:ascii="Arial" w:eastAsia="Calibri" w:hAnsi="Arial" w:cs="Arial"/>
          <w:sz w:val="16"/>
          <w:szCs w:val="16"/>
          <w:lang w:eastAsia="es-CO"/>
        </w:rPr>
      </w:pPr>
      <w:r w:rsidRPr="00C43FCE">
        <w:rPr>
          <w:rFonts w:ascii="Arial" w:eastAsia="Calibri" w:hAnsi="Arial" w:cs="Arial"/>
          <w:sz w:val="16"/>
          <w:szCs w:val="16"/>
          <w:lang w:eastAsia="es-CO"/>
        </w:rPr>
        <w:t xml:space="preserve">Fuente: Sistema de Seguimiento a Proyectos de Inversión – SPI a </w:t>
      </w:r>
      <w:r w:rsidR="00CE0FBB">
        <w:rPr>
          <w:rFonts w:ascii="Arial" w:eastAsia="Calibri" w:hAnsi="Arial" w:cs="Arial"/>
          <w:sz w:val="16"/>
          <w:szCs w:val="16"/>
          <w:lang w:eastAsia="es-CO"/>
        </w:rPr>
        <w:t xml:space="preserve">junio </w:t>
      </w:r>
      <w:r w:rsidRPr="00C43FCE">
        <w:rPr>
          <w:rFonts w:ascii="Arial" w:eastAsia="Calibri" w:hAnsi="Arial" w:cs="Arial"/>
          <w:sz w:val="16"/>
          <w:szCs w:val="16"/>
          <w:lang w:eastAsia="es-CO"/>
        </w:rPr>
        <w:t>de 2018.</w:t>
      </w:r>
    </w:p>
    <w:p w14:paraId="1A3AD33C" w14:textId="77777777" w:rsidR="00C02282" w:rsidRPr="00C43FCE" w:rsidRDefault="00C02282" w:rsidP="00C02282">
      <w:pPr>
        <w:spacing w:line="240" w:lineRule="auto"/>
        <w:rPr>
          <w:rFonts w:ascii="Arial" w:eastAsia="Calibri" w:hAnsi="Arial" w:cs="Arial"/>
          <w:b/>
          <w:color w:val="FF0000"/>
          <w:sz w:val="20"/>
          <w:szCs w:val="20"/>
        </w:rPr>
      </w:pPr>
    </w:p>
    <w:p w14:paraId="5DC65559" w14:textId="77777777" w:rsidR="00C02282" w:rsidRPr="00EF684A" w:rsidRDefault="00C02282" w:rsidP="008B4625">
      <w:pPr>
        <w:pStyle w:val="Ttulo1"/>
        <w:numPr>
          <w:ilvl w:val="0"/>
          <w:numId w:val="36"/>
        </w:numPr>
        <w:rPr>
          <w:rFonts w:ascii="Arial" w:eastAsia="Arial" w:hAnsi="Arial" w:cs="Arial"/>
          <w:b/>
          <w:color w:val="auto"/>
          <w:sz w:val="22"/>
          <w:szCs w:val="22"/>
          <w:lang w:eastAsia="es-CO"/>
        </w:rPr>
      </w:pPr>
      <w:bookmarkStart w:id="318" w:name="_Toc525652101"/>
      <w:r w:rsidRPr="00EF684A">
        <w:rPr>
          <w:rFonts w:ascii="Arial" w:eastAsia="Arial" w:hAnsi="Arial" w:cs="Arial"/>
          <w:b/>
          <w:color w:val="auto"/>
          <w:sz w:val="22"/>
          <w:szCs w:val="22"/>
          <w:lang w:eastAsia="es-CO"/>
        </w:rPr>
        <w:t>Agencia Nacional de Hidrocarburos – ANH</w:t>
      </w:r>
      <w:bookmarkEnd w:id="318"/>
    </w:p>
    <w:p w14:paraId="1CC52C26" w14:textId="144C5C21" w:rsidR="00C02282" w:rsidRPr="00EF684A" w:rsidRDefault="00C02282" w:rsidP="00C02282">
      <w:pPr>
        <w:spacing w:line="240" w:lineRule="auto"/>
        <w:jc w:val="both"/>
        <w:rPr>
          <w:rFonts w:ascii="Arial" w:eastAsia="Calibri" w:hAnsi="Arial" w:cs="Arial"/>
          <w:noProof/>
          <w:sz w:val="20"/>
          <w:szCs w:val="20"/>
          <w:lang w:eastAsia="es-CO"/>
        </w:rPr>
      </w:pPr>
      <w:r w:rsidRPr="00EF684A">
        <w:rPr>
          <w:rFonts w:ascii="Arial" w:eastAsia="Calibri" w:hAnsi="Arial" w:cs="Arial"/>
          <w:noProof/>
          <w:sz w:val="20"/>
          <w:szCs w:val="20"/>
          <w:lang w:eastAsia="es-CO"/>
        </w:rPr>
        <w:t>La Agencia Nacional de Hidrocarburos, presenta dos proyectos con una Apropiación vigente de $270.371,0 millones con un porcentaje de Avance en Ejecución del 1</w:t>
      </w:r>
      <w:r w:rsidR="00EF684A" w:rsidRPr="00EF684A">
        <w:rPr>
          <w:rFonts w:ascii="Arial" w:eastAsia="Calibri" w:hAnsi="Arial" w:cs="Arial"/>
          <w:noProof/>
          <w:sz w:val="20"/>
          <w:szCs w:val="20"/>
          <w:lang w:eastAsia="es-CO"/>
        </w:rPr>
        <w:t>3</w:t>
      </w:r>
      <w:r w:rsidRPr="00EF684A">
        <w:rPr>
          <w:rFonts w:ascii="Arial" w:eastAsia="Calibri" w:hAnsi="Arial" w:cs="Arial"/>
          <w:noProof/>
          <w:sz w:val="20"/>
          <w:szCs w:val="20"/>
          <w:lang w:eastAsia="es-CO"/>
        </w:rPr>
        <w:t>%, un avance físico de 1</w:t>
      </w:r>
      <w:r w:rsidR="00EF684A" w:rsidRPr="00EF684A">
        <w:rPr>
          <w:rFonts w:ascii="Arial" w:eastAsia="Calibri" w:hAnsi="Arial" w:cs="Arial"/>
          <w:noProof/>
          <w:sz w:val="20"/>
          <w:szCs w:val="20"/>
          <w:lang w:eastAsia="es-CO"/>
        </w:rPr>
        <w:t>5</w:t>
      </w:r>
      <w:r w:rsidRPr="00EF684A">
        <w:rPr>
          <w:rFonts w:ascii="Arial" w:eastAsia="Calibri" w:hAnsi="Arial" w:cs="Arial"/>
          <w:noProof/>
          <w:sz w:val="20"/>
          <w:szCs w:val="20"/>
          <w:lang w:eastAsia="es-CO"/>
        </w:rPr>
        <w:t xml:space="preserve">% y un avance de gestión de </w:t>
      </w:r>
      <w:r w:rsidR="00EF684A" w:rsidRPr="00EF684A">
        <w:rPr>
          <w:rFonts w:ascii="Arial" w:eastAsia="Calibri" w:hAnsi="Arial" w:cs="Arial"/>
          <w:noProof/>
          <w:sz w:val="20"/>
          <w:szCs w:val="20"/>
          <w:lang w:eastAsia="es-CO"/>
        </w:rPr>
        <w:t>0</w:t>
      </w:r>
      <w:r w:rsidRPr="00EF684A">
        <w:rPr>
          <w:rFonts w:ascii="Arial" w:eastAsia="Calibri" w:hAnsi="Arial" w:cs="Arial"/>
          <w:noProof/>
          <w:sz w:val="20"/>
          <w:szCs w:val="20"/>
          <w:lang w:eastAsia="es-CO"/>
        </w:rPr>
        <w:t xml:space="preserve">%. </w:t>
      </w:r>
    </w:p>
    <w:p w14:paraId="533B6819" w14:textId="7926B37B" w:rsidR="00C02282" w:rsidRPr="00C43FCE" w:rsidRDefault="00C02282" w:rsidP="00C02282">
      <w:pPr>
        <w:spacing w:line="240" w:lineRule="auto"/>
        <w:jc w:val="both"/>
        <w:rPr>
          <w:rFonts w:ascii="Arial" w:eastAsia="Calibri" w:hAnsi="Arial" w:cs="Arial"/>
          <w:sz w:val="20"/>
          <w:szCs w:val="20"/>
          <w:lang w:eastAsia="es-CO"/>
        </w:rPr>
      </w:pPr>
      <w:r w:rsidRPr="00EF684A">
        <w:rPr>
          <w:rFonts w:ascii="Arial" w:eastAsia="Calibri" w:hAnsi="Arial" w:cs="Arial"/>
          <w:noProof/>
          <w:sz w:val="20"/>
          <w:szCs w:val="20"/>
          <w:lang w:eastAsia="es-CO"/>
        </w:rPr>
        <w:t>Los proyectos mas destacados son: Gestión de Tecnologías de Información y Comunicaciones</w:t>
      </w:r>
      <w:r w:rsidRPr="00EF684A">
        <w:rPr>
          <w:rFonts w:ascii="Arial" w:eastAsia="Times New Roman" w:hAnsi="Arial" w:cs="Arial"/>
          <w:color w:val="000000"/>
          <w:sz w:val="20"/>
          <w:szCs w:val="20"/>
          <w:lang w:eastAsia="es-CO"/>
        </w:rPr>
        <w:t xml:space="preserve"> </w:t>
      </w:r>
      <w:r w:rsidRPr="00EF684A">
        <w:rPr>
          <w:rFonts w:ascii="Arial" w:eastAsia="Calibri" w:hAnsi="Arial" w:cs="Arial"/>
          <w:noProof/>
          <w:sz w:val="20"/>
          <w:szCs w:val="20"/>
          <w:lang w:eastAsia="es-CO"/>
        </w:rPr>
        <w:t xml:space="preserve">con un porcentaje de Avance en Ejecución del 15%, un avance físico de 0% y un avance de gestión de 13.02%. Y el proyecto </w:t>
      </w:r>
      <w:r w:rsidR="00EF684A" w:rsidRPr="00EF684A">
        <w:rPr>
          <w:rFonts w:ascii="Arial" w:eastAsia="Times New Roman" w:hAnsi="Arial" w:cs="Arial"/>
          <w:color w:val="000000"/>
          <w:sz w:val="20"/>
          <w:szCs w:val="20"/>
          <w:lang w:eastAsia="es-CO"/>
        </w:rPr>
        <w:t>Adecuación del Modelo de Promoción de l</w:t>
      </w:r>
      <w:r w:rsidRPr="00EF684A">
        <w:rPr>
          <w:rFonts w:ascii="Arial" w:eastAsia="Times New Roman" w:hAnsi="Arial" w:cs="Arial"/>
          <w:color w:val="000000"/>
          <w:sz w:val="20"/>
          <w:szCs w:val="20"/>
          <w:lang w:eastAsia="es-CO"/>
        </w:rPr>
        <w:t>os Recurso</w:t>
      </w:r>
      <w:r w:rsidR="00EF684A" w:rsidRPr="00EF684A">
        <w:rPr>
          <w:rFonts w:ascii="Arial" w:eastAsia="Times New Roman" w:hAnsi="Arial" w:cs="Arial"/>
          <w:color w:val="000000"/>
          <w:sz w:val="20"/>
          <w:szCs w:val="20"/>
          <w:lang w:eastAsia="es-CO"/>
        </w:rPr>
        <w:t xml:space="preserve">s </w:t>
      </w:r>
      <w:r w:rsidR="009E5C47" w:rsidRPr="00EF684A">
        <w:rPr>
          <w:rFonts w:ascii="Arial" w:eastAsia="Times New Roman" w:hAnsi="Arial" w:cs="Arial"/>
          <w:color w:val="000000"/>
          <w:sz w:val="20"/>
          <w:szCs w:val="20"/>
          <w:lang w:eastAsia="es-CO"/>
        </w:rPr>
        <w:t>Hidrocarburíferos</w:t>
      </w:r>
      <w:r w:rsidR="00EF684A" w:rsidRPr="00EF684A">
        <w:rPr>
          <w:rFonts w:ascii="Arial" w:eastAsia="Times New Roman" w:hAnsi="Arial" w:cs="Arial"/>
          <w:color w:val="000000"/>
          <w:sz w:val="20"/>
          <w:szCs w:val="20"/>
          <w:lang w:eastAsia="es-CO"/>
        </w:rPr>
        <w:t xml:space="preserve"> Frente a l</w:t>
      </w:r>
      <w:r w:rsidRPr="00EF684A">
        <w:rPr>
          <w:rFonts w:ascii="Arial" w:eastAsia="Times New Roman" w:hAnsi="Arial" w:cs="Arial"/>
          <w:color w:val="000000"/>
          <w:sz w:val="20"/>
          <w:szCs w:val="20"/>
          <w:lang w:eastAsia="es-CO"/>
        </w:rPr>
        <w:t xml:space="preserve">os Factores Externos </w:t>
      </w:r>
      <w:r w:rsidR="00EF684A" w:rsidRPr="00EF684A">
        <w:rPr>
          <w:rFonts w:ascii="Arial" w:eastAsia="Calibri" w:hAnsi="Arial" w:cs="Arial"/>
          <w:sz w:val="20"/>
          <w:szCs w:val="20"/>
          <w:lang w:eastAsia="es-CO"/>
        </w:rPr>
        <w:t>presenta avance Físico de 22%, de Gestión el 32.5</w:t>
      </w:r>
      <w:r w:rsidRPr="00EF684A">
        <w:rPr>
          <w:rFonts w:ascii="Arial" w:eastAsia="Calibri" w:hAnsi="Arial" w:cs="Arial"/>
          <w:sz w:val="20"/>
          <w:szCs w:val="20"/>
          <w:lang w:eastAsia="es-CO"/>
        </w:rPr>
        <w:t>% y Financiero de 1</w:t>
      </w:r>
      <w:r w:rsidR="00EF684A" w:rsidRPr="00EF684A">
        <w:rPr>
          <w:rFonts w:ascii="Arial" w:eastAsia="Calibri" w:hAnsi="Arial" w:cs="Arial"/>
          <w:sz w:val="20"/>
          <w:szCs w:val="20"/>
          <w:lang w:eastAsia="es-CO"/>
        </w:rPr>
        <w:t>5,46%</w:t>
      </w:r>
      <w:r w:rsidRPr="00EF684A">
        <w:rPr>
          <w:rFonts w:ascii="Arial" w:eastAsia="Calibri" w:hAnsi="Arial" w:cs="Arial"/>
          <w:sz w:val="20"/>
          <w:szCs w:val="20"/>
          <w:lang w:eastAsia="es-CO"/>
        </w:rPr>
        <w:t>.</w:t>
      </w:r>
      <w:r w:rsidR="00EF684A">
        <w:rPr>
          <w:rFonts w:ascii="Arial" w:eastAsia="Calibri" w:hAnsi="Arial" w:cs="Arial"/>
          <w:sz w:val="20"/>
          <w:szCs w:val="20"/>
          <w:lang w:eastAsia="es-CO"/>
        </w:rPr>
        <w:t xml:space="preserve"> </w:t>
      </w:r>
      <w:r w:rsidR="00EF684A">
        <w:rPr>
          <w:rFonts w:ascii="Arial" w:eastAsia="Times New Roman" w:hAnsi="Arial" w:cs="Arial"/>
          <w:color w:val="000000"/>
          <w:sz w:val="20"/>
          <w:szCs w:val="20"/>
          <w:lang w:val="es-ES" w:eastAsia="es-ES"/>
        </w:rPr>
        <w:t>Fortalecimiento d</w:t>
      </w:r>
      <w:r w:rsidR="00EF684A" w:rsidRPr="007A1C0E">
        <w:rPr>
          <w:rFonts w:ascii="Arial" w:eastAsia="Times New Roman" w:hAnsi="Arial" w:cs="Arial"/>
          <w:color w:val="000000"/>
          <w:sz w:val="20"/>
          <w:szCs w:val="20"/>
          <w:lang w:val="es-ES" w:eastAsia="es-ES"/>
        </w:rPr>
        <w:t xml:space="preserve">e </w:t>
      </w:r>
      <w:r w:rsidR="00EF684A">
        <w:rPr>
          <w:rFonts w:ascii="Arial" w:eastAsia="Times New Roman" w:hAnsi="Arial" w:cs="Arial"/>
          <w:color w:val="000000"/>
          <w:sz w:val="20"/>
          <w:szCs w:val="20"/>
          <w:lang w:val="es-ES" w:eastAsia="es-ES"/>
        </w:rPr>
        <w:t>l</w:t>
      </w:r>
      <w:r w:rsidR="00EF684A" w:rsidRPr="007A1C0E">
        <w:rPr>
          <w:rFonts w:ascii="Arial" w:eastAsia="Times New Roman" w:hAnsi="Arial" w:cs="Arial"/>
          <w:color w:val="000000"/>
          <w:sz w:val="20"/>
          <w:szCs w:val="20"/>
          <w:lang w:val="es-ES" w:eastAsia="es-ES"/>
        </w:rPr>
        <w:t>a Gestión Articu</w:t>
      </w:r>
      <w:r w:rsidR="00EF684A">
        <w:rPr>
          <w:rFonts w:ascii="Arial" w:eastAsia="Times New Roman" w:hAnsi="Arial" w:cs="Arial"/>
          <w:color w:val="000000"/>
          <w:sz w:val="20"/>
          <w:szCs w:val="20"/>
          <w:lang w:val="es-ES" w:eastAsia="es-ES"/>
        </w:rPr>
        <w:t>lada Para la Sostenibilidad del Sector d</w:t>
      </w:r>
      <w:r w:rsidR="00EF684A" w:rsidRPr="007A1C0E">
        <w:rPr>
          <w:rFonts w:ascii="Arial" w:eastAsia="Times New Roman" w:hAnsi="Arial" w:cs="Arial"/>
          <w:color w:val="000000"/>
          <w:sz w:val="20"/>
          <w:szCs w:val="20"/>
          <w:lang w:val="es-ES" w:eastAsia="es-ES"/>
        </w:rPr>
        <w:t>e Hidrocarburos</w:t>
      </w:r>
      <w:r w:rsidR="00EF684A">
        <w:rPr>
          <w:rFonts w:ascii="Arial" w:eastAsia="Times New Roman" w:hAnsi="Arial" w:cs="Arial"/>
          <w:color w:val="000000"/>
          <w:sz w:val="20"/>
          <w:szCs w:val="20"/>
          <w:lang w:val="es-ES" w:eastAsia="es-ES"/>
        </w:rPr>
        <w:t xml:space="preserve">, </w:t>
      </w:r>
      <w:r w:rsidR="00EF684A" w:rsidRPr="00EF684A">
        <w:rPr>
          <w:rFonts w:ascii="Arial" w:eastAsia="Calibri" w:hAnsi="Arial" w:cs="Arial"/>
          <w:noProof/>
          <w:sz w:val="20"/>
          <w:szCs w:val="20"/>
          <w:lang w:eastAsia="es-CO"/>
        </w:rPr>
        <w:t>con un porcenta</w:t>
      </w:r>
      <w:r w:rsidR="00EF684A">
        <w:rPr>
          <w:rFonts w:ascii="Arial" w:eastAsia="Calibri" w:hAnsi="Arial" w:cs="Arial"/>
          <w:noProof/>
          <w:sz w:val="20"/>
          <w:szCs w:val="20"/>
          <w:lang w:eastAsia="es-CO"/>
        </w:rPr>
        <w:t>je de Avance en Ejecución del 41%, un avance físico de 75</w:t>
      </w:r>
      <w:r w:rsidR="00EF684A" w:rsidRPr="00EF684A">
        <w:rPr>
          <w:rFonts w:ascii="Arial" w:eastAsia="Calibri" w:hAnsi="Arial" w:cs="Arial"/>
          <w:noProof/>
          <w:sz w:val="20"/>
          <w:szCs w:val="20"/>
          <w:lang w:eastAsia="es-CO"/>
        </w:rPr>
        <w:t>%</w:t>
      </w:r>
      <w:r w:rsidR="00EF684A">
        <w:rPr>
          <w:rFonts w:ascii="Arial" w:eastAsia="Calibri" w:hAnsi="Arial" w:cs="Arial"/>
          <w:noProof/>
          <w:sz w:val="20"/>
          <w:szCs w:val="20"/>
          <w:lang w:eastAsia="es-CO"/>
        </w:rPr>
        <w:t xml:space="preserve"> y un avance de gestión de 26,28</w:t>
      </w:r>
      <w:r w:rsidR="00EF684A" w:rsidRPr="00EF684A">
        <w:rPr>
          <w:rFonts w:ascii="Arial" w:eastAsia="Calibri" w:hAnsi="Arial" w:cs="Arial"/>
          <w:noProof/>
          <w:sz w:val="20"/>
          <w:szCs w:val="20"/>
          <w:lang w:eastAsia="es-CO"/>
        </w:rPr>
        <w:t>%.</w:t>
      </w:r>
      <w:r w:rsidR="00EF684A">
        <w:rPr>
          <w:rFonts w:ascii="Arial" w:eastAsia="Calibri" w:hAnsi="Arial" w:cs="Arial"/>
          <w:noProof/>
          <w:sz w:val="20"/>
          <w:szCs w:val="20"/>
          <w:lang w:eastAsia="es-CO"/>
        </w:rPr>
        <w:t xml:space="preserve"> </w:t>
      </w:r>
      <w:r w:rsidR="00EF684A">
        <w:rPr>
          <w:rFonts w:ascii="Arial" w:eastAsia="Times New Roman" w:hAnsi="Arial" w:cs="Arial"/>
          <w:color w:val="000000"/>
          <w:sz w:val="20"/>
          <w:szCs w:val="20"/>
          <w:lang w:val="es-ES" w:eastAsia="es-ES"/>
        </w:rPr>
        <w:t>Desarrollo de la Evaluación Del Potencial de Hidrocarburos d</w:t>
      </w:r>
      <w:r w:rsidR="00EF684A" w:rsidRPr="007A1C0E">
        <w:rPr>
          <w:rFonts w:ascii="Arial" w:eastAsia="Times New Roman" w:hAnsi="Arial" w:cs="Arial"/>
          <w:color w:val="000000"/>
          <w:sz w:val="20"/>
          <w:szCs w:val="20"/>
          <w:lang w:val="es-ES" w:eastAsia="es-ES"/>
        </w:rPr>
        <w:t>el País</w:t>
      </w:r>
      <w:r w:rsidR="00EF684A">
        <w:rPr>
          <w:rFonts w:ascii="Arial" w:eastAsia="Times New Roman" w:hAnsi="Arial" w:cs="Arial"/>
          <w:color w:val="000000"/>
          <w:sz w:val="20"/>
          <w:szCs w:val="20"/>
          <w:lang w:val="es-ES" w:eastAsia="es-ES"/>
        </w:rPr>
        <w:t xml:space="preserve">, </w:t>
      </w:r>
      <w:r w:rsidR="00EF684A" w:rsidRPr="00EF684A">
        <w:rPr>
          <w:rFonts w:ascii="Arial" w:eastAsia="Calibri" w:hAnsi="Arial" w:cs="Arial"/>
          <w:noProof/>
          <w:sz w:val="20"/>
          <w:szCs w:val="20"/>
          <w:lang w:eastAsia="es-CO"/>
        </w:rPr>
        <w:t>con un porcenta</w:t>
      </w:r>
      <w:r w:rsidR="00EF684A">
        <w:rPr>
          <w:rFonts w:ascii="Arial" w:eastAsia="Calibri" w:hAnsi="Arial" w:cs="Arial"/>
          <w:noProof/>
          <w:sz w:val="20"/>
          <w:szCs w:val="20"/>
          <w:lang w:eastAsia="es-CO"/>
        </w:rPr>
        <w:t>je de Avance en Ejecución del 0%, un avance físico de 75</w:t>
      </w:r>
      <w:r w:rsidR="00EF684A" w:rsidRPr="00EF684A">
        <w:rPr>
          <w:rFonts w:ascii="Arial" w:eastAsia="Calibri" w:hAnsi="Arial" w:cs="Arial"/>
          <w:noProof/>
          <w:sz w:val="20"/>
          <w:szCs w:val="20"/>
          <w:lang w:eastAsia="es-CO"/>
        </w:rPr>
        <w:t>%</w:t>
      </w:r>
      <w:r w:rsidR="00EF684A">
        <w:rPr>
          <w:rFonts w:ascii="Arial" w:eastAsia="Calibri" w:hAnsi="Arial" w:cs="Arial"/>
          <w:noProof/>
          <w:sz w:val="20"/>
          <w:szCs w:val="20"/>
          <w:lang w:eastAsia="es-CO"/>
        </w:rPr>
        <w:t xml:space="preserve"> y un avance de gestión de 6,35</w:t>
      </w:r>
      <w:r w:rsidR="00EF684A" w:rsidRPr="00EF684A">
        <w:rPr>
          <w:rFonts w:ascii="Arial" w:eastAsia="Calibri" w:hAnsi="Arial" w:cs="Arial"/>
          <w:noProof/>
          <w:sz w:val="20"/>
          <w:szCs w:val="20"/>
          <w:lang w:eastAsia="es-CO"/>
        </w:rPr>
        <w:t>%.</w:t>
      </w:r>
    </w:p>
    <w:p w14:paraId="4BF6BFB7" w14:textId="054DB933" w:rsidR="004E4B1E" w:rsidRPr="00C43FCE" w:rsidRDefault="004E4B1E" w:rsidP="00C02282">
      <w:pPr>
        <w:spacing w:after="0" w:line="240" w:lineRule="auto"/>
        <w:jc w:val="center"/>
        <w:rPr>
          <w:rFonts w:ascii="Arial" w:eastAsia="Calibri" w:hAnsi="Arial" w:cs="Arial"/>
          <w:sz w:val="16"/>
          <w:szCs w:val="16"/>
          <w:lang w:eastAsia="es-CO"/>
        </w:rPr>
      </w:pPr>
      <w:r w:rsidRPr="00C43FCE">
        <w:rPr>
          <w:noProof/>
          <w:lang w:eastAsia="es-CO"/>
        </w:rPr>
        <w:lastRenderedPageBreak/>
        <mc:AlternateContent>
          <mc:Choice Requires="wps">
            <w:drawing>
              <wp:anchor distT="0" distB="0" distL="114300" distR="114300" simplePos="0" relativeHeight="251588096" behindDoc="0" locked="0" layoutInCell="1" allowOverlap="1" wp14:anchorId="33BEC292" wp14:editId="4861D59F">
                <wp:simplePos x="0" y="0"/>
                <wp:positionH relativeFrom="column">
                  <wp:posOffset>-738505</wp:posOffset>
                </wp:positionH>
                <wp:positionV relativeFrom="paragraph">
                  <wp:posOffset>-54610</wp:posOffset>
                </wp:positionV>
                <wp:extent cx="7028180" cy="371475"/>
                <wp:effectExtent l="0" t="0" r="1270" b="9525"/>
                <wp:wrapThrough wrapText="bothSides">
                  <wp:wrapPolygon edited="0">
                    <wp:start x="0" y="0"/>
                    <wp:lineTo x="0" y="21046"/>
                    <wp:lineTo x="21545" y="21046"/>
                    <wp:lineTo x="21545" y="0"/>
                    <wp:lineTo x="0" y="0"/>
                  </wp:wrapPolygon>
                </wp:wrapThrough>
                <wp:docPr id="45" name="45 Cuadro de texto"/>
                <wp:cNvGraphicFramePr/>
                <a:graphic xmlns:a="http://schemas.openxmlformats.org/drawingml/2006/main">
                  <a:graphicData uri="http://schemas.microsoft.com/office/word/2010/wordprocessingShape">
                    <wps:wsp>
                      <wps:cNvSpPr txBox="1"/>
                      <wps:spPr>
                        <a:xfrm>
                          <a:off x="0" y="0"/>
                          <a:ext cx="7028180" cy="371475"/>
                        </a:xfrm>
                        <a:prstGeom prst="rect">
                          <a:avLst/>
                        </a:prstGeom>
                        <a:solidFill>
                          <a:prstClr val="white"/>
                        </a:solidFill>
                        <a:ln>
                          <a:noFill/>
                        </a:ln>
                        <a:effectLst/>
                      </wps:spPr>
                      <wps:txbx>
                        <w:txbxContent>
                          <w:p w14:paraId="4B1BF99A" w14:textId="575E1C8B" w:rsidR="008B5E15" w:rsidRPr="00E25E06" w:rsidRDefault="008B5E15" w:rsidP="00C02282">
                            <w:pPr>
                              <w:pStyle w:val="Descripcin"/>
                              <w:jc w:val="center"/>
                              <w:rPr>
                                <w:rFonts w:eastAsiaTheme="minorHAnsi"/>
                                <w:noProof/>
                              </w:rPr>
                            </w:pPr>
                            <w:bookmarkStart w:id="319" w:name="_Toc525652580"/>
                            <w:r>
                              <w:t xml:space="preserve">Tabla </w:t>
                            </w:r>
                            <w:r>
                              <w:fldChar w:fldCharType="begin"/>
                            </w:r>
                            <w:r>
                              <w:instrText xml:space="preserve"> SEQ Tabla \* ARABIC </w:instrText>
                            </w:r>
                            <w:r>
                              <w:fldChar w:fldCharType="separate"/>
                            </w:r>
                            <w:r>
                              <w:rPr>
                                <w:noProof/>
                              </w:rPr>
                              <w:t>135</w:t>
                            </w:r>
                            <w:r>
                              <w:fldChar w:fldCharType="end"/>
                            </w:r>
                            <w:r>
                              <w:t xml:space="preserve"> </w:t>
                            </w:r>
                            <w:r w:rsidRPr="00EC5DCF">
                              <w:t xml:space="preserve">Informe de SPI de la ANH a </w:t>
                            </w:r>
                            <w:r>
                              <w:t xml:space="preserve">junio </w:t>
                            </w:r>
                            <w:r w:rsidRPr="00EC5DCF">
                              <w:t xml:space="preserve">de 2018. </w:t>
                            </w:r>
                            <w:r>
                              <w:t>SPI</w:t>
                            </w:r>
                            <w:bookmarkEnd w:id="3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EC292" id="45 Cuadro de texto" o:spid="_x0000_s1028" type="#_x0000_t202" style="position:absolute;left:0;text-align:left;margin-left:-58.15pt;margin-top:-4.3pt;width:553.4pt;height:29.25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" stroked="f">
                <v:textbox inset="0,0,0,0">
                  <w:txbxContent>
                    <w:p w14:paraId="4B1BF99A" w14:textId="575E1C8B" w:rsidR="008B5E15" w:rsidRPr="00E25E06" w:rsidRDefault="008B5E15" w:rsidP="00C02282">
                      <w:pPr>
                        <w:pStyle w:val="Descripcin"/>
                        <w:jc w:val="center"/>
                        <w:rPr>
                          <w:rFonts w:eastAsiaTheme="minorHAnsi"/>
                          <w:noProof/>
                        </w:rPr>
                      </w:pPr>
                      <w:bookmarkStart w:id="320" w:name="_Toc525652580"/>
                      <w:r>
                        <w:t xml:space="preserve">Tabla </w:t>
                      </w:r>
                      <w:r>
                        <w:fldChar w:fldCharType="begin"/>
                      </w:r>
                      <w:r>
                        <w:instrText xml:space="preserve"> SEQ Tabla \* ARABIC </w:instrText>
                      </w:r>
                      <w:r>
                        <w:fldChar w:fldCharType="separate"/>
                      </w:r>
                      <w:r>
                        <w:rPr>
                          <w:noProof/>
                        </w:rPr>
                        <w:t>135</w:t>
                      </w:r>
                      <w:r>
                        <w:fldChar w:fldCharType="end"/>
                      </w:r>
                      <w:r>
                        <w:t xml:space="preserve"> </w:t>
                      </w:r>
                      <w:r w:rsidRPr="00EC5DCF">
                        <w:t xml:space="preserve">Informe de SPI de la ANH a </w:t>
                      </w:r>
                      <w:r>
                        <w:t xml:space="preserve">junio </w:t>
                      </w:r>
                      <w:r w:rsidRPr="00EC5DCF">
                        <w:t xml:space="preserve">de 2018. </w:t>
                      </w:r>
                      <w:r>
                        <w:t>SPI</w:t>
                      </w:r>
                      <w:bookmarkEnd w:id="320"/>
                    </w:p>
                  </w:txbxContent>
                </v:textbox>
                <w10:wrap type="through"/>
              </v:shape>
            </w:pict>
          </mc:Fallback>
        </mc:AlternateContent>
      </w:r>
      <w:r w:rsidR="001B6056" w:rsidRPr="001B6056">
        <w:rPr>
          <w:noProof/>
          <w:lang w:val="es-ES" w:eastAsia="es-ES"/>
        </w:rPr>
        <w:t xml:space="preserve"> </w:t>
      </w:r>
      <w:r w:rsidR="001B6056">
        <w:rPr>
          <w:noProof/>
          <w:lang w:eastAsia="es-CO"/>
        </w:rPr>
        <w:drawing>
          <wp:inline distT="0" distB="0" distL="0" distR="0" wp14:anchorId="06174F4F" wp14:editId="33D91461">
            <wp:extent cx="6564406" cy="2819400"/>
            <wp:effectExtent l="0" t="0" r="8255" b="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566768" cy="2820415"/>
                    </a:xfrm>
                    <a:prstGeom prst="rect">
                      <a:avLst/>
                    </a:prstGeom>
                  </pic:spPr>
                </pic:pic>
              </a:graphicData>
            </a:graphic>
          </wp:inline>
        </w:drawing>
      </w:r>
    </w:p>
    <w:p w14:paraId="29156D10" w14:textId="67C4E2AA" w:rsidR="00C02282" w:rsidRPr="00C43FCE" w:rsidRDefault="00C02282" w:rsidP="00C02282">
      <w:pPr>
        <w:spacing w:after="0" w:line="240" w:lineRule="auto"/>
        <w:jc w:val="center"/>
        <w:rPr>
          <w:rFonts w:ascii="Arial" w:eastAsia="Calibri" w:hAnsi="Arial" w:cs="Arial"/>
          <w:sz w:val="16"/>
          <w:szCs w:val="16"/>
          <w:lang w:eastAsia="es-CO"/>
        </w:rPr>
      </w:pPr>
      <w:r w:rsidRPr="00C43FCE">
        <w:rPr>
          <w:rFonts w:ascii="Arial" w:eastAsia="Calibri" w:hAnsi="Arial" w:cs="Arial"/>
          <w:sz w:val="16"/>
          <w:szCs w:val="16"/>
          <w:lang w:eastAsia="es-CO"/>
        </w:rPr>
        <w:t xml:space="preserve">Fuente: Sistema de Seguimiento a Proyectos de Inversión – SPI a </w:t>
      </w:r>
      <w:r w:rsidR="004E4B1E" w:rsidRPr="00C43FCE">
        <w:rPr>
          <w:rFonts w:ascii="Arial" w:eastAsia="Calibri" w:hAnsi="Arial" w:cs="Arial"/>
          <w:sz w:val="16"/>
          <w:szCs w:val="16"/>
          <w:lang w:eastAsia="es-CO"/>
        </w:rPr>
        <w:t xml:space="preserve">junio </w:t>
      </w:r>
      <w:r w:rsidRPr="00C43FCE">
        <w:rPr>
          <w:rFonts w:ascii="Arial" w:eastAsia="Calibri" w:hAnsi="Arial" w:cs="Arial"/>
          <w:sz w:val="16"/>
          <w:szCs w:val="16"/>
          <w:lang w:eastAsia="es-CO"/>
        </w:rPr>
        <w:t>de 2018.</w:t>
      </w:r>
    </w:p>
    <w:p w14:paraId="3605BA75" w14:textId="1D2F9F4F" w:rsidR="00C02282" w:rsidRPr="00C43FCE" w:rsidRDefault="00C02282" w:rsidP="00C02282">
      <w:pPr>
        <w:spacing w:after="0" w:line="240" w:lineRule="auto"/>
        <w:jc w:val="center"/>
        <w:rPr>
          <w:noProof/>
          <w:lang w:eastAsia="es-CO"/>
        </w:rPr>
      </w:pPr>
    </w:p>
    <w:p w14:paraId="14CEE476" w14:textId="77777777" w:rsidR="00C02282" w:rsidRPr="00C43FCE" w:rsidRDefault="00C02282" w:rsidP="00C02282">
      <w:pPr>
        <w:spacing w:after="0" w:line="240" w:lineRule="auto"/>
        <w:jc w:val="center"/>
        <w:rPr>
          <w:noProof/>
          <w:lang w:eastAsia="es-CO"/>
        </w:rPr>
      </w:pPr>
    </w:p>
    <w:p w14:paraId="601F410E" w14:textId="1A3199A8" w:rsidR="00C02282" w:rsidRPr="00C43FCE" w:rsidRDefault="00C02282" w:rsidP="00C02282">
      <w:pPr>
        <w:pStyle w:val="Descripcin"/>
        <w:keepNext/>
        <w:jc w:val="center"/>
      </w:pPr>
      <w:bookmarkStart w:id="321" w:name="_Toc525652441"/>
      <w:r w:rsidRPr="00C43FCE">
        <w:t xml:space="preserve">Gráfica </w:t>
      </w:r>
      <w:r w:rsidR="00B6251B">
        <w:fldChar w:fldCharType="begin"/>
      </w:r>
      <w:r w:rsidR="00B6251B">
        <w:instrText xml:space="preserve"> SEQ Gráfica \* ARABIC </w:instrText>
      </w:r>
      <w:r w:rsidR="00B6251B">
        <w:fldChar w:fldCharType="separate"/>
      </w:r>
      <w:r w:rsidR="00B6251B">
        <w:rPr>
          <w:noProof/>
        </w:rPr>
        <w:t>28</w:t>
      </w:r>
      <w:r w:rsidR="00B6251B">
        <w:fldChar w:fldCharType="end"/>
      </w:r>
      <w:r w:rsidRPr="00C43FCE">
        <w:t xml:space="preserve"> Informe de SPI de la ANH a </w:t>
      </w:r>
      <w:r w:rsidR="004E4B1E" w:rsidRPr="00C43FCE">
        <w:t xml:space="preserve">junio </w:t>
      </w:r>
      <w:r w:rsidRPr="00C43FCE">
        <w:t xml:space="preserve"> de 2018.</w:t>
      </w:r>
      <w:bookmarkEnd w:id="321"/>
    </w:p>
    <w:p w14:paraId="2A0FAD26" w14:textId="48E1C1C8" w:rsidR="00C02282" w:rsidRPr="00C43FCE" w:rsidRDefault="004E4B1E" w:rsidP="00C02282">
      <w:pPr>
        <w:spacing w:after="0" w:line="240" w:lineRule="auto"/>
        <w:jc w:val="center"/>
        <w:rPr>
          <w:rFonts w:ascii="Arial" w:eastAsia="Calibri" w:hAnsi="Arial" w:cs="Arial"/>
          <w:b/>
          <w:noProof/>
          <w:sz w:val="20"/>
          <w:szCs w:val="20"/>
          <w:lang w:eastAsia="es-CO"/>
        </w:rPr>
      </w:pPr>
      <w:r w:rsidRPr="00C43FCE">
        <w:rPr>
          <w:noProof/>
          <w:lang w:eastAsia="es-CO"/>
        </w:rPr>
        <w:drawing>
          <wp:inline distT="0" distB="0" distL="0" distR="0" wp14:anchorId="17D3F27F" wp14:editId="0E55A1D4">
            <wp:extent cx="4567398" cy="2882968"/>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72632" cy="2886272"/>
                    </a:xfrm>
                    <a:prstGeom prst="rect">
                      <a:avLst/>
                    </a:prstGeom>
                  </pic:spPr>
                </pic:pic>
              </a:graphicData>
            </a:graphic>
          </wp:inline>
        </w:drawing>
      </w:r>
    </w:p>
    <w:p w14:paraId="36725655" w14:textId="11AAB50F" w:rsidR="00C02282" w:rsidRPr="00C43FCE" w:rsidRDefault="00C02282" w:rsidP="00C02282">
      <w:pPr>
        <w:spacing w:after="0" w:line="240" w:lineRule="auto"/>
        <w:jc w:val="center"/>
        <w:rPr>
          <w:rFonts w:ascii="Arial" w:eastAsia="Calibri" w:hAnsi="Arial" w:cs="Arial"/>
          <w:sz w:val="16"/>
          <w:szCs w:val="16"/>
          <w:lang w:eastAsia="es-CO"/>
        </w:rPr>
      </w:pPr>
      <w:r w:rsidRPr="00C43FCE">
        <w:rPr>
          <w:rFonts w:ascii="Arial" w:eastAsia="Calibri" w:hAnsi="Arial" w:cs="Arial"/>
          <w:sz w:val="16"/>
          <w:szCs w:val="16"/>
          <w:lang w:eastAsia="es-CO"/>
        </w:rPr>
        <w:t>Fuente: Sistema de Seguimiento a Proyectos de Inversión – SPI a</w:t>
      </w:r>
      <w:r w:rsidR="004E4B1E" w:rsidRPr="00C43FCE">
        <w:rPr>
          <w:rFonts w:ascii="Arial" w:eastAsia="Calibri" w:hAnsi="Arial" w:cs="Arial"/>
          <w:sz w:val="16"/>
          <w:szCs w:val="16"/>
          <w:lang w:eastAsia="es-CO"/>
        </w:rPr>
        <w:t xml:space="preserve"> </w:t>
      </w:r>
      <w:r w:rsidR="008A4B8C" w:rsidRPr="00C43FCE">
        <w:rPr>
          <w:rFonts w:ascii="Arial" w:eastAsia="Calibri" w:hAnsi="Arial" w:cs="Arial"/>
          <w:sz w:val="16"/>
          <w:szCs w:val="16"/>
          <w:lang w:eastAsia="es-CO"/>
        </w:rPr>
        <w:t>junio</w:t>
      </w:r>
      <w:r w:rsidR="004E4B1E" w:rsidRPr="00C43FCE">
        <w:rPr>
          <w:rFonts w:ascii="Arial" w:eastAsia="Calibri" w:hAnsi="Arial" w:cs="Arial"/>
          <w:sz w:val="16"/>
          <w:szCs w:val="16"/>
          <w:lang w:eastAsia="es-CO"/>
        </w:rPr>
        <w:t xml:space="preserve"> </w:t>
      </w:r>
      <w:r w:rsidRPr="00C43FCE">
        <w:rPr>
          <w:rFonts w:ascii="Arial" w:eastAsia="Calibri" w:hAnsi="Arial" w:cs="Arial"/>
          <w:sz w:val="16"/>
          <w:szCs w:val="16"/>
          <w:lang w:eastAsia="es-CO"/>
        </w:rPr>
        <w:t>de 2018.</w:t>
      </w:r>
    </w:p>
    <w:p w14:paraId="5B66D850" w14:textId="77777777" w:rsidR="00C02282" w:rsidRPr="00C43FCE" w:rsidRDefault="00C02282" w:rsidP="00C02282">
      <w:pPr>
        <w:spacing w:after="0" w:line="240" w:lineRule="auto"/>
        <w:jc w:val="center"/>
        <w:rPr>
          <w:rFonts w:ascii="Arial" w:eastAsia="Calibri" w:hAnsi="Arial" w:cs="Arial"/>
          <w:b/>
          <w:noProof/>
          <w:sz w:val="20"/>
          <w:szCs w:val="20"/>
          <w:lang w:eastAsia="es-CO"/>
        </w:rPr>
      </w:pPr>
    </w:p>
    <w:p w14:paraId="13856250" w14:textId="77777777" w:rsidR="00C02282" w:rsidRPr="00C43FCE" w:rsidRDefault="00C02282" w:rsidP="00C02282">
      <w:pPr>
        <w:spacing w:after="0" w:line="240" w:lineRule="auto"/>
        <w:jc w:val="center"/>
        <w:rPr>
          <w:rFonts w:ascii="Arial" w:eastAsia="Calibri" w:hAnsi="Arial" w:cs="Arial"/>
          <w:b/>
          <w:noProof/>
          <w:sz w:val="20"/>
          <w:szCs w:val="20"/>
          <w:lang w:eastAsia="es-CO"/>
        </w:rPr>
      </w:pPr>
    </w:p>
    <w:p w14:paraId="7F194417" w14:textId="72C1AD9C" w:rsidR="00C02282" w:rsidRPr="00C43FCE" w:rsidRDefault="00C02282" w:rsidP="00C02282">
      <w:pPr>
        <w:pStyle w:val="Descripcin"/>
        <w:keepNext/>
        <w:jc w:val="center"/>
      </w:pPr>
      <w:bookmarkStart w:id="322" w:name="_Toc525652581"/>
      <w:r w:rsidRPr="00C43FCE">
        <w:t xml:space="preserve">Tabla </w:t>
      </w:r>
      <w:r w:rsidRPr="00C43FCE">
        <w:fldChar w:fldCharType="begin"/>
      </w:r>
      <w:r w:rsidRPr="00C43FCE">
        <w:instrText xml:space="preserve"> SEQ Tabla \* ARABIC </w:instrText>
      </w:r>
      <w:r w:rsidRPr="00C43FCE">
        <w:fldChar w:fldCharType="separate"/>
      </w:r>
      <w:r w:rsidR="008B4625">
        <w:rPr>
          <w:noProof/>
        </w:rPr>
        <w:t>136</w:t>
      </w:r>
      <w:r w:rsidRPr="00C43FCE">
        <w:fldChar w:fldCharType="end"/>
      </w:r>
      <w:r w:rsidRPr="00C43FCE">
        <w:t xml:space="preserve"> Proyectos I</w:t>
      </w:r>
      <w:r w:rsidR="00624AB4" w:rsidRPr="00C43FCE">
        <w:t xml:space="preserve">nforme de SPI de la ANH a junio </w:t>
      </w:r>
      <w:r w:rsidRPr="00C43FCE">
        <w:t>de 2018.</w:t>
      </w:r>
      <w:bookmarkEnd w:id="322"/>
    </w:p>
    <w:tbl>
      <w:tblPr>
        <w:tblW w:w="10500" w:type="dxa"/>
        <w:tblInd w:w="75" w:type="dxa"/>
        <w:tblCellMar>
          <w:left w:w="70" w:type="dxa"/>
          <w:right w:w="70" w:type="dxa"/>
        </w:tblCellMar>
        <w:tblLook w:val="04A0" w:firstRow="1" w:lastRow="0" w:firstColumn="1" w:lastColumn="0" w:noHBand="0" w:noVBand="1"/>
      </w:tblPr>
      <w:tblGrid>
        <w:gridCol w:w="1143"/>
        <w:gridCol w:w="1625"/>
        <w:gridCol w:w="4499"/>
        <w:gridCol w:w="807"/>
        <w:gridCol w:w="1041"/>
        <w:gridCol w:w="1385"/>
      </w:tblGrid>
      <w:tr w:rsidR="007A1C0E" w:rsidRPr="007A1C0E" w14:paraId="151296E1" w14:textId="77777777" w:rsidTr="007A1C0E">
        <w:trPr>
          <w:trHeight w:val="255"/>
        </w:trPr>
        <w:tc>
          <w:tcPr>
            <w:tcW w:w="1158"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539E5D56"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ENTIDAD</w:t>
            </w:r>
          </w:p>
        </w:tc>
        <w:tc>
          <w:tcPr>
            <w:tcW w:w="1515" w:type="dxa"/>
            <w:tcBorders>
              <w:top w:val="single" w:sz="4" w:space="0" w:color="auto"/>
              <w:left w:val="nil"/>
              <w:bottom w:val="single" w:sz="4" w:space="0" w:color="auto"/>
              <w:right w:val="single" w:sz="4" w:space="0" w:color="auto"/>
            </w:tcBorders>
            <w:shd w:val="clear" w:color="000000" w:fill="B0C4DE"/>
            <w:vAlign w:val="bottom"/>
            <w:hideMark/>
          </w:tcPr>
          <w:p w14:paraId="7D6F8FAB"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PROYECTO</w:t>
            </w:r>
          </w:p>
        </w:tc>
        <w:tc>
          <w:tcPr>
            <w:tcW w:w="4787" w:type="dxa"/>
            <w:tcBorders>
              <w:top w:val="single" w:sz="4" w:space="0" w:color="auto"/>
              <w:left w:val="nil"/>
              <w:bottom w:val="single" w:sz="4" w:space="0" w:color="auto"/>
              <w:right w:val="single" w:sz="4" w:space="0" w:color="auto"/>
            </w:tcBorders>
            <w:shd w:val="clear" w:color="000000" w:fill="B0C4DE"/>
            <w:vAlign w:val="bottom"/>
            <w:hideMark/>
          </w:tcPr>
          <w:p w14:paraId="3BE794BF"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NOMBRE_PROYECTO</w:t>
            </w:r>
          </w:p>
        </w:tc>
        <w:tc>
          <w:tcPr>
            <w:tcW w:w="760" w:type="dxa"/>
            <w:tcBorders>
              <w:top w:val="single" w:sz="4" w:space="0" w:color="auto"/>
              <w:left w:val="nil"/>
              <w:bottom w:val="single" w:sz="4" w:space="0" w:color="auto"/>
              <w:right w:val="single" w:sz="4" w:space="0" w:color="auto"/>
            </w:tcBorders>
            <w:shd w:val="clear" w:color="000000" w:fill="B0C4DE"/>
            <w:vAlign w:val="bottom"/>
            <w:hideMark/>
          </w:tcPr>
          <w:p w14:paraId="3E424684"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FISICO</w:t>
            </w:r>
          </w:p>
        </w:tc>
        <w:tc>
          <w:tcPr>
            <w:tcW w:w="980" w:type="dxa"/>
            <w:tcBorders>
              <w:top w:val="single" w:sz="4" w:space="0" w:color="auto"/>
              <w:left w:val="nil"/>
              <w:bottom w:val="single" w:sz="4" w:space="0" w:color="auto"/>
              <w:right w:val="single" w:sz="4" w:space="0" w:color="auto"/>
            </w:tcBorders>
            <w:shd w:val="clear" w:color="000000" w:fill="B0C4DE"/>
            <w:vAlign w:val="bottom"/>
            <w:hideMark/>
          </w:tcPr>
          <w:p w14:paraId="0F981BB6"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GESTION</w:t>
            </w:r>
          </w:p>
        </w:tc>
        <w:tc>
          <w:tcPr>
            <w:tcW w:w="1300" w:type="dxa"/>
            <w:tcBorders>
              <w:top w:val="single" w:sz="4" w:space="0" w:color="auto"/>
              <w:left w:val="nil"/>
              <w:bottom w:val="single" w:sz="4" w:space="0" w:color="auto"/>
              <w:right w:val="single" w:sz="4" w:space="0" w:color="auto"/>
            </w:tcBorders>
            <w:shd w:val="clear" w:color="000000" w:fill="B0C4DE"/>
            <w:vAlign w:val="bottom"/>
            <w:hideMark/>
          </w:tcPr>
          <w:p w14:paraId="596BBBDB"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FINANCIERO</w:t>
            </w:r>
          </w:p>
        </w:tc>
      </w:tr>
      <w:tr w:rsidR="007A1C0E" w:rsidRPr="007A1C0E" w14:paraId="133B9264" w14:textId="77777777" w:rsidTr="007A1C0E">
        <w:trPr>
          <w:trHeight w:val="510"/>
        </w:trPr>
        <w:tc>
          <w:tcPr>
            <w:tcW w:w="1158" w:type="dxa"/>
            <w:tcBorders>
              <w:top w:val="nil"/>
              <w:left w:val="single" w:sz="4" w:space="0" w:color="auto"/>
              <w:bottom w:val="single" w:sz="4" w:space="0" w:color="auto"/>
              <w:right w:val="single" w:sz="4" w:space="0" w:color="auto"/>
            </w:tcBorders>
            <w:shd w:val="clear" w:color="auto" w:fill="auto"/>
            <w:vAlign w:val="bottom"/>
            <w:hideMark/>
          </w:tcPr>
          <w:p w14:paraId="0532F2C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ANH</w:t>
            </w:r>
          </w:p>
        </w:tc>
        <w:tc>
          <w:tcPr>
            <w:tcW w:w="1515" w:type="dxa"/>
            <w:tcBorders>
              <w:top w:val="nil"/>
              <w:left w:val="nil"/>
              <w:bottom w:val="single" w:sz="4" w:space="0" w:color="auto"/>
              <w:right w:val="single" w:sz="4" w:space="0" w:color="auto"/>
            </w:tcBorders>
            <w:shd w:val="clear" w:color="auto" w:fill="auto"/>
            <w:vAlign w:val="bottom"/>
            <w:hideMark/>
          </w:tcPr>
          <w:p w14:paraId="0E99A41A"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'2014011000135</w:t>
            </w:r>
          </w:p>
        </w:tc>
        <w:tc>
          <w:tcPr>
            <w:tcW w:w="4787" w:type="dxa"/>
            <w:tcBorders>
              <w:top w:val="nil"/>
              <w:left w:val="nil"/>
              <w:bottom w:val="single" w:sz="4" w:space="0" w:color="auto"/>
              <w:right w:val="single" w:sz="4" w:space="0" w:color="auto"/>
            </w:tcBorders>
            <w:shd w:val="clear" w:color="auto" w:fill="auto"/>
            <w:vAlign w:val="bottom"/>
            <w:hideMark/>
          </w:tcPr>
          <w:p w14:paraId="3739361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DESARROLLO DE CIENCIA Y TECNOLOGÍA PARA EL SECTOR DE HIDROCARBUROS</w:t>
            </w:r>
          </w:p>
        </w:tc>
        <w:tc>
          <w:tcPr>
            <w:tcW w:w="760" w:type="dxa"/>
            <w:tcBorders>
              <w:top w:val="nil"/>
              <w:left w:val="nil"/>
              <w:bottom w:val="single" w:sz="4" w:space="0" w:color="auto"/>
              <w:right w:val="single" w:sz="4" w:space="0" w:color="auto"/>
            </w:tcBorders>
            <w:shd w:val="clear" w:color="auto" w:fill="auto"/>
            <w:vAlign w:val="bottom"/>
            <w:hideMark/>
          </w:tcPr>
          <w:p w14:paraId="28DBDBA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158584D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3E45B4F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r>
      <w:tr w:rsidR="007A1C0E" w:rsidRPr="007A1C0E" w14:paraId="32952D89" w14:textId="77777777" w:rsidTr="007A1C0E">
        <w:trPr>
          <w:trHeight w:val="510"/>
        </w:trPr>
        <w:tc>
          <w:tcPr>
            <w:tcW w:w="1158" w:type="dxa"/>
            <w:tcBorders>
              <w:top w:val="nil"/>
              <w:left w:val="single" w:sz="4" w:space="0" w:color="auto"/>
              <w:bottom w:val="single" w:sz="4" w:space="0" w:color="auto"/>
              <w:right w:val="single" w:sz="4" w:space="0" w:color="auto"/>
            </w:tcBorders>
            <w:shd w:val="clear" w:color="auto" w:fill="auto"/>
            <w:vAlign w:val="bottom"/>
            <w:hideMark/>
          </w:tcPr>
          <w:p w14:paraId="6F6BBE1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ANH</w:t>
            </w:r>
          </w:p>
        </w:tc>
        <w:tc>
          <w:tcPr>
            <w:tcW w:w="1515" w:type="dxa"/>
            <w:tcBorders>
              <w:top w:val="nil"/>
              <w:left w:val="nil"/>
              <w:bottom w:val="single" w:sz="4" w:space="0" w:color="auto"/>
              <w:right w:val="single" w:sz="4" w:space="0" w:color="auto"/>
            </w:tcBorders>
            <w:shd w:val="clear" w:color="auto" w:fill="auto"/>
            <w:vAlign w:val="bottom"/>
            <w:hideMark/>
          </w:tcPr>
          <w:p w14:paraId="1367BE2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'2014011000416</w:t>
            </w:r>
          </w:p>
        </w:tc>
        <w:tc>
          <w:tcPr>
            <w:tcW w:w="4787" w:type="dxa"/>
            <w:tcBorders>
              <w:top w:val="nil"/>
              <w:left w:val="nil"/>
              <w:bottom w:val="single" w:sz="4" w:space="0" w:color="auto"/>
              <w:right w:val="single" w:sz="4" w:space="0" w:color="auto"/>
            </w:tcBorders>
            <w:shd w:val="clear" w:color="auto" w:fill="auto"/>
            <w:vAlign w:val="bottom"/>
            <w:hideMark/>
          </w:tcPr>
          <w:p w14:paraId="0DF6197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Gestión de Tecnologías de Información y Comunicaciones</w:t>
            </w:r>
          </w:p>
        </w:tc>
        <w:tc>
          <w:tcPr>
            <w:tcW w:w="760" w:type="dxa"/>
            <w:tcBorders>
              <w:top w:val="nil"/>
              <w:left w:val="nil"/>
              <w:bottom w:val="single" w:sz="4" w:space="0" w:color="auto"/>
              <w:right w:val="single" w:sz="4" w:space="0" w:color="auto"/>
            </w:tcBorders>
            <w:shd w:val="clear" w:color="auto" w:fill="auto"/>
            <w:vAlign w:val="bottom"/>
            <w:hideMark/>
          </w:tcPr>
          <w:p w14:paraId="353B880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15</w:t>
            </w:r>
          </w:p>
        </w:tc>
        <w:tc>
          <w:tcPr>
            <w:tcW w:w="980" w:type="dxa"/>
            <w:tcBorders>
              <w:top w:val="nil"/>
              <w:left w:val="nil"/>
              <w:bottom w:val="single" w:sz="4" w:space="0" w:color="auto"/>
              <w:right w:val="single" w:sz="4" w:space="0" w:color="auto"/>
            </w:tcBorders>
            <w:shd w:val="clear" w:color="auto" w:fill="auto"/>
            <w:vAlign w:val="bottom"/>
            <w:hideMark/>
          </w:tcPr>
          <w:p w14:paraId="47DF3FC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5A9F769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13,02</w:t>
            </w:r>
          </w:p>
        </w:tc>
      </w:tr>
      <w:tr w:rsidR="007A1C0E" w:rsidRPr="007A1C0E" w14:paraId="0E4A4E61" w14:textId="77777777" w:rsidTr="007A1C0E">
        <w:trPr>
          <w:trHeight w:val="510"/>
        </w:trPr>
        <w:tc>
          <w:tcPr>
            <w:tcW w:w="1158" w:type="dxa"/>
            <w:tcBorders>
              <w:top w:val="nil"/>
              <w:left w:val="single" w:sz="4" w:space="0" w:color="auto"/>
              <w:bottom w:val="single" w:sz="4" w:space="0" w:color="auto"/>
              <w:right w:val="single" w:sz="4" w:space="0" w:color="auto"/>
            </w:tcBorders>
            <w:shd w:val="clear" w:color="auto" w:fill="auto"/>
            <w:vAlign w:val="bottom"/>
            <w:hideMark/>
          </w:tcPr>
          <w:p w14:paraId="2000C0D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ANH</w:t>
            </w:r>
          </w:p>
        </w:tc>
        <w:tc>
          <w:tcPr>
            <w:tcW w:w="1515" w:type="dxa"/>
            <w:tcBorders>
              <w:top w:val="nil"/>
              <w:left w:val="nil"/>
              <w:bottom w:val="single" w:sz="4" w:space="0" w:color="auto"/>
              <w:right w:val="single" w:sz="4" w:space="0" w:color="auto"/>
            </w:tcBorders>
            <w:shd w:val="clear" w:color="auto" w:fill="auto"/>
            <w:vAlign w:val="bottom"/>
            <w:hideMark/>
          </w:tcPr>
          <w:p w14:paraId="57F2599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'2015011000067</w:t>
            </w:r>
          </w:p>
        </w:tc>
        <w:tc>
          <w:tcPr>
            <w:tcW w:w="4787" w:type="dxa"/>
            <w:tcBorders>
              <w:top w:val="nil"/>
              <w:left w:val="nil"/>
              <w:bottom w:val="single" w:sz="4" w:space="0" w:color="auto"/>
              <w:right w:val="single" w:sz="4" w:space="0" w:color="auto"/>
            </w:tcBorders>
            <w:shd w:val="clear" w:color="auto" w:fill="auto"/>
            <w:vAlign w:val="bottom"/>
            <w:hideMark/>
          </w:tcPr>
          <w:p w14:paraId="0764924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DESARROLLO DE LA EVALUACIÓN DEL POTENCIAL DE HIDROCARBUROS DEL PAÍS</w:t>
            </w:r>
          </w:p>
        </w:tc>
        <w:tc>
          <w:tcPr>
            <w:tcW w:w="760" w:type="dxa"/>
            <w:tcBorders>
              <w:top w:val="nil"/>
              <w:left w:val="nil"/>
              <w:bottom w:val="single" w:sz="4" w:space="0" w:color="auto"/>
              <w:right w:val="single" w:sz="4" w:space="0" w:color="auto"/>
            </w:tcBorders>
            <w:shd w:val="clear" w:color="auto" w:fill="auto"/>
            <w:vAlign w:val="bottom"/>
            <w:hideMark/>
          </w:tcPr>
          <w:p w14:paraId="384CC17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73A73FA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75</w:t>
            </w:r>
          </w:p>
        </w:tc>
        <w:tc>
          <w:tcPr>
            <w:tcW w:w="1300" w:type="dxa"/>
            <w:tcBorders>
              <w:top w:val="nil"/>
              <w:left w:val="nil"/>
              <w:bottom w:val="single" w:sz="4" w:space="0" w:color="auto"/>
              <w:right w:val="single" w:sz="4" w:space="0" w:color="auto"/>
            </w:tcBorders>
            <w:shd w:val="clear" w:color="auto" w:fill="auto"/>
            <w:vAlign w:val="bottom"/>
            <w:hideMark/>
          </w:tcPr>
          <w:p w14:paraId="7242F8A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6,35</w:t>
            </w:r>
          </w:p>
        </w:tc>
      </w:tr>
      <w:tr w:rsidR="007A1C0E" w:rsidRPr="007A1C0E" w14:paraId="6BF28819" w14:textId="77777777" w:rsidTr="007A1C0E">
        <w:trPr>
          <w:trHeight w:val="765"/>
        </w:trPr>
        <w:tc>
          <w:tcPr>
            <w:tcW w:w="1158" w:type="dxa"/>
            <w:tcBorders>
              <w:top w:val="nil"/>
              <w:left w:val="single" w:sz="4" w:space="0" w:color="auto"/>
              <w:bottom w:val="single" w:sz="4" w:space="0" w:color="auto"/>
              <w:right w:val="single" w:sz="4" w:space="0" w:color="auto"/>
            </w:tcBorders>
            <w:shd w:val="clear" w:color="auto" w:fill="auto"/>
            <w:vAlign w:val="bottom"/>
            <w:hideMark/>
          </w:tcPr>
          <w:p w14:paraId="53AD90C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ANH</w:t>
            </w:r>
          </w:p>
        </w:tc>
        <w:tc>
          <w:tcPr>
            <w:tcW w:w="1515" w:type="dxa"/>
            <w:tcBorders>
              <w:top w:val="nil"/>
              <w:left w:val="nil"/>
              <w:bottom w:val="single" w:sz="4" w:space="0" w:color="auto"/>
              <w:right w:val="single" w:sz="4" w:space="0" w:color="auto"/>
            </w:tcBorders>
            <w:shd w:val="clear" w:color="auto" w:fill="auto"/>
            <w:vAlign w:val="bottom"/>
            <w:hideMark/>
          </w:tcPr>
          <w:p w14:paraId="44978B8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'2015011000068</w:t>
            </w:r>
          </w:p>
        </w:tc>
        <w:tc>
          <w:tcPr>
            <w:tcW w:w="4787" w:type="dxa"/>
            <w:tcBorders>
              <w:top w:val="nil"/>
              <w:left w:val="nil"/>
              <w:bottom w:val="single" w:sz="4" w:space="0" w:color="auto"/>
              <w:right w:val="single" w:sz="4" w:space="0" w:color="auto"/>
            </w:tcBorders>
            <w:shd w:val="clear" w:color="auto" w:fill="auto"/>
            <w:vAlign w:val="bottom"/>
            <w:hideMark/>
          </w:tcPr>
          <w:p w14:paraId="04D0186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GESTIÓN ARTICULADA PARA LA SOSTENIBILIDAD DEL SECTOR DE HIDROCARBUROS</w:t>
            </w:r>
          </w:p>
        </w:tc>
        <w:tc>
          <w:tcPr>
            <w:tcW w:w="760" w:type="dxa"/>
            <w:tcBorders>
              <w:top w:val="nil"/>
              <w:left w:val="nil"/>
              <w:bottom w:val="single" w:sz="4" w:space="0" w:color="auto"/>
              <w:right w:val="single" w:sz="4" w:space="0" w:color="auto"/>
            </w:tcBorders>
            <w:shd w:val="clear" w:color="auto" w:fill="auto"/>
            <w:vAlign w:val="bottom"/>
            <w:hideMark/>
          </w:tcPr>
          <w:p w14:paraId="3E44EBE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41</w:t>
            </w:r>
          </w:p>
        </w:tc>
        <w:tc>
          <w:tcPr>
            <w:tcW w:w="980" w:type="dxa"/>
            <w:tcBorders>
              <w:top w:val="nil"/>
              <w:left w:val="nil"/>
              <w:bottom w:val="single" w:sz="4" w:space="0" w:color="auto"/>
              <w:right w:val="single" w:sz="4" w:space="0" w:color="auto"/>
            </w:tcBorders>
            <w:shd w:val="clear" w:color="auto" w:fill="auto"/>
            <w:vAlign w:val="bottom"/>
            <w:hideMark/>
          </w:tcPr>
          <w:p w14:paraId="751AD78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75</w:t>
            </w:r>
          </w:p>
        </w:tc>
        <w:tc>
          <w:tcPr>
            <w:tcW w:w="1300" w:type="dxa"/>
            <w:tcBorders>
              <w:top w:val="nil"/>
              <w:left w:val="nil"/>
              <w:bottom w:val="single" w:sz="4" w:space="0" w:color="auto"/>
              <w:right w:val="single" w:sz="4" w:space="0" w:color="auto"/>
            </w:tcBorders>
            <w:shd w:val="clear" w:color="auto" w:fill="auto"/>
            <w:vAlign w:val="bottom"/>
            <w:hideMark/>
          </w:tcPr>
          <w:p w14:paraId="21CA60DB"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26,28</w:t>
            </w:r>
          </w:p>
        </w:tc>
      </w:tr>
      <w:tr w:rsidR="007A1C0E" w:rsidRPr="007A1C0E" w14:paraId="40F4E3F8" w14:textId="77777777" w:rsidTr="007A1C0E">
        <w:trPr>
          <w:trHeight w:val="765"/>
        </w:trPr>
        <w:tc>
          <w:tcPr>
            <w:tcW w:w="1158" w:type="dxa"/>
            <w:tcBorders>
              <w:top w:val="nil"/>
              <w:left w:val="single" w:sz="4" w:space="0" w:color="auto"/>
              <w:bottom w:val="single" w:sz="4" w:space="0" w:color="auto"/>
              <w:right w:val="single" w:sz="4" w:space="0" w:color="auto"/>
            </w:tcBorders>
            <w:shd w:val="clear" w:color="auto" w:fill="auto"/>
            <w:vAlign w:val="bottom"/>
            <w:hideMark/>
          </w:tcPr>
          <w:p w14:paraId="525C1F6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ANH</w:t>
            </w:r>
          </w:p>
        </w:tc>
        <w:tc>
          <w:tcPr>
            <w:tcW w:w="1515" w:type="dxa"/>
            <w:tcBorders>
              <w:top w:val="nil"/>
              <w:left w:val="nil"/>
              <w:bottom w:val="single" w:sz="4" w:space="0" w:color="auto"/>
              <w:right w:val="single" w:sz="4" w:space="0" w:color="auto"/>
            </w:tcBorders>
            <w:shd w:val="clear" w:color="auto" w:fill="auto"/>
            <w:vAlign w:val="bottom"/>
            <w:hideMark/>
          </w:tcPr>
          <w:p w14:paraId="332E1AE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'2016011000215</w:t>
            </w:r>
          </w:p>
        </w:tc>
        <w:tc>
          <w:tcPr>
            <w:tcW w:w="4787" w:type="dxa"/>
            <w:tcBorders>
              <w:top w:val="nil"/>
              <w:left w:val="nil"/>
              <w:bottom w:val="single" w:sz="4" w:space="0" w:color="auto"/>
              <w:right w:val="single" w:sz="4" w:space="0" w:color="auto"/>
            </w:tcBorders>
            <w:shd w:val="clear" w:color="auto" w:fill="auto"/>
            <w:vAlign w:val="bottom"/>
            <w:hideMark/>
          </w:tcPr>
          <w:p w14:paraId="0ACB9B6A" w14:textId="68E49537" w:rsidR="007A1C0E" w:rsidRPr="007A1C0E" w:rsidRDefault="007A1C0E" w:rsidP="00576641">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ADECUACIÓN DEL MODELO DE PROMOCIÓN DE LOS RECURSOS HIDROCARBUR</w:t>
            </w:r>
            <w:r w:rsidR="00576641">
              <w:rPr>
                <w:rFonts w:ascii="Arial" w:eastAsia="Times New Roman" w:hAnsi="Arial" w:cs="Arial"/>
                <w:color w:val="000000"/>
                <w:sz w:val="20"/>
                <w:szCs w:val="20"/>
                <w:lang w:val="es-ES" w:eastAsia="es-ES"/>
              </w:rPr>
              <w:t>Í</w:t>
            </w:r>
            <w:r w:rsidRPr="007A1C0E">
              <w:rPr>
                <w:rFonts w:ascii="Arial" w:eastAsia="Times New Roman" w:hAnsi="Arial" w:cs="Arial"/>
                <w:color w:val="000000"/>
                <w:sz w:val="20"/>
                <w:szCs w:val="20"/>
                <w:lang w:val="es-ES" w:eastAsia="es-ES"/>
              </w:rPr>
              <w:t>FEROS FRENTE A LOS FACTORES EXTERNOS</w:t>
            </w:r>
          </w:p>
        </w:tc>
        <w:tc>
          <w:tcPr>
            <w:tcW w:w="760" w:type="dxa"/>
            <w:tcBorders>
              <w:top w:val="nil"/>
              <w:left w:val="nil"/>
              <w:bottom w:val="single" w:sz="4" w:space="0" w:color="auto"/>
              <w:right w:val="single" w:sz="4" w:space="0" w:color="auto"/>
            </w:tcBorders>
            <w:shd w:val="clear" w:color="auto" w:fill="auto"/>
            <w:vAlign w:val="bottom"/>
            <w:hideMark/>
          </w:tcPr>
          <w:p w14:paraId="4015F68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22</w:t>
            </w:r>
          </w:p>
        </w:tc>
        <w:tc>
          <w:tcPr>
            <w:tcW w:w="980" w:type="dxa"/>
            <w:tcBorders>
              <w:top w:val="nil"/>
              <w:left w:val="nil"/>
              <w:bottom w:val="single" w:sz="4" w:space="0" w:color="auto"/>
              <w:right w:val="single" w:sz="4" w:space="0" w:color="auto"/>
            </w:tcBorders>
            <w:shd w:val="clear" w:color="auto" w:fill="auto"/>
            <w:vAlign w:val="bottom"/>
            <w:hideMark/>
          </w:tcPr>
          <w:p w14:paraId="259F0AF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32,5</w:t>
            </w:r>
          </w:p>
        </w:tc>
        <w:tc>
          <w:tcPr>
            <w:tcW w:w="1300" w:type="dxa"/>
            <w:tcBorders>
              <w:top w:val="nil"/>
              <w:left w:val="nil"/>
              <w:bottom w:val="single" w:sz="4" w:space="0" w:color="auto"/>
              <w:right w:val="single" w:sz="4" w:space="0" w:color="auto"/>
            </w:tcBorders>
            <w:shd w:val="clear" w:color="auto" w:fill="auto"/>
            <w:vAlign w:val="bottom"/>
            <w:hideMark/>
          </w:tcPr>
          <w:p w14:paraId="61742D2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15,46</w:t>
            </w:r>
          </w:p>
        </w:tc>
      </w:tr>
    </w:tbl>
    <w:p w14:paraId="0DD6916A" w14:textId="53B9CA15" w:rsidR="00C02282" w:rsidRPr="006A67B4" w:rsidRDefault="00C02282" w:rsidP="00C02282">
      <w:pPr>
        <w:jc w:val="center"/>
        <w:rPr>
          <w:rFonts w:ascii="Arial" w:eastAsia="Calibri" w:hAnsi="Arial" w:cs="Arial"/>
          <w:sz w:val="16"/>
          <w:szCs w:val="16"/>
          <w:highlight w:val="yellow"/>
        </w:rPr>
      </w:pPr>
      <w:r w:rsidRPr="00C43FCE">
        <w:rPr>
          <w:rFonts w:ascii="Arial" w:eastAsia="Calibri" w:hAnsi="Arial" w:cs="Arial"/>
          <w:sz w:val="16"/>
          <w:szCs w:val="16"/>
        </w:rPr>
        <w:t xml:space="preserve">Fuente: Sistema de Seguimiento a Proyectos de Inversión – SPI a </w:t>
      </w:r>
      <w:r w:rsidR="006B2A9D">
        <w:rPr>
          <w:rFonts w:ascii="Arial" w:eastAsia="Calibri" w:hAnsi="Arial" w:cs="Arial"/>
          <w:sz w:val="16"/>
          <w:szCs w:val="16"/>
        </w:rPr>
        <w:t xml:space="preserve">junio </w:t>
      </w:r>
      <w:r w:rsidRPr="00C43FCE">
        <w:rPr>
          <w:rFonts w:ascii="Arial" w:eastAsia="Calibri" w:hAnsi="Arial" w:cs="Arial"/>
          <w:sz w:val="16"/>
          <w:szCs w:val="16"/>
        </w:rPr>
        <w:t>de 2018</w:t>
      </w:r>
      <w:r w:rsidR="007A1C0E">
        <w:rPr>
          <w:rFonts w:ascii="Arial" w:eastAsia="Calibri" w:hAnsi="Arial" w:cs="Arial"/>
          <w:sz w:val="16"/>
          <w:szCs w:val="16"/>
        </w:rPr>
        <w:t xml:space="preserve">. </w:t>
      </w:r>
      <w:r w:rsidR="007A1C0E">
        <w:rPr>
          <w:rFonts w:ascii="Arial" w:eastAsia="Calibri" w:hAnsi="Arial" w:cs="Arial"/>
          <w:sz w:val="16"/>
          <w:szCs w:val="16"/>
          <w:highlight w:val="yellow"/>
        </w:rPr>
        <w:t xml:space="preserve"> </w:t>
      </w:r>
    </w:p>
    <w:p w14:paraId="7B95362B" w14:textId="77777777" w:rsidR="00C02282" w:rsidRPr="006A67B4" w:rsidRDefault="00C02282" w:rsidP="00C02282">
      <w:pPr>
        <w:jc w:val="center"/>
        <w:rPr>
          <w:rFonts w:ascii="Arial" w:eastAsia="Calibri" w:hAnsi="Arial" w:cs="Arial"/>
          <w:sz w:val="16"/>
          <w:szCs w:val="16"/>
          <w:highlight w:val="yellow"/>
        </w:rPr>
      </w:pPr>
    </w:p>
    <w:p w14:paraId="264C0556" w14:textId="77777777" w:rsidR="00C02282" w:rsidRPr="00EF684A" w:rsidRDefault="00C02282" w:rsidP="008B4625">
      <w:pPr>
        <w:pStyle w:val="Ttulo1"/>
        <w:numPr>
          <w:ilvl w:val="0"/>
          <w:numId w:val="36"/>
        </w:numPr>
        <w:rPr>
          <w:rFonts w:ascii="Arial" w:eastAsia="Arial" w:hAnsi="Arial" w:cs="Arial"/>
          <w:b/>
          <w:color w:val="auto"/>
          <w:sz w:val="22"/>
          <w:szCs w:val="22"/>
          <w:lang w:eastAsia="es-CO"/>
        </w:rPr>
      </w:pPr>
      <w:bookmarkStart w:id="323" w:name="_Toc525652102"/>
      <w:r w:rsidRPr="00EF684A">
        <w:rPr>
          <w:rFonts w:ascii="Arial" w:eastAsia="Arial" w:hAnsi="Arial" w:cs="Arial"/>
          <w:b/>
          <w:color w:val="auto"/>
          <w:sz w:val="22"/>
          <w:szCs w:val="22"/>
          <w:lang w:eastAsia="es-CO"/>
        </w:rPr>
        <w:t>Instituto De Planificación Y Promoción De Soluciones Energéticas Para Las Zonas No Interconectadas – IPSE.</w:t>
      </w:r>
      <w:bookmarkEnd w:id="323"/>
    </w:p>
    <w:p w14:paraId="4D757581" w14:textId="23338F2A" w:rsidR="00C02282" w:rsidRPr="00EF684A" w:rsidRDefault="00C02282" w:rsidP="00C02282">
      <w:pPr>
        <w:spacing w:line="240" w:lineRule="auto"/>
        <w:jc w:val="both"/>
        <w:rPr>
          <w:rFonts w:ascii="Arial" w:eastAsia="Calibri" w:hAnsi="Arial" w:cs="Arial"/>
          <w:noProof/>
          <w:sz w:val="20"/>
          <w:szCs w:val="20"/>
          <w:lang w:eastAsia="es-CO"/>
        </w:rPr>
      </w:pPr>
      <w:r w:rsidRPr="00EF684A">
        <w:rPr>
          <w:rFonts w:ascii="Arial" w:eastAsia="Calibri" w:hAnsi="Arial" w:cs="Arial"/>
          <w:sz w:val="20"/>
          <w:szCs w:val="20"/>
        </w:rPr>
        <w:t>El Instituto De Planificación Y Promoción De Soluciones Energéticas Para Las Zonas No Interconectadas</w:t>
      </w:r>
      <w:r w:rsidRPr="00EF684A">
        <w:rPr>
          <w:rFonts w:ascii="Arial" w:eastAsia="Calibri" w:hAnsi="Arial" w:cs="Arial"/>
          <w:noProof/>
          <w:sz w:val="20"/>
          <w:szCs w:val="20"/>
          <w:lang w:eastAsia="es-CO"/>
        </w:rPr>
        <w:t>, presenta cinco proyectos con una Apropiación vigente de $10.600.000,0 millones y sus avances</w:t>
      </w:r>
      <w:r w:rsidR="00EF684A" w:rsidRPr="00EF684A">
        <w:rPr>
          <w:rFonts w:ascii="Arial" w:eastAsia="Calibri" w:hAnsi="Arial" w:cs="Arial"/>
          <w:noProof/>
          <w:sz w:val="20"/>
          <w:szCs w:val="20"/>
          <w:lang w:eastAsia="es-CO"/>
        </w:rPr>
        <w:t xml:space="preserve"> de ejecución Financiero en 3,06</w:t>
      </w:r>
      <w:r w:rsidRPr="00EF684A">
        <w:rPr>
          <w:rFonts w:ascii="Arial" w:eastAsia="Calibri" w:hAnsi="Arial" w:cs="Arial"/>
          <w:noProof/>
          <w:sz w:val="20"/>
          <w:szCs w:val="20"/>
          <w:lang w:eastAsia="es-CO"/>
        </w:rPr>
        <w:t xml:space="preserve">% un avace fisico de 0,0% y de gestion de 0,0% </w:t>
      </w:r>
    </w:p>
    <w:p w14:paraId="2E29B7B9" w14:textId="2C0A5A58" w:rsidR="00C02282" w:rsidRPr="00EF684A" w:rsidRDefault="00C02282" w:rsidP="00C02282">
      <w:pPr>
        <w:spacing w:line="240" w:lineRule="auto"/>
        <w:jc w:val="both"/>
        <w:rPr>
          <w:rFonts w:ascii="Arial" w:eastAsia="Calibri" w:hAnsi="Arial" w:cs="Arial"/>
          <w:noProof/>
          <w:sz w:val="20"/>
          <w:szCs w:val="20"/>
          <w:lang w:eastAsia="es-CO"/>
        </w:rPr>
      </w:pPr>
      <w:r w:rsidRPr="00EF684A">
        <w:rPr>
          <w:rFonts w:ascii="Arial" w:eastAsia="Calibri" w:hAnsi="Arial" w:cs="Arial"/>
          <w:noProof/>
          <w:sz w:val="20"/>
          <w:szCs w:val="20"/>
          <w:lang w:eastAsia="es-CO"/>
        </w:rPr>
        <w:t xml:space="preserve">El proyecto que se destaca Desarrollo De Soluciones Energéticas Sostenibles Para La Ampliación De Cobertura En Las Zonas No Interconectadas Del País con Avance Fisico de 0%, Avance de Gestión </w:t>
      </w:r>
      <w:r w:rsidR="00EF684A" w:rsidRPr="00EF684A">
        <w:rPr>
          <w:rFonts w:ascii="Arial" w:eastAsia="Calibri" w:hAnsi="Arial" w:cs="Arial"/>
          <w:noProof/>
          <w:sz w:val="20"/>
          <w:szCs w:val="20"/>
          <w:lang w:eastAsia="es-CO"/>
        </w:rPr>
        <w:t>0% y Avance de Ejecución de 8,21</w:t>
      </w:r>
      <w:r w:rsidRPr="00EF684A">
        <w:rPr>
          <w:rFonts w:ascii="Arial" w:eastAsia="Calibri" w:hAnsi="Arial" w:cs="Arial"/>
          <w:noProof/>
          <w:sz w:val="20"/>
          <w:szCs w:val="20"/>
          <w:lang w:eastAsia="es-CO"/>
        </w:rPr>
        <w:t xml:space="preserve">%.  </w:t>
      </w:r>
    </w:p>
    <w:p w14:paraId="1179F03A" w14:textId="77777777" w:rsidR="00C02282" w:rsidRPr="006A67B4" w:rsidRDefault="00C02282" w:rsidP="00C02282">
      <w:pPr>
        <w:spacing w:line="240" w:lineRule="auto"/>
        <w:jc w:val="both"/>
        <w:rPr>
          <w:rFonts w:ascii="Arial" w:eastAsia="Calibri" w:hAnsi="Arial" w:cs="Arial"/>
          <w:noProof/>
          <w:sz w:val="20"/>
          <w:szCs w:val="20"/>
          <w:highlight w:val="yellow"/>
          <w:lang w:eastAsia="es-CO"/>
        </w:rPr>
      </w:pPr>
    </w:p>
    <w:p w14:paraId="0E01A782" w14:textId="77777777" w:rsidR="00C02282" w:rsidRPr="006A67B4" w:rsidRDefault="00C02282" w:rsidP="00C02282">
      <w:pPr>
        <w:spacing w:line="240" w:lineRule="auto"/>
        <w:jc w:val="both"/>
        <w:rPr>
          <w:rFonts w:ascii="Arial" w:eastAsia="Calibri" w:hAnsi="Arial" w:cs="Arial"/>
          <w:noProof/>
          <w:sz w:val="20"/>
          <w:szCs w:val="20"/>
          <w:highlight w:val="yellow"/>
          <w:lang w:eastAsia="es-CO"/>
        </w:rPr>
      </w:pPr>
    </w:p>
    <w:p w14:paraId="7083CFCF" w14:textId="77777777" w:rsidR="00C02282" w:rsidRPr="006A67B4" w:rsidRDefault="00C02282" w:rsidP="00C02282">
      <w:pPr>
        <w:spacing w:after="0" w:line="240" w:lineRule="auto"/>
        <w:jc w:val="center"/>
        <w:rPr>
          <w:rFonts w:ascii="Arial" w:eastAsia="Calibri" w:hAnsi="Arial" w:cs="Arial"/>
          <w:b/>
          <w:noProof/>
          <w:sz w:val="20"/>
          <w:szCs w:val="20"/>
          <w:highlight w:val="yellow"/>
          <w:lang w:eastAsia="es-CO"/>
        </w:rPr>
      </w:pPr>
      <w:r w:rsidRPr="006A67B4">
        <w:rPr>
          <w:rFonts w:ascii="Arial" w:eastAsia="Calibri" w:hAnsi="Arial" w:cs="Arial"/>
          <w:b/>
          <w:noProof/>
          <w:sz w:val="20"/>
          <w:szCs w:val="20"/>
          <w:highlight w:val="yellow"/>
          <w:lang w:eastAsia="es-CO"/>
        </w:rPr>
        <w:t xml:space="preserve"> </w:t>
      </w:r>
    </w:p>
    <w:p w14:paraId="0BC83123" w14:textId="77777777" w:rsidR="00C02282" w:rsidRDefault="00C02282" w:rsidP="00C02282">
      <w:pPr>
        <w:spacing w:line="240" w:lineRule="auto"/>
        <w:jc w:val="center"/>
        <w:rPr>
          <w:noProof/>
          <w:highlight w:val="yellow"/>
          <w:lang w:eastAsia="es-CO"/>
        </w:rPr>
      </w:pPr>
    </w:p>
    <w:p w14:paraId="39A7BBE1" w14:textId="77777777" w:rsidR="00624AB4" w:rsidRDefault="00624AB4" w:rsidP="00C02282">
      <w:pPr>
        <w:spacing w:line="240" w:lineRule="auto"/>
        <w:jc w:val="center"/>
        <w:rPr>
          <w:noProof/>
          <w:highlight w:val="yellow"/>
          <w:lang w:eastAsia="es-CO"/>
        </w:rPr>
      </w:pPr>
    </w:p>
    <w:p w14:paraId="72DF6CA5" w14:textId="77777777" w:rsidR="00624AB4" w:rsidRDefault="00624AB4" w:rsidP="00C02282">
      <w:pPr>
        <w:spacing w:line="240" w:lineRule="auto"/>
        <w:jc w:val="center"/>
        <w:rPr>
          <w:noProof/>
          <w:highlight w:val="yellow"/>
          <w:lang w:eastAsia="es-CO"/>
        </w:rPr>
      </w:pPr>
    </w:p>
    <w:p w14:paraId="0057E1D8" w14:textId="77777777" w:rsidR="00624AB4" w:rsidRDefault="00624AB4" w:rsidP="00C02282">
      <w:pPr>
        <w:spacing w:line="240" w:lineRule="auto"/>
        <w:jc w:val="center"/>
        <w:rPr>
          <w:noProof/>
          <w:highlight w:val="yellow"/>
          <w:lang w:eastAsia="es-CO"/>
        </w:rPr>
      </w:pPr>
    </w:p>
    <w:p w14:paraId="467FBE29" w14:textId="77777777" w:rsidR="00624AB4" w:rsidRDefault="00624AB4" w:rsidP="00C02282">
      <w:pPr>
        <w:spacing w:line="240" w:lineRule="auto"/>
        <w:jc w:val="center"/>
        <w:rPr>
          <w:noProof/>
          <w:highlight w:val="yellow"/>
          <w:lang w:eastAsia="es-CO"/>
        </w:rPr>
      </w:pPr>
    </w:p>
    <w:p w14:paraId="0128E42A" w14:textId="77777777" w:rsidR="00F42BE2" w:rsidRDefault="00F42BE2" w:rsidP="00C02282">
      <w:pPr>
        <w:spacing w:line="240" w:lineRule="auto"/>
        <w:jc w:val="center"/>
        <w:rPr>
          <w:noProof/>
          <w:highlight w:val="yellow"/>
          <w:lang w:eastAsia="es-CO"/>
        </w:rPr>
      </w:pPr>
    </w:p>
    <w:p w14:paraId="18C5C5B3" w14:textId="77777777" w:rsidR="00F42BE2" w:rsidRDefault="00F42BE2" w:rsidP="00C02282">
      <w:pPr>
        <w:spacing w:line="240" w:lineRule="auto"/>
        <w:jc w:val="center"/>
        <w:rPr>
          <w:noProof/>
          <w:highlight w:val="yellow"/>
          <w:lang w:eastAsia="es-CO"/>
        </w:rPr>
      </w:pPr>
    </w:p>
    <w:p w14:paraId="706EF84D" w14:textId="5A51AED1" w:rsidR="00F42BE2" w:rsidRDefault="00C43FCE" w:rsidP="00C43FCE">
      <w:pPr>
        <w:spacing w:line="240" w:lineRule="auto"/>
        <w:jc w:val="center"/>
        <w:rPr>
          <w:highlight w:val="yellow"/>
        </w:rPr>
      </w:pPr>
      <w:r>
        <w:rPr>
          <w:noProof/>
          <w:lang w:eastAsia="es-CO"/>
        </w:rPr>
        <w:lastRenderedPageBreak/>
        <w:drawing>
          <wp:anchor distT="0" distB="0" distL="114300" distR="114300" simplePos="0" relativeHeight="251710976" behindDoc="0" locked="0" layoutInCell="1" allowOverlap="1" wp14:anchorId="41AF9382" wp14:editId="76A43E4B">
            <wp:simplePos x="0" y="0"/>
            <wp:positionH relativeFrom="column">
              <wp:posOffset>-300355</wp:posOffset>
            </wp:positionH>
            <wp:positionV relativeFrom="paragraph">
              <wp:posOffset>154940</wp:posOffset>
            </wp:positionV>
            <wp:extent cx="6762750" cy="2720340"/>
            <wp:effectExtent l="0" t="0" r="0" b="3810"/>
            <wp:wrapThrough wrapText="bothSides">
              <wp:wrapPolygon edited="0">
                <wp:start x="0" y="0"/>
                <wp:lineTo x="0" y="21479"/>
                <wp:lineTo x="21539" y="21479"/>
                <wp:lineTo x="21539"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762750" cy="2720340"/>
                    </a:xfrm>
                    <a:prstGeom prst="rect">
                      <a:avLst/>
                    </a:prstGeom>
                  </pic:spPr>
                </pic:pic>
              </a:graphicData>
            </a:graphic>
            <wp14:sizeRelH relativeFrom="page">
              <wp14:pctWidth>0</wp14:pctWidth>
            </wp14:sizeRelH>
            <wp14:sizeRelV relativeFrom="page">
              <wp14:pctHeight>0</wp14:pctHeight>
            </wp14:sizeRelV>
          </wp:anchor>
        </w:drawing>
      </w:r>
      <w:r w:rsidRPr="006A67B4">
        <w:rPr>
          <w:noProof/>
          <w:highlight w:val="yellow"/>
          <w:lang w:eastAsia="es-CO"/>
        </w:rPr>
        <mc:AlternateContent>
          <mc:Choice Requires="wps">
            <w:drawing>
              <wp:anchor distT="0" distB="0" distL="114300" distR="114300" simplePos="0" relativeHeight="251603456" behindDoc="0" locked="0" layoutInCell="1" allowOverlap="1" wp14:anchorId="515670E2" wp14:editId="04503D33">
                <wp:simplePos x="0" y="0"/>
                <wp:positionH relativeFrom="column">
                  <wp:posOffset>-624205</wp:posOffset>
                </wp:positionH>
                <wp:positionV relativeFrom="paragraph">
                  <wp:posOffset>-52705</wp:posOffset>
                </wp:positionV>
                <wp:extent cx="7033895" cy="314325"/>
                <wp:effectExtent l="0" t="0" r="0" b="9525"/>
                <wp:wrapThrough wrapText="bothSides">
                  <wp:wrapPolygon edited="0">
                    <wp:start x="0" y="0"/>
                    <wp:lineTo x="0" y="20945"/>
                    <wp:lineTo x="21528" y="20945"/>
                    <wp:lineTo x="21528" y="0"/>
                    <wp:lineTo x="0" y="0"/>
                  </wp:wrapPolygon>
                </wp:wrapThrough>
                <wp:docPr id="46" name="46 Cuadro de texto"/>
                <wp:cNvGraphicFramePr/>
                <a:graphic xmlns:a="http://schemas.openxmlformats.org/drawingml/2006/main">
                  <a:graphicData uri="http://schemas.microsoft.com/office/word/2010/wordprocessingShape">
                    <wps:wsp>
                      <wps:cNvSpPr txBox="1"/>
                      <wps:spPr>
                        <a:xfrm>
                          <a:off x="0" y="0"/>
                          <a:ext cx="7033895" cy="314325"/>
                        </a:xfrm>
                        <a:prstGeom prst="rect">
                          <a:avLst/>
                        </a:prstGeom>
                        <a:solidFill>
                          <a:prstClr val="white"/>
                        </a:solidFill>
                        <a:ln>
                          <a:noFill/>
                        </a:ln>
                        <a:effectLst/>
                      </wps:spPr>
                      <wps:txbx>
                        <w:txbxContent>
                          <w:p w14:paraId="319F1CCC" w14:textId="57E0AF5F" w:rsidR="008B5E15" w:rsidRPr="007E4DB2" w:rsidRDefault="008B5E15" w:rsidP="00C02282">
                            <w:pPr>
                              <w:pStyle w:val="Descripcin"/>
                              <w:jc w:val="center"/>
                              <w:rPr>
                                <w:rFonts w:eastAsiaTheme="minorHAnsi"/>
                                <w:noProof/>
                              </w:rPr>
                            </w:pPr>
                            <w:bookmarkStart w:id="324" w:name="_Toc525652582"/>
                            <w:r>
                              <w:t xml:space="preserve">Tabla </w:t>
                            </w:r>
                            <w:r>
                              <w:fldChar w:fldCharType="begin"/>
                            </w:r>
                            <w:r>
                              <w:instrText xml:space="preserve"> SEQ Tabla \* ARABIC </w:instrText>
                            </w:r>
                            <w:r>
                              <w:fldChar w:fldCharType="separate"/>
                            </w:r>
                            <w:r>
                              <w:rPr>
                                <w:noProof/>
                              </w:rPr>
                              <w:t>137</w:t>
                            </w:r>
                            <w:r>
                              <w:fldChar w:fldCharType="end"/>
                            </w:r>
                            <w:r>
                              <w:t xml:space="preserve"> </w:t>
                            </w:r>
                            <w:r w:rsidRPr="00A83910">
                              <w:t xml:space="preserve">Informe de SPI de  IPSE a </w:t>
                            </w:r>
                            <w:r>
                              <w:t xml:space="preserve">Junio </w:t>
                            </w:r>
                            <w:r w:rsidRPr="00A83910">
                              <w:t>de  2018</w:t>
                            </w:r>
                            <w:bookmarkEnd w:id="3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670E2" id="46 Cuadro de texto" o:spid="_x0000_s1029" type="#_x0000_t202" style="position:absolute;left:0;text-align:left;margin-left:-49.15pt;margin-top:-4.15pt;width:553.85pt;height:24.7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" stroked="f">
                <v:textbox inset="0,0,0,0">
                  <w:txbxContent>
                    <w:p w14:paraId="319F1CCC" w14:textId="57E0AF5F" w:rsidR="008B5E15" w:rsidRPr="007E4DB2" w:rsidRDefault="008B5E15" w:rsidP="00C02282">
                      <w:pPr>
                        <w:pStyle w:val="Descripcin"/>
                        <w:jc w:val="center"/>
                        <w:rPr>
                          <w:rFonts w:eastAsiaTheme="minorHAnsi"/>
                          <w:noProof/>
                        </w:rPr>
                      </w:pPr>
                      <w:bookmarkStart w:id="325" w:name="_Toc525652582"/>
                      <w:r>
                        <w:t xml:space="preserve">Tabla </w:t>
                      </w:r>
                      <w:r>
                        <w:fldChar w:fldCharType="begin"/>
                      </w:r>
                      <w:r>
                        <w:instrText xml:space="preserve"> SEQ Tabla \* ARABIC </w:instrText>
                      </w:r>
                      <w:r>
                        <w:fldChar w:fldCharType="separate"/>
                      </w:r>
                      <w:r>
                        <w:rPr>
                          <w:noProof/>
                        </w:rPr>
                        <w:t>137</w:t>
                      </w:r>
                      <w:r>
                        <w:fldChar w:fldCharType="end"/>
                      </w:r>
                      <w:r>
                        <w:t xml:space="preserve"> </w:t>
                      </w:r>
                      <w:r w:rsidRPr="00A83910">
                        <w:t xml:space="preserve">Informe de SPI de  IPSE a </w:t>
                      </w:r>
                      <w:r>
                        <w:t xml:space="preserve">Junio </w:t>
                      </w:r>
                      <w:r w:rsidRPr="00A83910">
                        <w:t>de  2018</w:t>
                      </w:r>
                      <w:bookmarkEnd w:id="325"/>
                    </w:p>
                  </w:txbxContent>
                </v:textbox>
                <w10:wrap type="through"/>
              </v:shape>
            </w:pict>
          </mc:Fallback>
        </mc:AlternateContent>
      </w:r>
      <w:r w:rsidR="00F42BE2" w:rsidRPr="004E4B1E">
        <w:rPr>
          <w:rFonts w:ascii="Arial" w:eastAsia="Calibri" w:hAnsi="Arial" w:cs="Arial"/>
          <w:sz w:val="16"/>
          <w:szCs w:val="16"/>
          <w:lang w:eastAsia="es-CO"/>
        </w:rPr>
        <w:t>Fuente: Sistema de Seguimiento a Proyectos de Inversión – SPI a junio de 2018.</w:t>
      </w:r>
    </w:p>
    <w:p w14:paraId="6C389609" w14:textId="77777777" w:rsidR="00F42BE2" w:rsidRDefault="00F42BE2" w:rsidP="00C02282">
      <w:pPr>
        <w:pStyle w:val="Descripcin"/>
        <w:keepNext/>
        <w:jc w:val="center"/>
        <w:rPr>
          <w:highlight w:val="yellow"/>
        </w:rPr>
      </w:pPr>
    </w:p>
    <w:p w14:paraId="36D7C15A" w14:textId="61509DE4" w:rsidR="00C02282" w:rsidRPr="006B2A9D" w:rsidRDefault="00C02282" w:rsidP="00C02282">
      <w:pPr>
        <w:pStyle w:val="Descripcin"/>
        <w:keepNext/>
        <w:jc w:val="center"/>
      </w:pPr>
      <w:bookmarkStart w:id="326" w:name="_Toc525652442"/>
      <w:r w:rsidRPr="006B2A9D">
        <w:t xml:space="preserve">Gráfica </w:t>
      </w:r>
      <w:r w:rsidR="00B6251B">
        <w:fldChar w:fldCharType="begin"/>
      </w:r>
      <w:r w:rsidR="00B6251B">
        <w:instrText xml:space="preserve"> SEQ Gráfica \* ARABIC </w:instrText>
      </w:r>
      <w:r w:rsidR="00B6251B">
        <w:fldChar w:fldCharType="separate"/>
      </w:r>
      <w:r w:rsidR="00B6251B">
        <w:rPr>
          <w:noProof/>
        </w:rPr>
        <w:t>29</w:t>
      </w:r>
      <w:r w:rsidR="00B6251B">
        <w:fldChar w:fldCharType="end"/>
      </w:r>
      <w:r w:rsidRPr="006B2A9D">
        <w:t xml:space="preserve">Informe de SPI de  IPSE a </w:t>
      </w:r>
      <w:r w:rsidR="00CE0FBB" w:rsidRPr="006B2A9D">
        <w:t>junio</w:t>
      </w:r>
      <w:r w:rsidRPr="006B2A9D">
        <w:t xml:space="preserve"> de  2018</w:t>
      </w:r>
      <w:bookmarkEnd w:id="326"/>
    </w:p>
    <w:p w14:paraId="0E2169F2" w14:textId="12539E2D" w:rsidR="00C02282" w:rsidRPr="006B2A9D" w:rsidRDefault="006B2A9D" w:rsidP="00C02282">
      <w:pPr>
        <w:spacing w:after="0" w:line="240" w:lineRule="auto"/>
        <w:jc w:val="center"/>
        <w:rPr>
          <w:rFonts w:ascii="Arial" w:eastAsia="Calibri" w:hAnsi="Arial" w:cs="Arial"/>
          <w:sz w:val="16"/>
          <w:szCs w:val="16"/>
          <w:lang w:eastAsia="es-CO"/>
        </w:rPr>
      </w:pPr>
      <w:r w:rsidRPr="006B2A9D">
        <w:rPr>
          <w:noProof/>
          <w:lang w:eastAsia="es-CO"/>
        </w:rPr>
        <w:drawing>
          <wp:inline distT="0" distB="0" distL="0" distR="0" wp14:anchorId="2CE7EE74" wp14:editId="14F0AE71">
            <wp:extent cx="4438650" cy="2669623"/>
            <wp:effectExtent l="0" t="0" r="0" b="0"/>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40363" cy="2670653"/>
                    </a:xfrm>
                    <a:prstGeom prst="rect">
                      <a:avLst/>
                    </a:prstGeom>
                  </pic:spPr>
                </pic:pic>
              </a:graphicData>
            </a:graphic>
          </wp:inline>
        </w:drawing>
      </w:r>
      <w:r w:rsidR="00C02282" w:rsidRPr="006B2A9D">
        <w:rPr>
          <w:rFonts w:ascii="Arial" w:eastAsia="Calibri" w:hAnsi="Arial" w:cs="Arial"/>
          <w:sz w:val="16"/>
          <w:szCs w:val="16"/>
          <w:lang w:eastAsia="es-CO"/>
        </w:rPr>
        <w:t xml:space="preserve"> </w:t>
      </w:r>
    </w:p>
    <w:p w14:paraId="32EA30FF" w14:textId="31C47860" w:rsidR="00C02282" w:rsidRPr="006B2A9D" w:rsidRDefault="00C02282" w:rsidP="00C02282">
      <w:pPr>
        <w:spacing w:after="0" w:line="240" w:lineRule="auto"/>
        <w:jc w:val="center"/>
        <w:rPr>
          <w:rFonts w:ascii="Arial" w:eastAsia="Calibri" w:hAnsi="Arial" w:cs="Arial"/>
          <w:sz w:val="16"/>
          <w:szCs w:val="16"/>
          <w:lang w:eastAsia="es-CO"/>
        </w:rPr>
      </w:pPr>
      <w:r w:rsidRPr="006B2A9D">
        <w:rPr>
          <w:rFonts w:ascii="Arial" w:eastAsia="Calibri" w:hAnsi="Arial" w:cs="Arial"/>
          <w:sz w:val="16"/>
          <w:szCs w:val="16"/>
          <w:lang w:eastAsia="es-CO"/>
        </w:rPr>
        <w:t xml:space="preserve">Fuente: Sistema de Seguimiento a Proyectos de Inversión – SPI a </w:t>
      </w:r>
      <w:r w:rsidR="006B2A9D" w:rsidRPr="006B2A9D">
        <w:rPr>
          <w:rFonts w:ascii="Arial" w:eastAsia="Calibri" w:hAnsi="Arial" w:cs="Arial"/>
          <w:sz w:val="16"/>
          <w:szCs w:val="16"/>
          <w:lang w:eastAsia="es-CO"/>
        </w:rPr>
        <w:t>junio</w:t>
      </w:r>
      <w:r w:rsidRPr="006B2A9D">
        <w:rPr>
          <w:rFonts w:ascii="Arial" w:eastAsia="Calibri" w:hAnsi="Arial" w:cs="Arial"/>
          <w:sz w:val="16"/>
          <w:szCs w:val="16"/>
          <w:lang w:eastAsia="es-CO"/>
        </w:rPr>
        <w:t xml:space="preserve"> de 2018.</w:t>
      </w:r>
    </w:p>
    <w:p w14:paraId="5D66766F" w14:textId="77777777" w:rsidR="00C02282" w:rsidRDefault="00C02282" w:rsidP="00C02282">
      <w:pPr>
        <w:spacing w:line="240" w:lineRule="auto"/>
        <w:jc w:val="center"/>
        <w:rPr>
          <w:noProof/>
          <w:lang w:eastAsia="es-CO"/>
        </w:rPr>
      </w:pPr>
    </w:p>
    <w:p w14:paraId="1664A004" w14:textId="77777777" w:rsidR="006B2A9D" w:rsidRPr="006B2A9D" w:rsidRDefault="006B2A9D" w:rsidP="00C02282">
      <w:pPr>
        <w:spacing w:line="240" w:lineRule="auto"/>
        <w:jc w:val="center"/>
        <w:rPr>
          <w:noProof/>
          <w:lang w:eastAsia="es-CO"/>
        </w:rPr>
      </w:pPr>
    </w:p>
    <w:p w14:paraId="3EDA6B52" w14:textId="22A7B201" w:rsidR="00C02282" w:rsidRPr="006B2A9D" w:rsidRDefault="00C02282" w:rsidP="00C02282">
      <w:pPr>
        <w:pStyle w:val="Descripcin"/>
        <w:keepNext/>
        <w:jc w:val="center"/>
      </w:pPr>
      <w:bookmarkStart w:id="327" w:name="_Toc525652583"/>
      <w:r w:rsidRPr="006B2A9D">
        <w:lastRenderedPageBreak/>
        <w:t xml:space="preserve">Tabla </w:t>
      </w:r>
      <w:r w:rsidRPr="006B2A9D">
        <w:fldChar w:fldCharType="begin"/>
      </w:r>
      <w:r w:rsidRPr="006B2A9D">
        <w:instrText xml:space="preserve"> SEQ Tabla \* ARABIC </w:instrText>
      </w:r>
      <w:r w:rsidRPr="006B2A9D">
        <w:fldChar w:fldCharType="separate"/>
      </w:r>
      <w:r w:rsidR="008B4625">
        <w:rPr>
          <w:noProof/>
        </w:rPr>
        <w:t>138</w:t>
      </w:r>
      <w:r w:rsidRPr="006B2A9D">
        <w:fldChar w:fldCharType="end"/>
      </w:r>
      <w:r w:rsidRPr="006B2A9D">
        <w:t>Proyectos</w:t>
      </w:r>
      <w:r w:rsidR="006B2A9D" w:rsidRPr="006B2A9D">
        <w:t xml:space="preserve"> Informe de SPI de  IPSE a junio</w:t>
      </w:r>
      <w:r w:rsidRPr="006B2A9D">
        <w:t xml:space="preserve"> de  2018</w:t>
      </w:r>
      <w:bookmarkEnd w:id="327"/>
    </w:p>
    <w:tbl>
      <w:tblPr>
        <w:tblW w:w="10520" w:type="dxa"/>
        <w:tblInd w:w="75" w:type="dxa"/>
        <w:tblCellMar>
          <w:left w:w="70" w:type="dxa"/>
          <w:right w:w="70" w:type="dxa"/>
        </w:tblCellMar>
        <w:tblLook w:val="04A0" w:firstRow="1" w:lastRow="0" w:firstColumn="1" w:lastColumn="0" w:noHBand="0" w:noVBand="1"/>
      </w:tblPr>
      <w:tblGrid>
        <w:gridCol w:w="1161"/>
        <w:gridCol w:w="1625"/>
        <w:gridCol w:w="4501"/>
        <w:gridCol w:w="807"/>
        <w:gridCol w:w="1041"/>
        <w:gridCol w:w="1385"/>
      </w:tblGrid>
      <w:tr w:rsidR="00CB679C" w:rsidRPr="00CB679C" w14:paraId="39539574" w14:textId="77777777" w:rsidTr="00CB679C">
        <w:trPr>
          <w:trHeight w:val="255"/>
        </w:trPr>
        <w:tc>
          <w:tcPr>
            <w:tcW w:w="1178"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51DA4EB7"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ENTIDAD</w:t>
            </w:r>
          </w:p>
        </w:tc>
        <w:tc>
          <w:tcPr>
            <w:tcW w:w="1515" w:type="dxa"/>
            <w:tcBorders>
              <w:top w:val="single" w:sz="4" w:space="0" w:color="auto"/>
              <w:left w:val="nil"/>
              <w:bottom w:val="single" w:sz="4" w:space="0" w:color="auto"/>
              <w:right w:val="single" w:sz="4" w:space="0" w:color="auto"/>
            </w:tcBorders>
            <w:shd w:val="clear" w:color="000000" w:fill="B0C4DE"/>
            <w:vAlign w:val="bottom"/>
            <w:hideMark/>
          </w:tcPr>
          <w:p w14:paraId="3F0AB652"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PROYECTO</w:t>
            </w:r>
          </w:p>
        </w:tc>
        <w:tc>
          <w:tcPr>
            <w:tcW w:w="4787" w:type="dxa"/>
            <w:tcBorders>
              <w:top w:val="single" w:sz="4" w:space="0" w:color="auto"/>
              <w:left w:val="nil"/>
              <w:bottom w:val="single" w:sz="4" w:space="0" w:color="auto"/>
              <w:right w:val="single" w:sz="4" w:space="0" w:color="auto"/>
            </w:tcBorders>
            <w:shd w:val="clear" w:color="000000" w:fill="B0C4DE"/>
            <w:vAlign w:val="bottom"/>
            <w:hideMark/>
          </w:tcPr>
          <w:p w14:paraId="19013A96"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NOMBRE_PROYECTO</w:t>
            </w:r>
          </w:p>
        </w:tc>
        <w:tc>
          <w:tcPr>
            <w:tcW w:w="760" w:type="dxa"/>
            <w:tcBorders>
              <w:top w:val="single" w:sz="4" w:space="0" w:color="auto"/>
              <w:left w:val="nil"/>
              <w:bottom w:val="single" w:sz="4" w:space="0" w:color="auto"/>
              <w:right w:val="single" w:sz="4" w:space="0" w:color="auto"/>
            </w:tcBorders>
            <w:shd w:val="clear" w:color="000000" w:fill="B0C4DE"/>
            <w:vAlign w:val="bottom"/>
            <w:hideMark/>
          </w:tcPr>
          <w:p w14:paraId="5F315B51"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FISICO</w:t>
            </w:r>
          </w:p>
        </w:tc>
        <w:tc>
          <w:tcPr>
            <w:tcW w:w="980" w:type="dxa"/>
            <w:tcBorders>
              <w:top w:val="single" w:sz="4" w:space="0" w:color="auto"/>
              <w:left w:val="nil"/>
              <w:bottom w:val="single" w:sz="4" w:space="0" w:color="auto"/>
              <w:right w:val="single" w:sz="4" w:space="0" w:color="auto"/>
            </w:tcBorders>
            <w:shd w:val="clear" w:color="000000" w:fill="B0C4DE"/>
            <w:vAlign w:val="bottom"/>
            <w:hideMark/>
          </w:tcPr>
          <w:p w14:paraId="03890F91"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GESTION</w:t>
            </w:r>
          </w:p>
        </w:tc>
        <w:tc>
          <w:tcPr>
            <w:tcW w:w="1300" w:type="dxa"/>
            <w:tcBorders>
              <w:top w:val="single" w:sz="4" w:space="0" w:color="auto"/>
              <w:left w:val="nil"/>
              <w:bottom w:val="single" w:sz="4" w:space="0" w:color="auto"/>
              <w:right w:val="single" w:sz="4" w:space="0" w:color="auto"/>
            </w:tcBorders>
            <w:shd w:val="clear" w:color="000000" w:fill="B0C4DE"/>
            <w:vAlign w:val="bottom"/>
            <w:hideMark/>
          </w:tcPr>
          <w:p w14:paraId="3C26D8AF"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FINANCIERO</w:t>
            </w:r>
          </w:p>
        </w:tc>
      </w:tr>
      <w:tr w:rsidR="00CB679C" w:rsidRPr="00CB679C" w14:paraId="4F04D6CC" w14:textId="77777777" w:rsidTr="00CB679C">
        <w:trPr>
          <w:trHeight w:val="510"/>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569961D9"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Ipse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554BB273"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'2015011000163</w:t>
            </w:r>
          </w:p>
        </w:tc>
        <w:tc>
          <w:tcPr>
            <w:tcW w:w="4787" w:type="dxa"/>
            <w:tcBorders>
              <w:top w:val="nil"/>
              <w:left w:val="nil"/>
              <w:bottom w:val="single" w:sz="4" w:space="0" w:color="auto"/>
              <w:right w:val="single" w:sz="4" w:space="0" w:color="auto"/>
            </w:tcBorders>
            <w:shd w:val="clear" w:color="auto" w:fill="auto"/>
            <w:vAlign w:val="bottom"/>
            <w:hideMark/>
          </w:tcPr>
          <w:p w14:paraId="5409BFD7"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DISEÑO Y ESTRUCTURACIÓN DE PROYECTOS ENERGÉTICO EN LAS ZNI NACIONAL</w:t>
            </w:r>
          </w:p>
        </w:tc>
        <w:tc>
          <w:tcPr>
            <w:tcW w:w="760" w:type="dxa"/>
            <w:tcBorders>
              <w:top w:val="nil"/>
              <w:left w:val="nil"/>
              <w:bottom w:val="single" w:sz="4" w:space="0" w:color="auto"/>
              <w:right w:val="single" w:sz="4" w:space="0" w:color="auto"/>
            </w:tcBorders>
            <w:shd w:val="clear" w:color="auto" w:fill="auto"/>
            <w:vAlign w:val="bottom"/>
            <w:hideMark/>
          </w:tcPr>
          <w:p w14:paraId="151181AF"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5BA8E399"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79305A4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7EC09372" w14:textId="77777777" w:rsidTr="00CB679C">
        <w:trPr>
          <w:trHeight w:val="76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07B12B27"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Ipse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2D11EE2"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'2016011000186</w:t>
            </w:r>
          </w:p>
        </w:tc>
        <w:tc>
          <w:tcPr>
            <w:tcW w:w="4787" w:type="dxa"/>
            <w:tcBorders>
              <w:top w:val="nil"/>
              <w:left w:val="nil"/>
              <w:bottom w:val="single" w:sz="4" w:space="0" w:color="auto"/>
              <w:right w:val="single" w:sz="4" w:space="0" w:color="auto"/>
            </w:tcBorders>
            <w:shd w:val="clear" w:color="auto" w:fill="auto"/>
            <w:vAlign w:val="bottom"/>
            <w:hideMark/>
          </w:tcPr>
          <w:p w14:paraId="1B9A81EC"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ACTUALIZACIÓN Y ORGANIZACIÓN DEL ARCHIVO TOTAL (CENTRAL, DE GESTIÓN E HISTÓRICO) DEL IPSE</w:t>
            </w:r>
          </w:p>
        </w:tc>
        <w:tc>
          <w:tcPr>
            <w:tcW w:w="760" w:type="dxa"/>
            <w:tcBorders>
              <w:top w:val="nil"/>
              <w:left w:val="nil"/>
              <w:bottom w:val="single" w:sz="4" w:space="0" w:color="auto"/>
              <w:right w:val="single" w:sz="4" w:space="0" w:color="auto"/>
            </w:tcBorders>
            <w:shd w:val="clear" w:color="auto" w:fill="auto"/>
            <w:vAlign w:val="bottom"/>
            <w:hideMark/>
          </w:tcPr>
          <w:p w14:paraId="1176E898"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19C5C8FE"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53BC6D79"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788D2D99" w14:textId="77777777" w:rsidTr="00CB679C">
        <w:trPr>
          <w:trHeight w:val="76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3CE56A1C"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Ipse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8248B03"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'2016011000187</w:t>
            </w:r>
          </w:p>
        </w:tc>
        <w:tc>
          <w:tcPr>
            <w:tcW w:w="4787" w:type="dxa"/>
            <w:tcBorders>
              <w:top w:val="nil"/>
              <w:left w:val="nil"/>
              <w:bottom w:val="single" w:sz="4" w:space="0" w:color="auto"/>
              <w:right w:val="single" w:sz="4" w:space="0" w:color="auto"/>
            </w:tcBorders>
            <w:shd w:val="clear" w:color="auto" w:fill="auto"/>
            <w:vAlign w:val="bottom"/>
            <w:hideMark/>
          </w:tcPr>
          <w:p w14:paraId="3CF5DFEF"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FORTALECIMIENTO DE LA GESTIÓN DE TECNOLOGÍA DE INFORMACIÓN Y COMUNICACIONES EN EL IPSE</w:t>
            </w:r>
          </w:p>
        </w:tc>
        <w:tc>
          <w:tcPr>
            <w:tcW w:w="760" w:type="dxa"/>
            <w:tcBorders>
              <w:top w:val="nil"/>
              <w:left w:val="nil"/>
              <w:bottom w:val="single" w:sz="4" w:space="0" w:color="auto"/>
              <w:right w:val="single" w:sz="4" w:space="0" w:color="auto"/>
            </w:tcBorders>
            <w:shd w:val="clear" w:color="auto" w:fill="auto"/>
            <w:vAlign w:val="bottom"/>
            <w:hideMark/>
          </w:tcPr>
          <w:p w14:paraId="3F9CB89A"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7A62D18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3C0DCD63"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06D3D933" w14:textId="77777777" w:rsidTr="00CB679C">
        <w:trPr>
          <w:trHeight w:val="76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5B1B303B"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Ipse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D1625C5"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'2016011000196</w:t>
            </w:r>
          </w:p>
        </w:tc>
        <w:tc>
          <w:tcPr>
            <w:tcW w:w="4787" w:type="dxa"/>
            <w:tcBorders>
              <w:top w:val="nil"/>
              <w:left w:val="nil"/>
              <w:bottom w:val="single" w:sz="4" w:space="0" w:color="auto"/>
              <w:right w:val="single" w:sz="4" w:space="0" w:color="auto"/>
            </w:tcBorders>
            <w:shd w:val="clear" w:color="auto" w:fill="auto"/>
            <w:vAlign w:val="bottom"/>
            <w:hideMark/>
          </w:tcPr>
          <w:p w14:paraId="15B3C458"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AMPLIACIÓN DE LA COBERTURA DE TELEMETRIA Y MONITOREO DE VARIABLES ENERGÉTICAS EN LA ZNI</w:t>
            </w:r>
          </w:p>
        </w:tc>
        <w:tc>
          <w:tcPr>
            <w:tcW w:w="760" w:type="dxa"/>
            <w:tcBorders>
              <w:top w:val="nil"/>
              <w:left w:val="nil"/>
              <w:bottom w:val="single" w:sz="4" w:space="0" w:color="auto"/>
              <w:right w:val="single" w:sz="4" w:space="0" w:color="auto"/>
            </w:tcBorders>
            <w:shd w:val="clear" w:color="auto" w:fill="auto"/>
            <w:vAlign w:val="bottom"/>
            <w:hideMark/>
          </w:tcPr>
          <w:p w14:paraId="2C802C47"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4C2F5E22"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503B1CFC"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2EE0C64E" w14:textId="77777777" w:rsidTr="00CB679C">
        <w:trPr>
          <w:trHeight w:val="1020"/>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0840315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Ipse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1B20989"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'2016011000219</w:t>
            </w:r>
          </w:p>
        </w:tc>
        <w:tc>
          <w:tcPr>
            <w:tcW w:w="4787" w:type="dxa"/>
            <w:tcBorders>
              <w:top w:val="nil"/>
              <w:left w:val="nil"/>
              <w:bottom w:val="single" w:sz="4" w:space="0" w:color="auto"/>
              <w:right w:val="single" w:sz="4" w:space="0" w:color="auto"/>
            </w:tcBorders>
            <w:shd w:val="clear" w:color="auto" w:fill="auto"/>
            <w:vAlign w:val="bottom"/>
            <w:hideMark/>
          </w:tcPr>
          <w:p w14:paraId="46249D51"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DESARROLLO DE SOLUCIONES ENERGÉTICAS SOSTENIBLES PARA LA AMPLIACIÓN DE COBERTURA EN LAS ZONAS NO INTERCONECTADAS DEL PAÍS</w:t>
            </w:r>
          </w:p>
        </w:tc>
        <w:tc>
          <w:tcPr>
            <w:tcW w:w="760" w:type="dxa"/>
            <w:tcBorders>
              <w:top w:val="nil"/>
              <w:left w:val="nil"/>
              <w:bottom w:val="single" w:sz="4" w:space="0" w:color="auto"/>
              <w:right w:val="single" w:sz="4" w:space="0" w:color="auto"/>
            </w:tcBorders>
            <w:shd w:val="clear" w:color="auto" w:fill="auto"/>
            <w:vAlign w:val="bottom"/>
            <w:hideMark/>
          </w:tcPr>
          <w:p w14:paraId="05B41062"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67E53EEA"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60AB8381"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8,21</w:t>
            </w:r>
          </w:p>
        </w:tc>
      </w:tr>
    </w:tbl>
    <w:p w14:paraId="403E76DD" w14:textId="0DC4FA55" w:rsidR="00C02282" w:rsidRPr="00CB679C" w:rsidRDefault="00C02282" w:rsidP="00C02282">
      <w:pPr>
        <w:jc w:val="center"/>
        <w:rPr>
          <w:rFonts w:ascii="Arial" w:eastAsia="Calibri" w:hAnsi="Arial" w:cs="Arial"/>
          <w:sz w:val="16"/>
          <w:szCs w:val="16"/>
        </w:rPr>
      </w:pPr>
      <w:r w:rsidRPr="00CB679C">
        <w:rPr>
          <w:rFonts w:ascii="Arial" w:eastAsia="Calibri" w:hAnsi="Arial" w:cs="Arial"/>
          <w:sz w:val="16"/>
          <w:szCs w:val="16"/>
        </w:rPr>
        <w:t>Fuente: Sistema de Seguimiento a Proy</w:t>
      </w:r>
      <w:r w:rsidR="00CB679C" w:rsidRPr="00CB679C">
        <w:rPr>
          <w:rFonts w:ascii="Arial" w:eastAsia="Calibri" w:hAnsi="Arial" w:cs="Arial"/>
          <w:sz w:val="16"/>
          <w:szCs w:val="16"/>
        </w:rPr>
        <w:t>ectos de Inversión – SPI a junio</w:t>
      </w:r>
      <w:r w:rsidRPr="00CB679C">
        <w:rPr>
          <w:rFonts w:ascii="Arial" w:eastAsia="Calibri" w:hAnsi="Arial" w:cs="Arial"/>
          <w:sz w:val="16"/>
          <w:szCs w:val="16"/>
        </w:rPr>
        <w:t xml:space="preserve"> de 2018.</w:t>
      </w:r>
    </w:p>
    <w:p w14:paraId="3762CF62" w14:textId="77777777" w:rsidR="00C02282" w:rsidRPr="00EF684A" w:rsidRDefault="00C02282" w:rsidP="008B4625">
      <w:pPr>
        <w:pStyle w:val="Ttulo1"/>
        <w:numPr>
          <w:ilvl w:val="0"/>
          <w:numId w:val="36"/>
        </w:numPr>
        <w:rPr>
          <w:rFonts w:ascii="Arial" w:eastAsia="Arial" w:hAnsi="Arial" w:cs="Arial"/>
          <w:b/>
          <w:color w:val="auto"/>
          <w:sz w:val="22"/>
          <w:szCs w:val="22"/>
          <w:lang w:eastAsia="es-CO"/>
        </w:rPr>
      </w:pPr>
      <w:bookmarkStart w:id="328" w:name="_Toc525652103"/>
      <w:r w:rsidRPr="00EF684A">
        <w:rPr>
          <w:rFonts w:ascii="Arial" w:eastAsia="Arial" w:hAnsi="Arial" w:cs="Arial"/>
          <w:b/>
          <w:color w:val="auto"/>
          <w:sz w:val="22"/>
          <w:szCs w:val="22"/>
          <w:lang w:eastAsia="es-CO"/>
        </w:rPr>
        <w:t>Comisión De Regulación De Energía Y Gas – CREG.</w:t>
      </w:r>
      <w:bookmarkEnd w:id="328"/>
    </w:p>
    <w:p w14:paraId="64BAA6EF" w14:textId="7C6F503A" w:rsidR="00C02282" w:rsidRPr="00EF684A" w:rsidRDefault="00C02282" w:rsidP="00C02282">
      <w:pPr>
        <w:spacing w:line="240" w:lineRule="auto"/>
        <w:jc w:val="both"/>
        <w:rPr>
          <w:rFonts w:ascii="Arial" w:eastAsia="Calibri" w:hAnsi="Arial" w:cs="Arial"/>
          <w:noProof/>
          <w:sz w:val="20"/>
          <w:szCs w:val="20"/>
          <w:lang w:eastAsia="es-CO"/>
        </w:rPr>
      </w:pPr>
      <w:r w:rsidRPr="00EF684A">
        <w:rPr>
          <w:rFonts w:ascii="Arial" w:eastAsia="Calibri" w:hAnsi="Arial" w:cs="Arial"/>
          <w:noProof/>
          <w:sz w:val="20"/>
          <w:szCs w:val="20"/>
          <w:lang w:eastAsia="es-CO"/>
        </w:rPr>
        <w:t>La Comisión de Regulación de Energía y Gas - CREG, presenta cinco proyectos con una Apropiación vigente de $7.499.000,0 millones con un porcentaj</w:t>
      </w:r>
      <w:r w:rsidR="00EF684A" w:rsidRPr="00EF684A">
        <w:rPr>
          <w:rFonts w:ascii="Arial" w:eastAsia="Calibri" w:hAnsi="Arial" w:cs="Arial"/>
          <w:noProof/>
          <w:sz w:val="20"/>
          <w:szCs w:val="20"/>
          <w:lang w:eastAsia="es-CO"/>
        </w:rPr>
        <w:t>e de Avance en Ejecución del 11,2</w:t>
      </w:r>
      <w:r w:rsidRPr="00EF684A">
        <w:rPr>
          <w:rFonts w:ascii="Arial" w:eastAsia="Calibri" w:hAnsi="Arial" w:cs="Arial"/>
          <w:noProof/>
          <w:sz w:val="20"/>
          <w:szCs w:val="20"/>
          <w:lang w:eastAsia="es-CO"/>
        </w:rPr>
        <w:t>%, en Avance Físico del Producto</w:t>
      </w:r>
      <w:r w:rsidR="00EF684A" w:rsidRPr="00EF684A">
        <w:rPr>
          <w:rFonts w:ascii="Arial" w:eastAsia="Calibri" w:hAnsi="Arial" w:cs="Arial"/>
          <w:noProof/>
          <w:sz w:val="20"/>
          <w:szCs w:val="20"/>
          <w:lang w:eastAsia="es-CO"/>
        </w:rPr>
        <w:t xml:space="preserve"> de 25,4% y en Gestión del 29</w:t>
      </w:r>
      <w:r w:rsidRPr="00EF684A">
        <w:rPr>
          <w:rFonts w:ascii="Arial" w:eastAsia="Calibri" w:hAnsi="Arial" w:cs="Arial"/>
          <w:noProof/>
          <w:sz w:val="20"/>
          <w:szCs w:val="20"/>
          <w:lang w:eastAsia="es-CO"/>
        </w:rPr>
        <w:t>%.</w:t>
      </w:r>
    </w:p>
    <w:p w14:paraId="67A311D6" w14:textId="76586604" w:rsidR="00C02282" w:rsidRDefault="00C02282" w:rsidP="00C02282">
      <w:pPr>
        <w:spacing w:line="240" w:lineRule="auto"/>
        <w:jc w:val="both"/>
        <w:rPr>
          <w:rFonts w:ascii="Arial" w:eastAsia="Calibri" w:hAnsi="Arial" w:cs="Arial"/>
          <w:noProof/>
          <w:sz w:val="20"/>
          <w:szCs w:val="20"/>
          <w:highlight w:val="yellow"/>
          <w:lang w:eastAsia="es-CO"/>
        </w:rPr>
      </w:pPr>
      <w:r w:rsidRPr="00EF684A">
        <w:rPr>
          <w:rFonts w:ascii="Arial" w:eastAsia="Calibri" w:hAnsi="Arial" w:cs="Arial"/>
          <w:noProof/>
          <w:sz w:val="20"/>
          <w:szCs w:val="20"/>
          <w:lang w:eastAsia="es-CO"/>
        </w:rPr>
        <w:t>Se destacan los proyectos de: Adquisició</w:t>
      </w:r>
      <w:r w:rsidR="00EF684A" w:rsidRPr="00EF684A">
        <w:rPr>
          <w:rFonts w:ascii="Arial" w:eastAsia="Calibri" w:hAnsi="Arial" w:cs="Arial"/>
          <w:noProof/>
          <w:sz w:val="20"/>
          <w:szCs w:val="20"/>
          <w:lang w:eastAsia="es-CO"/>
        </w:rPr>
        <w:t>n Modernizacion y Mejoramiento de las Tic´S la CREG a</w:t>
      </w:r>
      <w:r w:rsidRPr="00EF684A">
        <w:rPr>
          <w:rFonts w:ascii="Arial" w:eastAsia="Calibri" w:hAnsi="Arial" w:cs="Arial"/>
          <w:noProof/>
          <w:sz w:val="20"/>
          <w:szCs w:val="20"/>
          <w:lang w:eastAsia="es-CO"/>
        </w:rPr>
        <w:t xml:space="preserve"> Nivel </w:t>
      </w:r>
      <w:r w:rsidR="00EF684A" w:rsidRPr="00EF684A">
        <w:rPr>
          <w:rFonts w:ascii="Arial" w:eastAsia="Calibri" w:hAnsi="Arial" w:cs="Arial"/>
          <w:noProof/>
          <w:sz w:val="20"/>
          <w:szCs w:val="20"/>
          <w:lang w:eastAsia="es-CO"/>
        </w:rPr>
        <w:t>Nacional con Avance Fisico de 39%, Avance de Gestión 50</w:t>
      </w:r>
      <w:r w:rsidRPr="00EF684A">
        <w:rPr>
          <w:rFonts w:ascii="Arial" w:eastAsia="Calibri" w:hAnsi="Arial" w:cs="Arial"/>
          <w:noProof/>
          <w:sz w:val="20"/>
          <w:szCs w:val="20"/>
          <w:lang w:eastAsia="es-CO"/>
        </w:rPr>
        <w:t>%</w:t>
      </w:r>
      <w:r w:rsidR="00EF684A" w:rsidRPr="00EF684A">
        <w:rPr>
          <w:rFonts w:ascii="Arial" w:eastAsia="Calibri" w:hAnsi="Arial" w:cs="Arial"/>
          <w:noProof/>
          <w:sz w:val="20"/>
          <w:szCs w:val="20"/>
          <w:lang w:eastAsia="es-CO"/>
        </w:rPr>
        <w:t xml:space="preserve"> y Avance de Ejecución del 31,16%. E</w:t>
      </w:r>
      <w:r w:rsidRPr="00EF684A">
        <w:rPr>
          <w:rFonts w:ascii="Arial" w:eastAsia="Calibri" w:hAnsi="Arial" w:cs="Arial"/>
          <w:noProof/>
          <w:sz w:val="20"/>
          <w:szCs w:val="20"/>
          <w:lang w:eastAsia="es-CO"/>
        </w:rPr>
        <w:t xml:space="preserve">l proyecto de </w:t>
      </w:r>
      <w:r w:rsidR="00EF684A">
        <w:rPr>
          <w:rFonts w:ascii="Arial" w:eastAsia="Times New Roman" w:hAnsi="Arial" w:cs="Arial"/>
          <w:color w:val="000000"/>
          <w:sz w:val="20"/>
          <w:szCs w:val="20"/>
          <w:lang w:eastAsia="es-CO"/>
        </w:rPr>
        <w:t>Estudios p</w:t>
      </w:r>
      <w:r w:rsidRPr="00EF684A">
        <w:rPr>
          <w:rFonts w:ascii="Arial" w:eastAsia="Times New Roman" w:hAnsi="Arial" w:cs="Arial"/>
          <w:color w:val="000000"/>
          <w:sz w:val="20"/>
          <w:szCs w:val="20"/>
          <w:lang w:eastAsia="es-CO"/>
        </w:rPr>
        <w:t>ara Re</w:t>
      </w:r>
      <w:r w:rsidR="00EF684A">
        <w:rPr>
          <w:rFonts w:ascii="Arial" w:eastAsia="Times New Roman" w:hAnsi="Arial" w:cs="Arial"/>
          <w:color w:val="000000"/>
          <w:sz w:val="20"/>
          <w:szCs w:val="20"/>
          <w:lang w:eastAsia="es-CO"/>
        </w:rPr>
        <w:t>gular Monopolio Fortalecer e</w:t>
      </w:r>
      <w:r w:rsidRPr="00EF684A">
        <w:rPr>
          <w:rFonts w:ascii="Arial" w:eastAsia="Times New Roman" w:hAnsi="Arial" w:cs="Arial"/>
          <w:color w:val="000000"/>
          <w:sz w:val="20"/>
          <w:szCs w:val="20"/>
          <w:lang w:eastAsia="es-CO"/>
        </w:rPr>
        <w:t xml:space="preserve"> Incentiva</w:t>
      </w:r>
      <w:r w:rsidR="00EF684A">
        <w:rPr>
          <w:rFonts w:ascii="Arial" w:eastAsia="Times New Roman" w:hAnsi="Arial" w:cs="Arial"/>
          <w:color w:val="000000"/>
          <w:sz w:val="20"/>
          <w:szCs w:val="20"/>
          <w:lang w:eastAsia="es-CO"/>
        </w:rPr>
        <w:t>r Mercados, Establecer Tarifas a Usuarios, Armonización de Marcos Regulatorios p</w:t>
      </w:r>
      <w:r w:rsidRPr="00EF684A">
        <w:rPr>
          <w:rFonts w:ascii="Arial" w:eastAsia="Times New Roman" w:hAnsi="Arial" w:cs="Arial"/>
          <w:color w:val="000000"/>
          <w:sz w:val="20"/>
          <w:szCs w:val="20"/>
          <w:lang w:eastAsia="es-CO"/>
        </w:rPr>
        <w:t>ara intercambios In</w:t>
      </w:r>
      <w:r w:rsidR="00EF684A">
        <w:rPr>
          <w:rFonts w:ascii="Arial" w:eastAsia="Times New Roman" w:hAnsi="Arial" w:cs="Arial"/>
          <w:color w:val="000000"/>
          <w:sz w:val="20"/>
          <w:szCs w:val="20"/>
          <w:lang w:eastAsia="es-CO"/>
        </w:rPr>
        <w:t>ternacionales; Y Compilar Toda la Regulación Vigente a</w:t>
      </w:r>
      <w:r w:rsidRPr="00EF684A">
        <w:rPr>
          <w:rFonts w:ascii="Arial" w:eastAsia="Times New Roman" w:hAnsi="Arial" w:cs="Arial"/>
          <w:color w:val="000000"/>
          <w:sz w:val="20"/>
          <w:szCs w:val="20"/>
          <w:lang w:eastAsia="es-CO"/>
        </w:rPr>
        <w:t xml:space="preserve"> Nivel Nacional </w:t>
      </w:r>
      <w:r w:rsidR="00EF684A" w:rsidRPr="00EF684A">
        <w:rPr>
          <w:rFonts w:ascii="Arial" w:eastAsia="Calibri" w:hAnsi="Arial" w:cs="Arial"/>
          <w:noProof/>
          <w:sz w:val="20"/>
          <w:szCs w:val="20"/>
          <w:lang w:eastAsia="es-CO"/>
        </w:rPr>
        <w:t>con Avance Fisico de 27%, Avance de Gestión 2</w:t>
      </w:r>
      <w:r w:rsidRPr="00EF684A">
        <w:rPr>
          <w:rFonts w:ascii="Arial" w:eastAsia="Calibri" w:hAnsi="Arial" w:cs="Arial"/>
          <w:noProof/>
          <w:sz w:val="20"/>
          <w:szCs w:val="20"/>
          <w:lang w:eastAsia="es-CO"/>
        </w:rPr>
        <w:t>5%</w:t>
      </w:r>
      <w:r w:rsidR="00EF684A" w:rsidRPr="00EF684A">
        <w:rPr>
          <w:rFonts w:ascii="Arial" w:eastAsia="Calibri" w:hAnsi="Arial" w:cs="Arial"/>
          <w:noProof/>
          <w:sz w:val="20"/>
          <w:szCs w:val="20"/>
          <w:lang w:eastAsia="es-CO"/>
        </w:rPr>
        <w:t xml:space="preserve"> y Avance de </w:t>
      </w:r>
      <w:r w:rsidR="00EF684A" w:rsidRPr="005A60CE">
        <w:rPr>
          <w:rFonts w:ascii="Arial" w:eastAsia="Calibri" w:hAnsi="Arial" w:cs="Arial"/>
          <w:noProof/>
          <w:sz w:val="20"/>
          <w:szCs w:val="20"/>
          <w:lang w:eastAsia="es-CO"/>
        </w:rPr>
        <w:t>Ejecución del 6,24</w:t>
      </w:r>
      <w:r w:rsidRPr="005A60CE">
        <w:rPr>
          <w:rFonts w:ascii="Arial" w:eastAsia="Calibri" w:hAnsi="Arial" w:cs="Arial"/>
          <w:noProof/>
          <w:sz w:val="20"/>
          <w:szCs w:val="20"/>
          <w:lang w:eastAsia="es-CO"/>
        </w:rPr>
        <w:t xml:space="preserve">%; y  el proyecto de </w:t>
      </w:r>
      <w:r w:rsidR="00EF684A" w:rsidRPr="005A60CE">
        <w:rPr>
          <w:rFonts w:ascii="Arial" w:eastAsia="Times New Roman" w:hAnsi="Arial" w:cs="Arial"/>
          <w:sz w:val="20"/>
          <w:szCs w:val="20"/>
          <w:lang w:eastAsia="es-ES"/>
        </w:rPr>
        <w:t>Difusión Institucional a</w:t>
      </w:r>
      <w:r w:rsidRPr="005A60CE">
        <w:rPr>
          <w:rFonts w:ascii="Arial" w:eastAsia="Times New Roman" w:hAnsi="Arial" w:cs="Arial"/>
          <w:sz w:val="20"/>
          <w:szCs w:val="20"/>
          <w:lang w:eastAsia="es-ES"/>
        </w:rPr>
        <w:t xml:space="preserve"> Nivel Nacional, </w:t>
      </w:r>
      <w:r w:rsidR="005A60CE" w:rsidRPr="005A60CE">
        <w:rPr>
          <w:rFonts w:ascii="Arial" w:eastAsia="Calibri" w:hAnsi="Arial" w:cs="Arial"/>
          <w:noProof/>
          <w:sz w:val="20"/>
          <w:szCs w:val="20"/>
          <w:lang w:eastAsia="es-CO"/>
        </w:rPr>
        <w:t>con Avance Fisico de 37%, Avance de Gestión 20% y Avance de Ejecución del 12,3</w:t>
      </w:r>
      <w:r w:rsidRPr="005A60CE">
        <w:rPr>
          <w:rFonts w:ascii="Arial" w:eastAsia="Calibri" w:hAnsi="Arial" w:cs="Arial"/>
          <w:noProof/>
          <w:sz w:val="20"/>
          <w:szCs w:val="20"/>
          <w:lang w:eastAsia="es-CO"/>
        </w:rPr>
        <w:t xml:space="preserve">%. </w:t>
      </w:r>
    </w:p>
    <w:p w14:paraId="2A298EFF" w14:textId="0E71F9FE" w:rsidR="00CE0FBB" w:rsidRPr="00CE0FBB" w:rsidRDefault="00CE0FBB" w:rsidP="00CE0FBB">
      <w:pPr>
        <w:spacing w:line="240" w:lineRule="auto"/>
        <w:jc w:val="both"/>
        <w:rPr>
          <w:rFonts w:ascii="Arial" w:eastAsia="Calibri" w:hAnsi="Arial" w:cs="Arial"/>
          <w:b/>
          <w:noProof/>
          <w:sz w:val="20"/>
          <w:szCs w:val="20"/>
          <w:lang w:eastAsia="es-CO"/>
        </w:rPr>
      </w:pPr>
      <w:r>
        <w:rPr>
          <w:noProof/>
          <w:lang w:eastAsia="es-CO"/>
        </w:rPr>
        <w:lastRenderedPageBreak/>
        <w:drawing>
          <wp:anchor distT="0" distB="0" distL="114300" distR="114300" simplePos="0" relativeHeight="251726336" behindDoc="0" locked="0" layoutInCell="1" allowOverlap="1" wp14:anchorId="1B21D8B2" wp14:editId="5C867B16">
            <wp:simplePos x="0" y="0"/>
            <wp:positionH relativeFrom="column">
              <wp:posOffset>-719455</wp:posOffset>
            </wp:positionH>
            <wp:positionV relativeFrom="paragraph">
              <wp:posOffset>-102235</wp:posOffset>
            </wp:positionV>
            <wp:extent cx="7410450" cy="3189605"/>
            <wp:effectExtent l="0" t="0" r="0" b="0"/>
            <wp:wrapThrough wrapText="bothSides">
              <wp:wrapPolygon edited="0">
                <wp:start x="0" y="0"/>
                <wp:lineTo x="0" y="21415"/>
                <wp:lineTo x="21544" y="21415"/>
                <wp:lineTo x="21544" y="0"/>
                <wp:lineTo x="0" y="0"/>
              </wp:wrapPolygon>
            </wp:wrapThrough>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7410450" cy="3189605"/>
                    </a:xfrm>
                    <a:prstGeom prst="rect">
                      <a:avLst/>
                    </a:prstGeom>
                  </pic:spPr>
                </pic:pic>
              </a:graphicData>
            </a:graphic>
            <wp14:sizeRelH relativeFrom="page">
              <wp14:pctWidth>0</wp14:pctWidth>
            </wp14:sizeRelH>
            <wp14:sizeRelV relativeFrom="page">
              <wp14:pctHeight>0</wp14:pctHeight>
            </wp14:sizeRelV>
          </wp:anchor>
        </w:drawing>
      </w:r>
      <w:r w:rsidRPr="006A67B4">
        <w:rPr>
          <w:noProof/>
          <w:highlight w:val="yellow"/>
          <w:lang w:eastAsia="es-CO"/>
        </w:rPr>
        <mc:AlternateContent>
          <mc:Choice Requires="wps">
            <w:drawing>
              <wp:anchor distT="0" distB="0" distL="114300" distR="114300" simplePos="0" relativeHeight="251618816" behindDoc="0" locked="0" layoutInCell="1" allowOverlap="1" wp14:anchorId="043CC7B8" wp14:editId="404B2316">
                <wp:simplePos x="0" y="0"/>
                <wp:positionH relativeFrom="column">
                  <wp:posOffset>-558165</wp:posOffset>
                </wp:positionH>
                <wp:positionV relativeFrom="paragraph">
                  <wp:posOffset>-259080</wp:posOffset>
                </wp:positionV>
                <wp:extent cx="6988810" cy="457200"/>
                <wp:effectExtent l="0" t="0" r="2540" b="0"/>
                <wp:wrapThrough wrapText="bothSides">
                  <wp:wrapPolygon edited="0">
                    <wp:start x="0" y="0"/>
                    <wp:lineTo x="0" y="20700"/>
                    <wp:lineTo x="21549" y="20700"/>
                    <wp:lineTo x="21549" y="0"/>
                    <wp:lineTo x="0" y="0"/>
                  </wp:wrapPolygon>
                </wp:wrapThrough>
                <wp:docPr id="47" name="47 Cuadro de texto"/>
                <wp:cNvGraphicFramePr/>
                <a:graphic xmlns:a="http://schemas.openxmlformats.org/drawingml/2006/main">
                  <a:graphicData uri="http://schemas.microsoft.com/office/word/2010/wordprocessingShape">
                    <wps:wsp>
                      <wps:cNvSpPr txBox="1"/>
                      <wps:spPr>
                        <a:xfrm>
                          <a:off x="0" y="0"/>
                          <a:ext cx="6988810" cy="457200"/>
                        </a:xfrm>
                        <a:prstGeom prst="rect">
                          <a:avLst/>
                        </a:prstGeom>
                        <a:solidFill>
                          <a:prstClr val="white"/>
                        </a:solidFill>
                        <a:ln>
                          <a:noFill/>
                        </a:ln>
                        <a:effectLst/>
                      </wps:spPr>
                      <wps:txbx>
                        <w:txbxContent>
                          <w:p w14:paraId="3D9A5524" w14:textId="5D9A3B74" w:rsidR="008B5E15" w:rsidRPr="00997809" w:rsidRDefault="008B5E15" w:rsidP="00C02282">
                            <w:pPr>
                              <w:pStyle w:val="Descripcin"/>
                              <w:jc w:val="center"/>
                              <w:rPr>
                                <w:rFonts w:eastAsiaTheme="minorHAnsi"/>
                                <w:noProof/>
                              </w:rPr>
                            </w:pPr>
                            <w:bookmarkStart w:id="329" w:name="_Toc525652584"/>
                            <w:r>
                              <w:t xml:space="preserve">Tabla </w:t>
                            </w:r>
                            <w:r>
                              <w:fldChar w:fldCharType="begin"/>
                            </w:r>
                            <w:r>
                              <w:instrText xml:space="preserve"> SEQ Tabla \* ARABIC </w:instrText>
                            </w:r>
                            <w:r>
                              <w:fldChar w:fldCharType="separate"/>
                            </w:r>
                            <w:r>
                              <w:rPr>
                                <w:noProof/>
                              </w:rPr>
                              <w:t>139</w:t>
                            </w:r>
                            <w:r>
                              <w:fldChar w:fldCharType="end"/>
                            </w:r>
                            <w:r w:rsidRPr="008B59FA">
                              <w:t xml:space="preserve">Informe de SPI de la CREG  a </w:t>
                            </w:r>
                            <w:r>
                              <w:t xml:space="preserve">junio </w:t>
                            </w:r>
                            <w:r w:rsidRPr="008B59FA">
                              <w:t xml:space="preserve"> de 201</w:t>
                            </w:r>
                            <w:r>
                              <w:t>8</w:t>
                            </w:r>
                            <w:bookmarkEnd w:id="3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3CC7B8" id="47 Cuadro de texto" o:spid="_x0000_s1030" type="#_x0000_t202" style="position:absolute;left:0;text-align:left;margin-left:-43.95pt;margin-top:-20.4pt;width:550.3pt;height:36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" stroked="f">
                <v:textbox inset="0,0,0,0">
                  <w:txbxContent>
                    <w:p w14:paraId="3D9A5524" w14:textId="5D9A3B74" w:rsidR="008B5E15" w:rsidRPr="00997809" w:rsidRDefault="008B5E15" w:rsidP="00C02282">
                      <w:pPr>
                        <w:pStyle w:val="Descripcin"/>
                        <w:jc w:val="center"/>
                        <w:rPr>
                          <w:rFonts w:eastAsiaTheme="minorHAnsi"/>
                          <w:noProof/>
                        </w:rPr>
                      </w:pPr>
                      <w:bookmarkStart w:id="330" w:name="_Toc525652584"/>
                      <w:r>
                        <w:t xml:space="preserve">Tabla </w:t>
                      </w:r>
                      <w:r>
                        <w:fldChar w:fldCharType="begin"/>
                      </w:r>
                      <w:r>
                        <w:instrText xml:space="preserve"> SEQ Tabla \* ARABIC </w:instrText>
                      </w:r>
                      <w:r>
                        <w:fldChar w:fldCharType="separate"/>
                      </w:r>
                      <w:r>
                        <w:rPr>
                          <w:noProof/>
                        </w:rPr>
                        <w:t>139</w:t>
                      </w:r>
                      <w:r>
                        <w:fldChar w:fldCharType="end"/>
                      </w:r>
                      <w:r w:rsidRPr="008B59FA">
                        <w:t xml:space="preserve">Informe de SPI de la CREG  a </w:t>
                      </w:r>
                      <w:r>
                        <w:t xml:space="preserve">junio </w:t>
                      </w:r>
                      <w:r w:rsidRPr="008B59FA">
                        <w:t xml:space="preserve"> de 201</w:t>
                      </w:r>
                      <w:r>
                        <w:t>8</w:t>
                      </w:r>
                      <w:bookmarkEnd w:id="330"/>
                    </w:p>
                  </w:txbxContent>
                </v:textbox>
                <w10:wrap type="through"/>
              </v:shape>
            </w:pict>
          </mc:Fallback>
        </mc:AlternateContent>
      </w:r>
    </w:p>
    <w:p w14:paraId="1BA0479E" w14:textId="6C84B8CA" w:rsidR="00C02282" w:rsidRPr="00CE0FBB" w:rsidRDefault="00C02282" w:rsidP="00C02282">
      <w:pPr>
        <w:spacing w:after="0" w:line="240" w:lineRule="auto"/>
        <w:jc w:val="center"/>
        <w:rPr>
          <w:rFonts w:ascii="Arial" w:eastAsia="Calibri" w:hAnsi="Arial" w:cs="Arial"/>
          <w:sz w:val="16"/>
          <w:szCs w:val="16"/>
          <w:lang w:eastAsia="es-CO"/>
        </w:rPr>
      </w:pPr>
      <w:r w:rsidRPr="00CE0FBB">
        <w:rPr>
          <w:rFonts w:ascii="Arial" w:eastAsia="Calibri" w:hAnsi="Arial" w:cs="Arial"/>
          <w:sz w:val="16"/>
          <w:szCs w:val="16"/>
          <w:lang w:eastAsia="es-CO"/>
        </w:rPr>
        <w:t xml:space="preserve">Fuente: Sistema de Seguimiento a Proyectos de Inversión – SPI a </w:t>
      </w:r>
      <w:r w:rsidR="00CE0FBB" w:rsidRPr="00CE0FBB">
        <w:rPr>
          <w:rFonts w:ascii="Arial" w:eastAsia="Calibri" w:hAnsi="Arial" w:cs="Arial"/>
          <w:sz w:val="16"/>
          <w:szCs w:val="16"/>
          <w:lang w:eastAsia="es-CO"/>
        </w:rPr>
        <w:t xml:space="preserve">junio </w:t>
      </w:r>
      <w:r w:rsidRPr="00CE0FBB">
        <w:rPr>
          <w:rFonts w:ascii="Arial" w:eastAsia="Calibri" w:hAnsi="Arial" w:cs="Arial"/>
          <w:sz w:val="16"/>
          <w:szCs w:val="16"/>
          <w:lang w:eastAsia="es-CO"/>
        </w:rPr>
        <w:t>de 2018.</w:t>
      </w:r>
    </w:p>
    <w:p w14:paraId="6EE82B1F" w14:textId="4B3B034B" w:rsidR="00C02282" w:rsidRPr="006A67B4" w:rsidRDefault="00C02282" w:rsidP="00C02282">
      <w:pPr>
        <w:spacing w:after="0" w:line="240" w:lineRule="auto"/>
        <w:jc w:val="center"/>
        <w:rPr>
          <w:rFonts w:ascii="Arial" w:eastAsia="Calibri" w:hAnsi="Arial" w:cs="Arial"/>
          <w:b/>
          <w:noProof/>
          <w:sz w:val="20"/>
          <w:szCs w:val="20"/>
          <w:highlight w:val="yellow"/>
          <w:lang w:eastAsia="es-CO"/>
        </w:rPr>
      </w:pPr>
    </w:p>
    <w:p w14:paraId="5BCB4357" w14:textId="50D6B3F9" w:rsidR="00C02282" w:rsidRPr="006A67B4" w:rsidRDefault="00C02282" w:rsidP="00C02282">
      <w:pPr>
        <w:spacing w:after="0" w:line="240" w:lineRule="auto"/>
        <w:jc w:val="center"/>
        <w:rPr>
          <w:rFonts w:ascii="Arial" w:eastAsia="Calibri" w:hAnsi="Arial" w:cs="Arial"/>
          <w:b/>
          <w:noProof/>
          <w:sz w:val="20"/>
          <w:szCs w:val="20"/>
          <w:highlight w:val="yellow"/>
          <w:lang w:eastAsia="es-CO"/>
        </w:rPr>
      </w:pPr>
    </w:p>
    <w:p w14:paraId="1FE33CD8" w14:textId="1B995A54" w:rsidR="00C02282" w:rsidRPr="006B2A9D" w:rsidRDefault="00C02282" w:rsidP="00C02282">
      <w:pPr>
        <w:pStyle w:val="Descripcin"/>
        <w:keepNext/>
        <w:jc w:val="center"/>
      </w:pPr>
      <w:bookmarkStart w:id="331" w:name="_Toc525652443"/>
      <w:r w:rsidRPr="006B2A9D">
        <w:t xml:space="preserve">Gráfica </w:t>
      </w:r>
      <w:r w:rsidR="00B6251B">
        <w:fldChar w:fldCharType="begin"/>
      </w:r>
      <w:r w:rsidR="00B6251B">
        <w:instrText xml:space="preserve"> SEQ Gráfica \* ARABIC </w:instrText>
      </w:r>
      <w:r w:rsidR="00B6251B">
        <w:fldChar w:fldCharType="separate"/>
      </w:r>
      <w:r w:rsidR="00B6251B">
        <w:rPr>
          <w:noProof/>
        </w:rPr>
        <w:t>30</w:t>
      </w:r>
      <w:r w:rsidR="00B6251B">
        <w:fldChar w:fldCharType="end"/>
      </w:r>
      <w:r w:rsidRPr="006B2A9D">
        <w:t xml:space="preserve">Informe de SPI de la CREG  a </w:t>
      </w:r>
      <w:r w:rsidR="006B2A9D" w:rsidRPr="006B2A9D">
        <w:t xml:space="preserve">junio </w:t>
      </w:r>
      <w:r w:rsidRPr="006B2A9D">
        <w:t>de 201</w:t>
      </w:r>
      <w:bookmarkEnd w:id="331"/>
    </w:p>
    <w:p w14:paraId="6BA1F4F2" w14:textId="75233803" w:rsidR="00C02282" w:rsidRPr="006B2A9D" w:rsidRDefault="006B2A9D" w:rsidP="00C02282">
      <w:pPr>
        <w:spacing w:line="240" w:lineRule="auto"/>
        <w:jc w:val="center"/>
        <w:rPr>
          <w:noProof/>
          <w:lang w:eastAsia="es-CO"/>
        </w:rPr>
      </w:pPr>
      <w:r w:rsidRPr="006B2A9D">
        <w:rPr>
          <w:noProof/>
          <w:lang w:eastAsia="es-CO"/>
        </w:rPr>
        <w:drawing>
          <wp:inline distT="0" distB="0" distL="0" distR="0" wp14:anchorId="6328D04F" wp14:editId="3EE30CE8">
            <wp:extent cx="4562475" cy="2684459"/>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64863" cy="2685864"/>
                    </a:xfrm>
                    <a:prstGeom prst="rect">
                      <a:avLst/>
                    </a:prstGeom>
                  </pic:spPr>
                </pic:pic>
              </a:graphicData>
            </a:graphic>
          </wp:inline>
        </w:drawing>
      </w:r>
    </w:p>
    <w:p w14:paraId="3F3ED6E2" w14:textId="15B97821" w:rsidR="00C02282" w:rsidRPr="006B2A9D" w:rsidRDefault="00C02282" w:rsidP="00C02282">
      <w:pPr>
        <w:spacing w:line="240" w:lineRule="auto"/>
        <w:jc w:val="center"/>
        <w:rPr>
          <w:noProof/>
          <w:lang w:eastAsia="es-CO"/>
        </w:rPr>
      </w:pPr>
      <w:r w:rsidRPr="006B2A9D">
        <w:rPr>
          <w:rFonts w:ascii="Arial" w:eastAsia="Calibri" w:hAnsi="Arial" w:cs="Arial"/>
          <w:sz w:val="16"/>
          <w:szCs w:val="16"/>
          <w:lang w:eastAsia="es-CO"/>
        </w:rPr>
        <w:t xml:space="preserve">Fuente: Sistema de Seguimiento a Proyectos de Inversión – SPI a </w:t>
      </w:r>
      <w:r w:rsidR="006B2A9D" w:rsidRPr="006B2A9D">
        <w:rPr>
          <w:rFonts w:ascii="Arial" w:eastAsia="Calibri" w:hAnsi="Arial" w:cs="Arial"/>
          <w:sz w:val="16"/>
          <w:szCs w:val="16"/>
          <w:lang w:eastAsia="es-CO"/>
        </w:rPr>
        <w:t>junio</w:t>
      </w:r>
      <w:r w:rsidRPr="006B2A9D">
        <w:rPr>
          <w:rFonts w:ascii="Arial" w:eastAsia="Calibri" w:hAnsi="Arial" w:cs="Arial"/>
          <w:sz w:val="16"/>
          <w:szCs w:val="16"/>
          <w:lang w:eastAsia="es-CO"/>
        </w:rPr>
        <w:t xml:space="preserve"> de 2018.</w:t>
      </w:r>
    </w:p>
    <w:p w14:paraId="68C67663" w14:textId="38931528" w:rsidR="00C02282" w:rsidRPr="00CB679C" w:rsidRDefault="00C02282" w:rsidP="00C02282">
      <w:pPr>
        <w:pStyle w:val="Descripcin"/>
        <w:keepNext/>
        <w:jc w:val="center"/>
      </w:pPr>
      <w:bookmarkStart w:id="332" w:name="_Toc525652585"/>
      <w:r w:rsidRPr="00CB679C">
        <w:lastRenderedPageBreak/>
        <w:t xml:space="preserve">Tabla </w:t>
      </w:r>
      <w:r w:rsidRPr="00CB679C">
        <w:fldChar w:fldCharType="begin"/>
      </w:r>
      <w:r w:rsidRPr="00CB679C">
        <w:instrText xml:space="preserve"> SEQ Tabla \* ARABIC </w:instrText>
      </w:r>
      <w:r w:rsidRPr="00CB679C">
        <w:fldChar w:fldCharType="separate"/>
      </w:r>
      <w:r w:rsidR="008B4625">
        <w:rPr>
          <w:noProof/>
        </w:rPr>
        <w:t>140</w:t>
      </w:r>
      <w:r w:rsidRPr="00CB679C">
        <w:fldChar w:fldCharType="end"/>
      </w:r>
      <w:r w:rsidRPr="00CB679C">
        <w:t xml:space="preserve">Proyectos Informe de SPI de la CREG  a </w:t>
      </w:r>
      <w:r w:rsidR="00CB679C" w:rsidRPr="00CB679C">
        <w:t xml:space="preserve">junio </w:t>
      </w:r>
      <w:r w:rsidRPr="00CB679C">
        <w:t>de 201</w:t>
      </w:r>
      <w:bookmarkEnd w:id="332"/>
    </w:p>
    <w:tbl>
      <w:tblPr>
        <w:tblW w:w="10520" w:type="dxa"/>
        <w:tblInd w:w="75" w:type="dxa"/>
        <w:tblCellMar>
          <w:left w:w="70" w:type="dxa"/>
          <w:right w:w="70" w:type="dxa"/>
        </w:tblCellMar>
        <w:tblLook w:val="04A0" w:firstRow="1" w:lastRow="0" w:firstColumn="1" w:lastColumn="0" w:noHBand="0" w:noVBand="1"/>
      </w:tblPr>
      <w:tblGrid>
        <w:gridCol w:w="1161"/>
        <w:gridCol w:w="1625"/>
        <w:gridCol w:w="4501"/>
        <w:gridCol w:w="807"/>
        <w:gridCol w:w="1041"/>
        <w:gridCol w:w="1385"/>
      </w:tblGrid>
      <w:tr w:rsidR="00CB679C" w:rsidRPr="00CB679C" w14:paraId="4A0BCF59" w14:textId="77777777" w:rsidTr="00CB679C">
        <w:trPr>
          <w:trHeight w:val="255"/>
        </w:trPr>
        <w:tc>
          <w:tcPr>
            <w:tcW w:w="1178"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4316FE09"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ENTIDAD</w:t>
            </w:r>
          </w:p>
        </w:tc>
        <w:tc>
          <w:tcPr>
            <w:tcW w:w="1515" w:type="dxa"/>
            <w:tcBorders>
              <w:top w:val="single" w:sz="4" w:space="0" w:color="auto"/>
              <w:left w:val="nil"/>
              <w:bottom w:val="single" w:sz="4" w:space="0" w:color="auto"/>
              <w:right w:val="single" w:sz="4" w:space="0" w:color="auto"/>
            </w:tcBorders>
            <w:shd w:val="clear" w:color="000000" w:fill="B0C4DE"/>
            <w:vAlign w:val="bottom"/>
            <w:hideMark/>
          </w:tcPr>
          <w:p w14:paraId="641C7F2D"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PROYECTO</w:t>
            </w:r>
          </w:p>
        </w:tc>
        <w:tc>
          <w:tcPr>
            <w:tcW w:w="4787" w:type="dxa"/>
            <w:tcBorders>
              <w:top w:val="single" w:sz="4" w:space="0" w:color="auto"/>
              <w:left w:val="nil"/>
              <w:bottom w:val="single" w:sz="4" w:space="0" w:color="auto"/>
              <w:right w:val="single" w:sz="4" w:space="0" w:color="auto"/>
            </w:tcBorders>
            <w:shd w:val="clear" w:color="000000" w:fill="B0C4DE"/>
            <w:vAlign w:val="bottom"/>
            <w:hideMark/>
          </w:tcPr>
          <w:p w14:paraId="3447CE5F"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NOMBRE_PROYECTO</w:t>
            </w:r>
          </w:p>
        </w:tc>
        <w:tc>
          <w:tcPr>
            <w:tcW w:w="760" w:type="dxa"/>
            <w:tcBorders>
              <w:top w:val="single" w:sz="4" w:space="0" w:color="auto"/>
              <w:left w:val="nil"/>
              <w:bottom w:val="single" w:sz="4" w:space="0" w:color="auto"/>
              <w:right w:val="single" w:sz="4" w:space="0" w:color="auto"/>
            </w:tcBorders>
            <w:shd w:val="clear" w:color="000000" w:fill="B0C4DE"/>
            <w:vAlign w:val="bottom"/>
            <w:hideMark/>
          </w:tcPr>
          <w:p w14:paraId="41C4D101"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FISICO</w:t>
            </w:r>
          </w:p>
        </w:tc>
        <w:tc>
          <w:tcPr>
            <w:tcW w:w="980" w:type="dxa"/>
            <w:tcBorders>
              <w:top w:val="single" w:sz="4" w:space="0" w:color="auto"/>
              <w:left w:val="nil"/>
              <w:bottom w:val="single" w:sz="4" w:space="0" w:color="auto"/>
              <w:right w:val="single" w:sz="4" w:space="0" w:color="auto"/>
            </w:tcBorders>
            <w:shd w:val="clear" w:color="000000" w:fill="B0C4DE"/>
            <w:vAlign w:val="bottom"/>
            <w:hideMark/>
          </w:tcPr>
          <w:p w14:paraId="3692D992"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GESTION</w:t>
            </w:r>
          </w:p>
        </w:tc>
        <w:tc>
          <w:tcPr>
            <w:tcW w:w="1300" w:type="dxa"/>
            <w:tcBorders>
              <w:top w:val="single" w:sz="4" w:space="0" w:color="auto"/>
              <w:left w:val="nil"/>
              <w:bottom w:val="single" w:sz="4" w:space="0" w:color="auto"/>
              <w:right w:val="single" w:sz="4" w:space="0" w:color="auto"/>
            </w:tcBorders>
            <w:shd w:val="clear" w:color="000000" w:fill="B0C4DE"/>
            <w:vAlign w:val="bottom"/>
            <w:hideMark/>
          </w:tcPr>
          <w:p w14:paraId="3AB19772"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FINANCIERO</w:t>
            </w:r>
          </w:p>
        </w:tc>
      </w:tr>
      <w:tr w:rsidR="00CB679C" w:rsidRPr="00CB679C" w14:paraId="09FBC283" w14:textId="77777777" w:rsidTr="00CB679C">
        <w:trPr>
          <w:trHeight w:val="25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421E687E"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Creg</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39B777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'1204000170000</w:t>
            </w:r>
          </w:p>
        </w:tc>
        <w:tc>
          <w:tcPr>
            <w:tcW w:w="4787" w:type="dxa"/>
            <w:tcBorders>
              <w:top w:val="nil"/>
              <w:left w:val="nil"/>
              <w:bottom w:val="single" w:sz="4" w:space="0" w:color="auto"/>
              <w:right w:val="single" w:sz="4" w:space="0" w:color="auto"/>
            </w:tcBorders>
            <w:shd w:val="clear" w:color="auto" w:fill="auto"/>
            <w:vAlign w:val="bottom"/>
            <w:hideMark/>
          </w:tcPr>
          <w:p w14:paraId="1E4344A9"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DIFUSION INSTITUCIONAL A NIVEL NACIONAL</w:t>
            </w:r>
          </w:p>
        </w:tc>
        <w:tc>
          <w:tcPr>
            <w:tcW w:w="760" w:type="dxa"/>
            <w:tcBorders>
              <w:top w:val="nil"/>
              <w:left w:val="nil"/>
              <w:bottom w:val="single" w:sz="4" w:space="0" w:color="auto"/>
              <w:right w:val="single" w:sz="4" w:space="0" w:color="auto"/>
            </w:tcBorders>
            <w:shd w:val="clear" w:color="auto" w:fill="auto"/>
            <w:vAlign w:val="bottom"/>
            <w:hideMark/>
          </w:tcPr>
          <w:p w14:paraId="15ADC9DC"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37</w:t>
            </w:r>
          </w:p>
        </w:tc>
        <w:tc>
          <w:tcPr>
            <w:tcW w:w="980" w:type="dxa"/>
            <w:tcBorders>
              <w:top w:val="nil"/>
              <w:left w:val="nil"/>
              <w:bottom w:val="single" w:sz="4" w:space="0" w:color="auto"/>
              <w:right w:val="single" w:sz="4" w:space="0" w:color="auto"/>
            </w:tcBorders>
            <w:shd w:val="clear" w:color="auto" w:fill="auto"/>
            <w:vAlign w:val="bottom"/>
            <w:hideMark/>
          </w:tcPr>
          <w:p w14:paraId="4725B4D1"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w:t>
            </w:r>
          </w:p>
        </w:tc>
        <w:tc>
          <w:tcPr>
            <w:tcW w:w="1300" w:type="dxa"/>
            <w:tcBorders>
              <w:top w:val="nil"/>
              <w:left w:val="nil"/>
              <w:bottom w:val="single" w:sz="4" w:space="0" w:color="auto"/>
              <w:right w:val="single" w:sz="4" w:space="0" w:color="auto"/>
            </w:tcBorders>
            <w:shd w:val="clear" w:color="auto" w:fill="auto"/>
            <w:vAlign w:val="bottom"/>
            <w:hideMark/>
          </w:tcPr>
          <w:p w14:paraId="0C96A31A"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12,3</w:t>
            </w:r>
          </w:p>
        </w:tc>
      </w:tr>
      <w:tr w:rsidR="00CB679C" w:rsidRPr="00CB679C" w14:paraId="26CC2688" w14:textId="77777777" w:rsidTr="00CB679C">
        <w:trPr>
          <w:trHeight w:val="76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1A61D98F"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Creg</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6E3FEBE"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'1204000180000</w:t>
            </w:r>
          </w:p>
        </w:tc>
        <w:tc>
          <w:tcPr>
            <w:tcW w:w="4787" w:type="dxa"/>
            <w:tcBorders>
              <w:top w:val="nil"/>
              <w:left w:val="nil"/>
              <w:bottom w:val="single" w:sz="4" w:space="0" w:color="auto"/>
              <w:right w:val="single" w:sz="4" w:space="0" w:color="auto"/>
            </w:tcBorders>
            <w:shd w:val="clear" w:color="auto" w:fill="auto"/>
            <w:vAlign w:val="bottom"/>
            <w:hideMark/>
          </w:tcPr>
          <w:p w14:paraId="63B096E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CAPACITACION PARA EL FORTALECIMIENTO DE LA CAPACIDAD INSTITUCIONALDE LA CREG PARA DESARROLLAR SU MISION</w:t>
            </w:r>
          </w:p>
        </w:tc>
        <w:tc>
          <w:tcPr>
            <w:tcW w:w="760" w:type="dxa"/>
            <w:tcBorders>
              <w:top w:val="nil"/>
              <w:left w:val="nil"/>
              <w:bottom w:val="single" w:sz="4" w:space="0" w:color="auto"/>
              <w:right w:val="single" w:sz="4" w:space="0" w:color="auto"/>
            </w:tcBorders>
            <w:shd w:val="clear" w:color="auto" w:fill="auto"/>
            <w:vAlign w:val="bottom"/>
            <w:hideMark/>
          </w:tcPr>
          <w:p w14:paraId="089A6B53"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11</w:t>
            </w:r>
          </w:p>
        </w:tc>
        <w:tc>
          <w:tcPr>
            <w:tcW w:w="980" w:type="dxa"/>
            <w:tcBorders>
              <w:top w:val="nil"/>
              <w:left w:val="nil"/>
              <w:bottom w:val="single" w:sz="4" w:space="0" w:color="auto"/>
              <w:right w:val="single" w:sz="4" w:space="0" w:color="auto"/>
            </w:tcBorders>
            <w:shd w:val="clear" w:color="auto" w:fill="auto"/>
            <w:vAlign w:val="bottom"/>
            <w:hideMark/>
          </w:tcPr>
          <w:p w14:paraId="2713FA3D"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22</w:t>
            </w:r>
          </w:p>
        </w:tc>
        <w:tc>
          <w:tcPr>
            <w:tcW w:w="1300" w:type="dxa"/>
            <w:tcBorders>
              <w:top w:val="nil"/>
              <w:left w:val="nil"/>
              <w:bottom w:val="single" w:sz="4" w:space="0" w:color="auto"/>
              <w:right w:val="single" w:sz="4" w:space="0" w:color="auto"/>
            </w:tcBorders>
            <w:shd w:val="clear" w:color="auto" w:fill="auto"/>
            <w:vAlign w:val="bottom"/>
            <w:hideMark/>
          </w:tcPr>
          <w:p w14:paraId="4473BAA5"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5,04</w:t>
            </w:r>
          </w:p>
        </w:tc>
      </w:tr>
      <w:tr w:rsidR="00CB679C" w:rsidRPr="00CB679C" w14:paraId="5EDCFF58" w14:textId="77777777" w:rsidTr="00CB679C">
        <w:trPr>
          <w:trHeight w:val="178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00EEFA0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Creg</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AFB01CF"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'2011011000209</w:t>
            </w:r>
          </w:p>
        </w:tc>
        <w:tc>
          <w:tcPr>
            <w:tcW w:w="4787" w:type="dxa"/>
            <w:tcBorders>
              <w:top w:val="nil"/>
              <w:left w:val="nil"/>
              <w:bottom w:val="single" w:sz="4" w:space="0" w:color="auto"/>
              <w:right w:val="single" w:sz="4" w:space="0" w:color="auto"/>
            </w:tcBorders>
            <w:shd w:val="clear" w:color="auto" w:fill="auto"/>
            <w:vAlign w:val="bottom"/>
            <w:hideMark/>
          </w:tcPr>
          <w:p w14:paraId="3A815A89"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ESTUDIOS PARA REGULAR MONOPOLIO FORTALECER E INCENTIVAR MERCADOS, ESTABLECER TARIFAS A USUARIOS, ARMONIZACION DE MARCOS REGULATORIOS PARA INTERCAMBIOS INTERNACIONALES;Y COMPILAR TODA LA REGULACION VIGENTE A NIVEL NACIONAL</w:t>
            </w:r>
          </w:p>
        </w:tc>
        <w:tc>
          <w:tcPr>
            <w:tcW w:w="760" w:type="dxa"/>
            <w:tcBorders>
              <w:top w:val="nil"/>
              <w:left w:val="nil"/>
              <w:bottom w:val="single" w:sz="4" w:space="0" w:color="auto"/>
              <w:right w:val="single" w:sz="4" w:space="0" w:color="auto"/>
            </w:tcBorders>
            <w:shd w:val="clear" w:color="auto" w:fill="auto"/>
            <w:vAlign w:val="bottom"/>
            <w:hideMark/>
          </w:tcPr>
          <w:p w14:paraId="0F7B1436"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27</w:t>
            </w:r>
          </w:p>
        </w:tc>
        <w:tc>
          <w:tcPr>
            <w:tcW w:w="980" w:type="dxa"/>
            <w:tcBorders>
              <w:top w:val="nil"/>
              <w:left w:val="nil"/>
              <w:bottom w:val="single" w:sz="4" w:space="0" w:color="auto"/>
              <w:right w:val="single" w:sz="4" w:space="0" w:color="auto"/>
            </w:tcBorders>
            <w:shd w:val="clear" w:color="auto" w:fill="auto"/>
            <w:vAlign w:val="bottom"/>
            <w:hideMark/>
          </w:tcPr>
          <w:p w14:paraId="7FC3184E"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25</w:t>
            </w:r>
          </w:p>
        </w:tc>
        <w:tc>
          <w:tcPr>
            <w:tcW w:w="1300" w:type="dxa"/>
            <w:tcBorders>
              <w:top w:val="nil"/>
              <w:left w:val="nil"/>
              <w:bottom w:val="single" w:sz="4" w:space="0" w:color="auto"/>
              <w:right w:val="single" w:sz="4" w:space="0" w:color="auto"/>
            </w:tcBorders>
            <w:shd w:val="clear" w:color="auto" w:fill="auto"/>
            <w:vAlign w:val="bottom"/>
            <w:hideMark/>
          </w:tcPr>
          <w:p w14:paraId="7A886D7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6,24</w:t>
            </w:r>
          </w:p>
        </w:tc>
      </w:tr>
      <w:tr w:rsidR="00CB679C" w:rsidRPr="00CB679C" w14:paraId="0EA772BB" w14:textId="77777777" w:rsidTr="00CB679C">
        <w:trPr>
          <w:trHeight w:val="765"/>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5F3CAFF4"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Creg</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6370D71"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'2012011000086</w:t>
            </w:r>
          </w:p>
        </w:tc>
        <w:tc>
          <w:tcPr>
            <w:tcW w:w="4787" w:type="dxa"/>
            <w:tcBorders>
              <w:top w:val="nil"/>
              <w:left w:val="nil"/>
              <w:bottom w:val="single" w:sz="4" w:space="0" w:color="auto"/>
              <w:right w:val="single" w:sz="4" w:space="0" w:color="auto"/>
            </w:tcBorders>
            <w:shd w:val="clear" w:color="auto" w:fill="auto"/>
            <w:vAlign w:val="bottom"/>
            <w:hideMark/>
          </w:tcPr>
          <w:p w14:paraId="790B6DCE"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ADQUISICIÓN MODERNIZACION Y MEJORAMIENTO DE LAS TIC´S LA CREG A NIVEL NACIONAL</w:t>
            </w:r>
          </w:p>
        </w:tc>
        <w:tc>
          <w:tcPr>
            <w:tcW w:w="760" w:type="dxa"/>
            <w:tcBorders>
              <w:top w:val="nil"/>
              <w:left w:val="nil"/>
              <w:bottom w:val="single" w:sz="4" w:space="0" w:color="auto"/>
              <w:right w:val="single" w:sz="4" w:space="0" w:color="auto"/>
            </w:tcBorders>
            <w:shd w:val="clear" w:color="auto" w:fill="auto"/>
            <w:vAlign w:val="bottom"/>
            <w:hideMark/>
          </w:tcPr>
          <w:p w14:paraId="46807C29"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39</w:t>
            </w:r>
          </w:p>
        </w:tc>
        <w:tc>
          <w:tcPr>
            <w:tcW w:w="980" w:type="dxa"/>
            <w:tcBorders>
              <w:top w:val="nil"/>
              <w:left w:val="nil"/>
              <w:bottom w:val="single" w:sz="4" w:space="0" w:color="auto"/>
              <w:right w:val="single" w:sz="4" w:space="0" w:color="auto"/>
            </w:tcBorders>
            <w:shd w:val="clear" w:color="auto" w:fill="auto"/>
            <w:vAlign w:val="bottom"/>
            <w:hideMark/>
          </w:tcPr>
          <w:p w14:paraId="4A280257"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50</w:t>
            </w:r>
          </w:p>
        </w:tc>
        <w:tc>
          <w:tcPr>
            <w:tcW w:w="1300" w:type="dxa"/>
            <w:tcBorders>
              <w:top w:val="nil"/>
              <w:left w:val="nil"/>
              <w:bottom w:val="single" w:sz="4" w:space="0" w:color="auto"/>
              <w:right w:val="single" w:sz="4" w:space="0" w:color="auto"/>
            </w:tcBorders>
            <w:shd w:val="clear" w:color="auto" w:fill="auto"/>
            <w:vAlign w:val="bottom"/>
            <w:hideMark/>
          </w:tcPr>
          <w:p w14:paraId="7BEEAE73"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31,16</w:t>
            </w:r>
          </w:p>
        </w:tc>
      </w:tr>
      <w:tr w:rsidR="00CB679C" w:rsidRPr="00CB679C" w14:paraId="540A8BC4" w14:textId="77777777" w:rsidTr="00CB679C">
        <w:trPr>
          <w:trHeight w:val="1020"/>
        </w:trPr>
        <w:tc>
          <w:tcPr>
            <w:tcW w:w="1178" w:type="dxa"/>
            <w:tcBorders>
              <w:top w:val="nil"/>
              <w:left w:val="single" w:sz="4" w:space="0" w:color="auto"/>
              <w:bottom w:val="single" w:sz="4" w:space="0" w:color="auto"/>
              <w:right w:val="single" w:sz="4" w:space="0" w:color="auto"/>
            </w:tcBorders>
            <w:shd w:val="clear" w:color="auto" w:fill="auto"/>
            <w:vAlign w:val="bottom"/>
            <w:hideMark/>
          </w:tcPr>
          <w:p w14:paraId="48E93AA3"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proofErr w:type="spellStart"/>
            <w:r w:rsidRPr="00CB679C">
              <w:rPr>
                <w:rFonts w:ascii="Arial" w:eastAsia="Times New Roman" w:hAnsi="Arial" w:cs="Arial"/>
                <w:color w:val="000000"/>
                <w:sz w:val="20"/>
                <w:szCs w:val="20"/>
                <w:lang w:val="es-ES" w:eastAsia="es-ES"/>
              </w:rPr>
              <w:t>Creg</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67B5CB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'2012011000410</w:t>
            </w:r>
          </w:p>
        </w:tc>
        <w:tc>
          <w:tcPr>
            <w:tcW w:w="4787" w:type="dxa"/>
            <w:tcBorders>
              <w:top w:val="nil"/>
              <w:left w:val="nil"/>
              <w:bottom w:val="single" w:sz="4" w:space="0" w:color="auto"/>
              <w:right w:val="single" w:sz="4" w:space="0" w:color="auto"/>
            </w:tcBorders>
            <w:shd w:val="clear" w:color="auto" w:fill="auto"/>
            <w:vAlign w:val="bottom"/>
            <w:hideMark/>
          </w:tcPr>
          <w:p w14:paraId="35A1196C"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FORTALECIMIENTO DE LA CAPACIDAD INSTITUCIONALY APROPIACION DEL CONOCIMIENTO DEL SECTOR DE COMBUSTIBLES LIQUIDOS A NIVEL NACIONAL</w:t>
            </w:r>
          </w:p>
        </w:tc>
        <w:tc>
          <w:tcPr>
            <w:tcW w:w="760" w:type="dxa"/>
            <w:tcBorders>
              <w:top w:val="nil"/>
              <w:left w:val="nil"/>
              <w:bottom w:val="single" w:sz="4" w:space="0" w:color="auto"/>
              <w:right w:val="single" w:sz="4" w:space="0" w:color="auto"/>
            </w:tcBorders>
            <w:shd w:val="clear" w:color="auto" w:fill="auto"/>
            <w:vAlign w:val="bottom"/>
            <w:hideMark/>
          </w:tcPr>
          <w:p w14:paraId="00591383"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4</w:t>
            </w:r>
          </w:p>
        </w:tc>
        <w:tc>
          <w:tcPr>
            <w:tcW w:w="980" w:type="dxa"/>
            <w:tcBorders>
              <w:top w:val="nil"/>
              <w:left w:val="nil"/>
              <w:bottom w:val="single" w:sz="4" w:space="0" w:color="auto"/>
              <w:right w:val="single" w:sz="4" w:space="0" w:color="auto"/>
            </w:tcBorders>
            <w:shd w:val="clear" w:color="auto" w:fill="auto"/>
            <w:vAlign w:val="bottom"/>
            <w:hideMark/>
          </w:tcPr>
          <w:p w14:paraId="744E42CE"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23</w:t>
            </w:r>
          </w:p>
        </w:tc>
        <w:tc>
          <w:tcPr>
            <w:tcW w:w="1300" w:type="dxa"/>
            <w:tcBorders>
              <w:top w:val="nil"/>
              <w:left w:val="nil"/>
              <w:bottom w:val="single" w:sz="4" w:space="0" w:color="auto"/>
              <w:right w:val="single" w:sz="4" w:space="0" w:color="auto"/>
            </w:tcBorders>
            <w:shd w:val="clear" w:color="auto" w:fill="auto"/>
            <w:vAlign w:val="bottom"/>
            <w:hideMark/>
          </w:tcPr>
          <w:p w14:paraId="7965DE35"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5,79</w:t>
            </w:r>
          </w:p>
        </w:tc>
      </w:tr>
    </w:tbl>
    <w:p w14:paraId="2D46C031" w14:textId="1C82663F" w:rsidR="00C02282" w:rsidRPr="00CB679C" w:rsidRDefault="00C02282" w:rsidP="00C02282">
      <w:pPr>
        <w:jc w:val="center"/>
        <w:rPr>
          <w:rFonts w:ascii="Arial" w:eastAsia="Calibri" w:hAnsi="Arial" w:cs="Arial"/>
          <w:b/>
          <w:sz w:val="16"/>
          <w:szCs w:val="16"/>
        </w:rPr>
      </w:pPr>
      <w:r w:rsidRPr="00CB679C">
        <w:rPr>
          <w:rFonts w:ascii="Arial" w:eastAsia="Calibri" w:hAnsi="Arial" w:cs="Arial"/>
          <w:sz w:val="16"/>
          <w:szCs w:val="16"/>
        </w:rPr>
        <w:t xml:space="preserve">Fuente: Sistema de Seguimiento a Proyectos de Inversión – SPI a </w:t>
      </w:r>
      <w:r w:rsidR="00CB679C" w:rsidRPr="00CB679C">
        <w:rPr>
          <w:rFonts w:ascii="Arial" w:eastAsia="Calibri" w:hAnsi="Arial" w:cs="Arial"/>
          <w:sz w:val="16"/>
          <w:szCs w:val="16"/>
        </w:rPr>
        <w:t xml:space="preserve">junio </w:t>
      </w:r>
      <w:r w:rsidRPr="00CB679C">
        <w:rPr>
          <w:rFonts w:ascii="Arial" w:eastAsia="Calibri" w:hAnsi="Arial" w:cs="Arial"/>
          <w:sz w:val="16"/>
          <w:szCs w:val="16"/>
        </w:rPr>
        <w:t xml:space="preserve">de 2018. </w:t>
      </w:r>
    </w:p>
    <w:p w14:paraId="0E47E3B5" w14:textId="77777777" w:rsidR="00C02282" w:rsidRPr="004B29BF" w:rsidRDefault="00C02282" w:rsidP="008B4625">
      <w:pPr>
        <w:pStyle w:val="Ttulo1"/>
        <w:numPr>
          <w:ilvl w:val="0"/>
          <w:numId w:val="36"/>
        </w:numPr>
        <w:rPr>
          <w:rFonts w:ascii="Arial" w:eastAsia="Arial" w:hAnsi="Arial" w:cs="Arial"/>
          <w:b/>
          <w:color w:val="auto"/>
          <w:sz w:val="22"/>
          <w:szCs w:val="22"/>
          <w:lang w:eastAsia="es-CO"/>
        </w:rPr>
      </w:pPr>
      <w:bookmarkStart w:id="333" w:name="_Toc525652104"/>
      <w:r w:rsidRPr="004B29BF">
        <w:rPr>
          <w:rFonts w:ascii="Arial" w:eastAsia="Arial" w:hAnsi="Arial" w:cs="Arial"/>
          <w:b/>
          <w:color w:val="auto"/>
          <w:sz w:val="22"/>
          <w:szCs w:val="22"/>
          <w:lang w:eastAsia="es-CO"/>
        </w:rPr>
        <w:t>Servicio Geológico Colombiano – SGC.</w:t>
      </w:r>
      <w:bookmarkEnd w:id="333"/>
    </w:p>
    <w:p w14:paraId="76F74A4D" w14:textId="77777777" w:rsidR="00C02282" w:rsidRPr="004B29BF" w:rsidRDefault="00C02282" w:rsidP="00C02282">
      <w:pPr>
        <w:rPr>
          <w:lang w:eastAsia="es-CO"/>
        </w:rPr>
      </w:pPr>
    </w:p>
    <w:p w14:paraId="07EA6AFB" w14:textId="7CB3E8C7" w:rsidR="00C02282" w:rsidRPr="004B29BF" w:rsidRDefault="00C02282" w:rsidP="00C02282">
      <w:pPr>
        <w:spacing w:line="240" w:lineRule="auto"/>
        <w:jc w:val="both"/>
        <w:rPr>
          <w:rFonts w:ascii="Arial" w:eastAsia="Calibri" w:hAnsi="Arial" w:cs="Arial"/>
          <w:noProof/>
          <w:sz w:val="20"/>
          <w:szCs w:val="20"/>
          <w:lang w:eastAsia="es-CO"/>
        </w:rPr>
      </w:pPr>
      <w:r w:rsidRPr="004B29BF">
        <w:rPr>
          <w:rFonts w:ascii="Arial" w:eastAsia="Calibri" w:hAnsi="Arial" w:cs="Arial"/>
          <w:noProof/>
          <w:sz w:val="20"/>
          <w:szCs w:val="20"/>
          <w:lang w:eastAsia="es-CO"/>
        </w:rPr>
        <w:t>El Servicio Geológico Colombiano - SGC, presenta siete proyectos con una Apropiación vigente de $</w:t>
      </w:r>
      <w:r w:rsidR="004B29BF" w:rsidRPr="004B29BF">
        <w:rPr>
          <w:rFonts w:ascii="Arial" w:eastAsia="Calibri" w:hAnsi="Arial" w:cs="Arial"/>
          <w:noProof/>
          <w:sz w:val="20"/>
          <w:szCs w:val="20"/>
          <w:lang w:eastAsia="es-CO"/>
        </w:rPr>
        <w:t>11.727.896,72</w:t>
      </w:r>
      <w:r w:rsidRPr="004B29BF">
        <w:rPr>
          <w:rFonts w:ascii="Arial" w:eastAsia="Calibri" w:hAnsi="Arial" w:cs="Arial"/>
          <w:noProof/>
          <w:sz w:val="20"/>
          <w:szCs w:val="20"/>
          <w:lang w:eastAsia="es-CO"/>
        </w:rPr>
        <w:t xml:space="preserve"> millones con un porcentaj</w:t>
      </w:r>
      <w:r w:rsidR="004B29BF" w:rsidRPr="004B29BF">
        <w:rPr>
          <w:rFonts w:ascii="Arial" w:eastAsia="Calibri" w:hAnsi="Arial" w:cs="Arial"/>
          <w:noProof/>
          <w:sz w:val="20"/>
          <w:szCs w:val="20"/>
          <w:lang w:eastAsia="es-CO"/>
        </w:rPr>
        <w:t>e de Avance en Ejecución del 5,6</w:t>
      </w:r>
      <w:r w:rsidRPr="004B29BF">
        <w:rPr>
          <w:rFonts w:ascii="Arial" w:eastAsia="Calibri" w:hAnsi="Arial" w:cs="Arial"/>
          <w:noProof/>
          <w:sz w:val="20"/>
          <w:szCs w:val="20"/>
          <w:lang w:eastAsia="es-CO"/>
        </w:rPr>
        <w:t>%, en A</w:t>
      </w:r>
      <w:r w:rsidR="004B29BF" w:rsidRPr="004B29BF">
        <w:rPr>
          <w:rFonts w:ascii="Arial" w:eastAsia="Calibri" w:hAnsi="Arial" w:cs="Arial"/>
          <w:noProof/>
          <w:sz w:val="20"/>
          <w:szCs w:val="20"/>
          <w:lang w:eastAsia="es-CO"/>
        </w:rPr>
        <w:t>vance Físico del Producto de 2,5% y en Gestión del 19,2</w:t>
      </w:r>
      <w:r w:rsidRPr="004B29BF">
        <w:rPr>
          <w:rFonts w:ascii="Arial" w:eastAsia="Calibri" w:hAnsi="Arial" w:cs="Arial"/>
          <w:noProof/>
          <w:sz w:val="20"/>
          <w:szCs w:val="20"/>
          <w:lang w:eastAsia="es-CO"/>
        </w:rPr>
        <w:t>%.</w:t>
      </w:r>
    </w:p>
    <w:p w14:paraId="4716CE2A" w14:textId="3CB33A11" w:rsidR="00C02282" w:rsidRPr="004B29BF" w:rsidRDefault="00C02282" w:rsidP="00C02282">
      <w:pPr>
        <w:spacing w:line="240" w:lineRule="auto"/>
        <w:jc w:val="both"/>
        <w:rPr>
          <w:rFonts w:ascii="Arial" w:eastAsia="Calibri" w:hAnsi="Arial" w:cs="Arial"/>
          <w:noProof/>
          <w:sz w:val="20"/>
          <w:szCs w:val="20"/>
          <w:lang w:eastAsia="es-CO"/>
        </w:rPr>
      </w:pPr>
      <w:r w:rsidRPr="004B29BF">
        <w:rPr>
          <w:rFonts w:ascii="Arial" w:eastAsia="Calibri" w:hAnsi="Arial" w:cs="Arial"/>
          <w:noProof/>
          <w:sz w:val="20"/>
          <w:szCs w:val="20"/>
          <w:lang w:eastAsia="es-CO"/>
        </w:rPr>
        <w:t>Se destaca el proyecto</w:t>
      </w:r>
      <w:r w:rsidR="004B29BF" w:rsidRPr="004B29BF">
        <w:rPr>
          <w:rFonts w:ascii="Arial" w:eastAsia="Calibri" w:hAnsi="Arial" w:cs="Arial"/>
          <w:noProof/>
          <w:sz w:val="20"/>
          <w:szCs w:val="20"/>
          <w:lang w:eastAsia="es-CO"/>
        </w:rPr>
        <w:t xml:space="preserve"> de Mejoramiento, Desarrollo y  </w:t>
      </w:r>
      <w:r w:rsidRPr="004B29BF">
        <w:rPr>
          <w:rFonts w:ascii="Arial" w:eastAsia="Calibri" w:hAnsi="Arial" w:cs="Arial"/>
          <w:noProof/>
          <w:sz w:val="20"/>
          <w:szCs w:val="20"/>
          <w:lang w:eastAsia="es-CO"/>
        </w:rPr>
        <w:t xml:space="preserve">Promoción </w:t>
      </w:r>
      <w:r w:rsidR="004B29BF" w:rsidRPr="004B29BF">
        <w:rPr>
          <w:rFonts w:ascii="Arial" w:eastAsia="Calibri" w:hAnsi="Arial" w:cs="Arial"/>
          <w:noProof/>
          <w:sz w:val="20"/>
          <w:szCs w:val="20"/>
          <w:lang w:eastAsia="es-CO"/>
        </w:rPr>
        <w:t>de las Capacidades Científicas y</w:t>
      </w:r>
      <w:r w:rsidRPr="004B29BF">
        <w:rPr>
          <w:rFonts w:ascii="Arial" w:eastAsia="Calibri" w:hAnsi="Arial" w:cs="Arial"/>
          <w:noProof/>
          <w:sz w:val="20"/>
          <w:szCs w:val="20"/>
          <w:lang w:eastAsia="es-CO"/>
        </w:rPr>
        <w:t xml:space="preserve"> Tecnológicas</w:t>
      </w:r>
      <w:r w:rsidR="004B29BF" w:rsidRPr="004B29BF">
        <w:rPr>
          <w:rFonts w:ascii="Arial" w:eastAsia="Calibri" w:hAnsi="Arial" w:cs="Arial"/>
          <w:noProof/>
          <w:sz w:val="20"/>
          <w:szCs w:val="20"/>
          <w:lang w:eastAsia="es-CO"/>
        </w:rPr>
        <w:t xml:space="preserve"> de las Aplicaciones Nucleares y</w:t>
      </w:r>
      <w:r w:rsidRPr="004B29BF">
        <w:rPr>
          <w:rFonts w:ascii="Arial" w:eastAsia="Calibri" w:hAnsi="Arial" w:cs="Arial"/>
          <w:noProof/>
          <w:sz w:val="20"/>
          <w:szCs w:val="20"/>
          <w:lang w:eastAsia="es-CO"/>
        </w:rPr>
        <w:t xml:space="preserve"> Radiac</w:t>
      </w:r>
      <w:r w:rsidR="004B29BF" w:rsidRPr="004B29BF">
        <w:rPr>
          <w:rFonts w:ascii="Arial" w:eastAsia="Calibri" w:hAnsi="Arial" w:cs="Arial"/>
          <w:noProof/>
          <w:sz w:val="20"/>
          <w:szCs w:val="20"/>
          <w:lang w:eastAsia="es-CO"/>
        </w:rPr>
        <w:t>tivas, con un avance Fisico de 8%, avance de Gestiòn del 36% y Financiero del 18,08</w:t>
      </w:r>
      <w:r w:rsidRPr="004B29BF">
        <w:rPr>
          <w:rFonts w:ascii="Arial" w:eastAsia="Calibri" w:hAnsi="Arial" w:cs="Arial"/>
          <w:noProof/>
          <w:sz w:val="20"/>
          <w:szCs w:val="20"/>
          <w:lang w:eastAsia="es-CO"/>
        </w:rPr>
        <w:t>%.</w:t>
      </w:r>
    </w:p>
    <w:p w14:paraId="50EFF6D3" w14:textId="655A5EED" w:rsidR="00C02282" w:rsidRPr="006A67B4" w:rsidRDefault="00C02282" w:rsidP="00C02282">
      <w:pPr>
        <w:spacing w:line="240" w:lineRule="auto"/>
        <w:jc w:val="both"/>
        <w:rPr>
          <w:rFonts w:ascii="Arial" w:eastAsia="Calibri" w:hAnsi="Arial" w:cs="Arial"/>
          <w:noProof/>
          <w:sz w:val="20"/>
          <w:szCs w:val="20"/>
          <w:highlight w:val="yellow"/>
          <w:lang w:eastAsia="es-CO"/>
        </w:rPr>
      </w:pPr>
      <w:r w:rsidRPr="004B29BF">
        <w:rPr>
          <w:rFonts w:ascii="Arial" w:eastAsia="Calibri" w:hAnsi="Arial" w:cs="Arial"/>
          <w:noProof/>
          <w:sz w:val="20"/>
          <w:szCs w:val="20"/>
          <w:lang w:eastAsia="es-CO"/>
        </w:rPr>
        <w:t>Tambien se destaca el proyecto de Fortalecimiento de la gestión estratégica integral del Servicio Geológico Colombiano a nivel N</w:t>
      </w:r>
      <w:r w:rsidR="004B29BF" w:rsidRPr="004B29BF">
        <w:rPr>
          <w:rFonts w:ascii="Arial" w:eastAsia="Calibri" w:hAnsi="Arial" w:cs="Arial"/>
          <w:noProof/>
          <w:sz w:val="20"/>
          <w:szCs w:val="20"/>
          <w:lang w:eastAsia="es-CO"/>
        </w:rPr>
        <w:t>acional,  con avance Fisico de 0</w:t>
      </w:r>
      <w:r w:rsidRPr="004B29BF">
        <w:rPr>
          <w:rFonts w:ascii="Arial" w:eastAsia="Calibri" w:hAnsi="Arial" w:cs="Arial"/>
          <w:noProof/>
          <w:sz w:val="20"/>
          <w:szCs w:val="20"/>
          <w:lang w:eastAsia="es-CO"/>
        </w:rPr>
        <w:t>%, de Gesti</w:t>
      </w:r>
      <w:r w:rsidR="004B29BF" w:rsidRPr="004B29BF">
        <w:rPr>
          <w:rFonts w:ascii="Arial" w:eastAsia="Calibri" w:hAnsi="Arial" w:cs="Arial"/>
          <w:noProof/>
          <w:sz w:val="20"/>
          <w:szCs w:val="20"/>
          <w:lang w:eastAsia="es-CO"/>
        </w:rPr>
        <w:t>òn de 0% y Financiero del 9,25</w:t>
      </w:r>
      <w:r w:rsidRPr="004B29BF">
        <w:rPr>
          <w:rFonts w:ascii="Arial" w:eastAsia="Calibri" w:hAnsi="Arial" w:cs="Arial"/>
          <w:noProof/>
          <w:sz w:val="20"/>
          <w:szCs w:val="20"/>
          <w:lang w:eastAsia="es-CO"/>
        </w:rPr>
        <w:t xml:space="preserve">%. </w:t>
      </w:r>
      <w:r w:rsidR="004B29BF" w:rsidRPr="004B29BF">
        <w:rPr>
          <w:rFonts w:ascii="Arial" w:eastAsia="Times New Roman" w:hAnsi="Arial" w:cs="Arial"/>
          <w:color w:val="000000"/>
          <w:sz w:val="20"/>
          <w:szCs w:val="20"/>
          <w:lang w:val="es-ES" w:eastAsia="es-ES"/>
        </w:rPr>
        <w:t xml:space="preserve">Fortalecimiento de la Investigación y Caracterización de materiales geológicos en Territorio Nacional, </w:t>
      </w:r>
      <w:r w:rsidR="004B29BF" w:rsidRPr="004B29BF">
        <w:rPr>
          <w:rFonts w:ascii="Arial" w:eastAsia="Calibri" w:hAnsi="Arial" w:cs="Arial"/>
          <w:noProof/>
          <w:sz w:val="20"/>
          <w:szCs w:val="20"/>
          <w:lang w:eastAsia="es-CO"/>
        </w:rPr>
        <w:t xml:space="preserve">con avance Fisico de 5%, de Gestiòn de 65% y Financiero del 0,21%. </w:t>
      </w:r>
    </w:p>
    <w:p w14:paraId="20DCE721" w14:textId="50B7C694" w:rsidR="00C02282" w:rsidRPr="0057681C" w:rsidRDefault="0057681C" w:rsidP="00C02282">
      <w:pPr>
        <w:spacing w:line="240" w:lineRule="auto"/>
        <w:jc w:val="both"/>
        <w:rPr>
          <w:rFonts w:ascii="Arial" w:eastAsia="Calibri" w:hAnsi="Arial" w:cs="Arial"/>
          <w:noProof/>
          <w:sz w:val="20"/>
          <w:szCs w:val="20"/>
          <w:lang w:eastAsia="es-CO"/>
        </w:rPr>
      </w:pPr>
      <w:r>
        <w:rPr>
          <w:noProof/>
          <w:lang w:eastAsia="es-CO"/>
        </w:rPr>
        <w:lastRenderedPageBreak/>
        <w:drawing>
          <wp:anchor distT="0" distB="0" distL="114300" distR="114300" simplePos="0" relativeHeight="251741696" behindDoc="0" locked="0" layoutInCell="1" allowOverlap="1" wp14:anchorId="122208B5" wp14:editId="06A7299B">
            <wp:simplePos x="0" y="0"/>
            <wp:positionH relativeFrom="column">
              <wp:posOffset>-548640</wp:posOffset>
            </wp:positionH>
            <wp:positionV relativeFrom="paragraph">
              <wp:posOffset>516255</wp:posOffset>
            </wp:positionV>
            <wp:extent cx="6922770" cy="2809875"/>
            <wp:effectExtent l="0" t="0" r="0" b="9525"/>
            <wp:wrapThrough wrapText="bothSides">
              <wp:wrapPolygon edited="0">
                <wp:start x="0" y="0"/>
                <wp:lineTo x="0" y="21527"/>
                <wp:lineTo x="21517" y="21527"/>
                <wp:lineTo x="21517" y="0"/>
                <wp:lineTo x="0" y="0"/>
              </wp:wrapPolygon>
            </wp:wrapThrough>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922770" cy="2809875"/>
                    </a:xfrm>
                    <a:prstGeom prst="rect">
                      <a:avLst/>
                    </a:prstGeom>
                  </pic:spPr>
                </pic:pic>
              </a:graphicData>
            </a:graphic>
            <wp14:sizeRelH relativeFrom="page">
              <wp14:pctWidth>0</wp14:pctWidth>
            </wp14:sizeRelH>
            <wp14:sizeRelV relativeFrom="page">
              <wp14:pctHeight>0</wp14:pctHeight>
            </wp14:sizeRelV>
          </wp:anchor>
        </w:drawing>
      </w:r>
      <w:r w:rsidR="00C02282" w:rsidRPr="006A67B4">
        <w:rPr>
          <w:noProof/>
          <w:highlight w:val="yellow"/>
          <w:lang w:eastAsia="es-CO"/>
        </w:rPr>
        <mc:AlternateContent>
          <mc:Choice Requires="wps">
            <w:drawing>
              <wp:anchor distT="0" distB="0" distL="114300" distR="114300" simplePos="0" relativeHeight="251634176" behindDoc="0" locked="0" layoutInCell="1" allowOverlap="1" wp14:anchorId="57F84132" wp14:editId="4DE01109">
                <wp:simplePos x="0" y="0"/>
                <wp:positionH relativeFrom="column">
                  <wp:posOffset>-942340</wp:posOffset>
                </wp:positionH>
                <wp:positionV relativeFrom="paragraph">
                  <wp:posOffset>212090</wp:posOffset>
                </wp:positionV>
                <wp:extent cx="7634605" cy="457200"/>
                <wp:effectExtent l="0" t="0" r="4445" b="0"/>
                <wp:wrapThrough wrapText="bothSides">
                  <wp:wrapPolygon edited="0">
                    <wp:start x="0" y="0"/>
                    <wp:lineTo x="0" y="20700"/>
                    <wp:lineTo x="21559" y="20700"/>
                    <wp:lineTo x="21559" y="0"/>
                    <wp:lineTo x="0" y="0"/>
                  </wp:wrapPolygon>
                </wp:wrapThrough>
                <wp:docPr id="48" name="48 Cuadro de texto"/>
                <wp:cNvGraphicFramePr/>
                <a:graphic xmlns:a="http://schemas.openxmlformats.org/drawingml/2006/main">
                  <a:graphicData uri="http://schemas.microsoft.com/office/word/2010/wordprocessingShape">
                    <wps:wsp>
                      <wps:cNvSpPr txBox="1"/>
                      <wps:spPr>
                        <a:xfrm>
                          <a:off x="0" y="0"/>
                          <a:ext cx="7634605" cy="457200"/>
                        </a:xfrm>
                        <a:prstGeom prst="rect">
                          <a:avLst/>
                        </a:prstGeom>
                        <a:solidFill>
                          <a:prstClr val="white"/>
                        </a:solidFill>
                        <a:ln>
                          <a:noFill/>
                        </a:ln>
                        <a:effectLst/>
                      </wps:spPr>
                      <wps:txbx>
                        <w:txbxContent>
                          <w:p w14:paraId="5CFB6E2F" w14:textId="1A97B953" w:rsidR="008B5E15" w:rsidRPr="00F13B9D" w:rsidRDefault="008B5E15" w:rsidP="00C02282">
                            <w:pPr>
                              <w:pStyle w:val="Descripcin"/>
                              <w:jc w:val="center"/>
                              <w:rPr>
                                <w:rFonts w:eastAsiaTheme="minorHAnsi"/>
                                <w:noProof/>
                              </w:rPr>
                            </w:pPr>
                            <w:bookmarkStart w:id="334" w:name="_Toc525652586"/>
                            <w:r>
                              <w:t xml:space="preserve">Tabla </w:t>
                            </w:r>
                            <w:r>
                              <w:fldChar w:fldCharType="begin"/>
                            </w:r>
                            <w:r>
                              <w:instrText xml:space="preserve"> SEQ Tabla \* ARABIC </w:instrText>
                            </w:r>
                            <w:r>
                              <w:fldChar w:fldCharType="separate"/>
                            </w:r>
                            <w:r>
                              <w:rPr>
                                <w:noProof/>
                              </w:rPr>
                              <w:t>141</w:t>
                            </w:r>
                            <w:r>
                              <w:fldChar w:fldCharType="end"/>
                            </w:r>
                            <w:r w:rsidRPr="009C082B">
                              <w:t xml:space="preserve">Informe de SPI del SGC a </w:t>
                            </w:r>
                            <w:r>
                              <w:t xml:space="preserve">junio </w:t>
                            </w:r>
                            <w:r w:rsidRPr="009C082B">
                              <w:t xml:space="preserve"> de 2018</w:t>
                            </w:r>
                            <w:bookmarkEnd w:id="3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F84132" id="48 Cuadro de texto" o:spid="_x0000_s1031" type="#_x0000_t202" style="position:absolute;left:0;text-align:left;margin-left:-74.2pt;margin-top:16.7pt;width:601.15pt;height:36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" stroked="f">
                <v:textbox inset="0,0,0,0">
                  <w:txbxContent>
                    <w:p w14:paraId="5CFB6E2F" w14:textId="1A97B953" w:rsidR="008B5E15" w:rsidRPr="00F13B9D" w:rsidRDefault="008B5E15" w:rsidP="00C02282">
                      <w:pPr>
                        <w:pStyle w:val="Descripcin"/>
                        <w:jc w:val="center"/>
                        <w:rPr>
                          <w:rFonts w:eastAsiaTheme="minorHAnsi"/>
                          <w:noProof/>
                        </w:rPr>
                      </w:pPr>
                      <w:bookmarkStart w:id="335" w:name="_Toc525652586"/>
                      <w:r>
                        <w:t xml:space="preserve">Tabla </w:t>
                      </w:r>
                      <w:r>
                        <w:fldChar w:fldCharType="begin"/>
                      </w:r>
                      <w:r>
                        <w:instrText xml:space="preserve"> SEQ Tabla \* ARABIC </w:instrText>
                      </w:r>
                      <w:r>
                        <w:fldChar w:fldCharType="separate"/>
                      </w:r>
                      <w:r>
                        <w:rPr>
                          <w:noProof/>
                        </w:rPr>
                        <w:t>141</w:t>
                      </w:r>
                      <w:r>
                        <w:fldChar w:fldCharType="end"/>
                      </w:r>
                      <w:r w:rsidRPr="009C082B">
                        <w:t xml:space="preserve">Informe de SPI del SGC a </w:t>
                      </w:r>
                      <w:r>
                        <w:t xml:space="preserve">junio </w:t>
                      </w:r>
                      <w:r w:rsidRPr="009C082B">
                        <w:t xml:space="preserve"> de 2018</w:t>
                      </w:r>
                      <w:bookmarkEnd w:id="335"/>
                    </w:p>
                  </w:txbxContent>
                </v:textbox>
                <w10:wrap type="through"/>
              </v:shape>
            </w:pict>
          </mc:Fallback>
        </mc:AlternateContent>
      </w:r>
    </w:p>
    <w:p w14:paraId="4CA5CF88" w14:textId="63833E35" w:rsidR="00C02282" w:rsidRPr="0057681C" w:rsidRDefault="00C02282" w:rsidP="00C02282">
      <w:pPr>
        <w:spacing w:after="0" w:line="240" w:lineRule="auto"/>
        <w:jc w:val="center"/>
        <w:rPr>
          <w:rFonts w:ascii="Arial" w:eastAsia="Calibri" w:hAnsi="Arial" w:cs="Arial"/>
          <w:sz w:val="16"/>
          <w:szCs w:val="16"/>
          <w:lang w:eastAsia="es-CO"/>
        </w:rPr>
      </w:pPr>
    </w:p>
    <w:p w14:paraId="10176914" w14:textId="13D42B49" w:rsidR="00C02282" w:rsidRDefault="00C02282" w:rsidP="00C02282">
      <w:pPr>
        <w:spacing w:after="0" w:line="240" w:lineRule="auto"/>
        <w:jc w:val="center"/>
        <w:rPr>
          <w:rFonts w:ascii="Arial" w:eastAsia="Calibri" w:hAnsi="Arial" w:cs="Arial"/>
          <w:sz w:val="16"/>
          <w:szCs w:val="16"/>
          <w:lang w:eastAsia="es-CO"/>
        </w:rPr>
      </w:pPr>
      <w:r w:rsidRPr="0057681C">
        <w:rPr>
          <w:rFonts w:ascii="Arial" w:eastAsia="Calibri" w:hAnsi="Arial" w:cs="Arial"/>
          <w:sz w:val="16"/>
          <w:szCs w:val="16"/>
          <w:lang w:eastAsia="es-CO"/>
        </w:rPr>
        <w:t xml:space="preserve">Fuente: Sistema de Seguimiento a Proyectos de Inversión – SPI a </w:t>
      </w:r>
      <w:r w:rsidR="0057681C" w:rsidRPr="0057681C">
        <w:rPr>
          <w:rFonts w:ascii="Arial" w:eastAsia="Calibri" w:hAnsi="Arial" w:cs="Arial"/>
          <w:sz w:val="16"/>
          <w:szCs w:val="16"/>
          <w:lang w:eastAsia="es-CO"/>
        </w:rPr>
        <w:t>junio</w:t>
      </w:r>
      <w:r w:rsidRPr="0057681C">
        <w:rPr>
          <w:rFonts w:ascii="Arial" w:eastAsia="Calibri" w:hAnsi="Arial" w:cs="Arial"/>
          <w:sz w:val="16"/>
          <w:szCs w:val="16"/>
          <w:lang w:eastAsia="es-CO"/>
        </w:rPr>
        <w:t xml:space="preserve"> de 2018.</w:t>
      </w:r>
    </w:p>
    <w:p w14:paraId="16850ADE" w14:textId="77777777" w:rsidR="0057681C" w:rsidRDefault="0057681C" w:rsidP="00C02282">
      <w:pPr>
        <w:spacing w:after="0" w:line="240" w:lineRule="auto"/>
        <w:jc w:val="center"/>
        <w:rPr>
          <w:rFonts w:ascii="Arial" w:eastAsia="Calibri" w:hAnsi="Arial" w:cs="Arial"/>
          <w:sz w:val="16"/>
          <w:szCs w:val="16"/>
          <w:lang w:eastAsia="es-CO"/>
        </w:rPr>
      </w:pPr>
    </w:p>
    <w:p w14:paraId="08FE92DC" w14:textId="77777777" w:rsidR="0057681C" w:rsidRPr="0057681C" w:rsidRDefault="0057681C" w:rsidP="00C02282">
      <w:pPr>
        <w:spacing w:after="0" w:line="240" w:lineRule="auto"/>
        <w:jc w:val="center"/>
        <w:rPr>
          <w:rFonts w:ascii="Arial" w:eastAsia="Calibri" w:hAnsi="Arial" w:cs="Arial"/>
          <w:sz w:val="16"/>
          <w:szCs w:val="16"/>
          <w:lang w:eastAsia="es-CO"/>
        </w:rPr>
      </w:pPr>
    </w:p>
    <w:p w14:paraId="07A514E3" w14:textId="770EA446" w:rsidR="00C02282" w:rsidRPr="006B2A9D" w:rsidRDefault="00C02282" w:rsidP="00C02282">
      <w:pPr>
        <w:pStyle w:val="Descripcin"/>
        <w:keepNext/>
        <w:jc w:val="center"/>
      </w:pPr>
      <w:bookmarkStart w:id="336" w:name="_Toc525652444"/>
      <w:r w:rsidRPr="006B2A9D">
        <w:t xml:space="preserve">Gráfica </w:t>
      </w:r>
      <w:r w:rsidR="00B6251B">
        <w:fldChar w:fldCharType="begin"/>
      </w:r>
      <w:r w:rsidR="00B6251B">
        <w:instrText xml:space="preserve"> SEQ Gráfica \* ARABIC </w:instrText>
      </w:r>
      <w:r w:rsidR="00B6251B">
        <w:fldChar w:fldCharType="separate"/>
      </w:r>
      <w:r w:rsidR="00B6251B">
        <w:rPr>
          <w:noProof/>
        </w:rPr>
        <w:t>31</w:t>
      </w:r>
      <w:r w:rsidR="00B6251B">
        <w:fldChar w:fldCharType="end"/>
      </w:r>
      <w:r w:rsidR="006B2A9D" w:rsidRPr="006B2A9D">
        <w:t xml:space="preserve">Informe de SPI del SGC a junio </w:t>
      </w:r>
      <w:r w:rsidRPr="006B2A9D">
        <w:t>de 2018</w:t>
      </w:r>
      <w:bookmarkEnd w:id="336"/>
    </w:p>
    <w:p w14:paraId="631EFCD7" w14:textId="12715A0B" w:rsidR="00C02282" w:rsidRPr="006B2A9D" w:rsidRDefault="006B2A9D" w:rsidP="00C02282">
      <w:pPr>
        <w:spacing w:line="240" w:lineRule="auto"/>
        <w:jc w:val="center"/>
        <w:rPr>
          <w:noProof/>
          <w:lang w:eastAsia="es-CO"/>
        </w:rPr>
      </w:pPr>
      <w:r w:rsidRPr="006B2A9D">
        <w:rPr>
          <w:noProof/>
          <w:lang w:eastAsia="es-CO"/>
        </w:rPr>
        <w:drawing>
          <wp:inline distT="0" distB="0" distL="0" distR="0" wp14:anchorId="219808B4" wp14:editId="62127FA6">
            <wp:extent cx="4657375" cy="2838450"/>
            <wp:effectExtent l="0" t="0" r="0" b="0"/>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58993" cy="2839436"/>
                    </a:xfrm>
                    <a:prstGeom prst="rect">
                      <a:avLst/>
                    </a:prstGeom>
                  </pic:spPr>
                </pic:pic>
              </a:graphicData>
            </a:graphic>
          </wp:inline>
        </w:drawing>
      </w:r>
    </w:p>
    <w:p w14:paraId="36D69CAC" w14:textId="2221A029" w:rsidR="00C02282" w:rsidRPr="006B2A9D" w:rsidRDefault="00C02282" w:rsidP="00C02282">
      <w:pPr>
        <w:spacing w:after="0" w:line="240" w:lineRule="auto"/>
        <w:jc w:val="center"/>
        <w:rPr>
          <w:rFonts w:ascii="Arial" w:eastAsia="Calibri" w:hAnsi="Arial" w:cs="Arial"/>
          <w:sz w:val="16"/>
          <w:szCs w:val="16"/>
          <w:lang w:eastAsia="es-CO"/>
        </w:rPr>
      </w:pPr>
      <w:r w:rsidRPr="006B2A9D">
        <w:rPr>
          <w:rFonts w:ascii="Arial" w:eastAsia="Calibri" w:hAnsi="Arial" w:cs="Arial"/>
          <w:sz w:val="16"/>
          <w:szCs w:val="16"/>
          <w:lang w:eastAsia="es-CO"/>
        </w:rPr>
        <w:t xml:space="preserve">Fuente: Sistema de Seguimiento a Proyectos de Inversión – SPI a </w:t>
      </w:r>
      <w:r w:rsidR="0057681C">
        <w:rPr>
          <w:rFonts w:ascii="Arial" w:eastAsia="Calibri" w:hAnsi="Arial" w:cs="Arial"/>
          <w:sz w:val="16"/>
          <w:szCs w:val="16"/>
          <w:lang w:eastAsia="es-CO"/>
        </w:rPr>
        <w:t xml:space="preserve">junio </w:t>
      </w:r>
      <w:r w:rsidRPr="006B2A9D">
        <w:rPr>
          <w:rFonts w:ascii="Arial" w:eastAsia="Calibri" w:hAnsi="Arial" w:cs="Arial"/>
          <w:sz w:val="16"/>
          <w:szCs w:val="16"/>
          <w:lang w:eastAsia="es-CO"/>
        </w:rPr>
        <w:t>de 2018.</w:t>
      </w:r>
    </w:p>
    <w:p w14:paraId="624540C8" w14:textId="77777777" w:rsidR="00C02282" w:rsidRPr="006A67B4" w:rsidRDefault="00C02282" w:rsidP="00C02282">
      <w:pPr>
        <w:spacing w:line="240" w:lineRule="auto"/>
        <w:jc w:val="center"/>
        <w:rPr>
          <w:noProof/>
          <w:highlight w:val="yellow"/>
          <w:lang w:eastAsia="es-CO"/>
        </w:rPr>
      </w:pPr>
    </w:p>
    <w:p w14:paraId="15D331BE" w14:textId="4FA12D80" w:rsidR="00C02282" w:rsidRPr="00CB679C" w:rsidRDefault="00C02282" w:rsidP="00C02282">
      <w:pPr>
        <w:pStyle w:val="Descripcin"/>
        <w:keepNext/>
        <w:jc w:val="center"/>
      </w:pPr>
      <w:bookmarkStart w:id="337" w:name="_Toc525652587"/>
      <w:r w:rsidRPr="00CB679C">
        <w:lastRenderedPageBreak/>
        <w:t xml:space="preserve">Tabla </w:t>
      </w:r>
      <w:r w:rsidRPr="00CB679C">
        <w:fldChar w:fldCharType="begin"/>
      </w:r>
      <w:r w:rsidRPr="00CB679C">
        <w:instrText xml:space="preserve"> SEQ Tabla \* ARABIC </w:instrText>
      </w:r>
      <w:r w:rsidRPr="00CB679C">
        <w:fldChar w:fldCharType="separate"/>
      </w:r>
      <w:r w:rsidR="008B4625">
        <w:rPr>
          <w:noProof/>
        </w:rPr>
        <w:t>142</w:t>
      </w:r>
      <w:r w:rsidRPr="00CB679C">
        <w:fldChar w:fldCharType="end"/>
      </w:r>
      <w:r w:rsidRPr="00CB679C">
        <w:t xml:space="preserve"> Proyectos Informe de SPI del SGC a </w:t>
      </w:r>
      <w:r w:rsidR="00CB679C" w:rsidRPr="00CB679C">
        <w:t xml:space="preserve">junio </w:t>
      </w:r>
      <w:r w:rsidRPr="00CB679C">
        <w:t>de 2018</w:t>
      </w:r>
      <w:bookmarkEnd w:id="337"/>
    </w:p>
    <w:tbl>
      <w:tblPr>
        <w:tblW w:w="11420" w:type="dxa"/>
        <w:tblInd w:w="-1013" w:type="dxa"/>
        <w:tblCellMar>
          <w:left w:w="70" w:type="dxa"/>
          <w:right w:w="70" w:type="dxa"/>
        </w:tblCellMar>
        <w:tblLook w:val="04A0" w:firstRow="1" w:lastRow="0" w:firstColumn="1" w:lastColumn="0" w:noHBand="0" w:noVBand="1"/>
      </w:tblPr>
      <w:tblGrid>
        <w:gridCol w:w="1999"/>
        <w:gridCol w:w="1625"/>
        <w:gridCol w:w="4563"/>
        <w:gridCol w:w="807"/>
        <w:gridCol w:w="1041"/>
        <w:gridCol w:w="1385"/>
      </w:tblGrid>
      <w:tr w:rsidR="00CB679C" w:rsidRPr="00CB679C" w14:paraId="27D9E479" w14:textId="77777777" w:rsidTr="00CB679C">
        <w:trPr>
          <w:trHeight w:val="255"/>
        </w:trPr>
        <w:tc>
          <w:tcPr>
            <w:tcW w:w="1999"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261C8FE0"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ENTIDAD</w:t>
            </w:r>
          </w:p>
        </w:tc>
        <w:tc>
          <w:tcPr>
            <w:tcW w:w="1625" w:type="dxa"/>
            <w:tcBorders>
              <w:top w:val="single" w:sz="4" w:space="0" w:color="auto"/>
              <w:left w:val="nil"/>
              <w:bottom w:val="single" w:sz="4" w:space="0" w:color="auto"/>
              <w:right w:val="single" w:sz="4" w:space="0" w:color="auto"/>
            </w:tcBorders>
            <w:shd w:val="clear" w:color="000000" w:fill="B0C4DE"/>
            <w:vAlign w:val="bottom"/>
            <w:hideMark/>
          </w:tcPr>
          <w:p w14:paraId="30C83F58"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PROYECTO</w:t>
            </w:r>
          </w:p>
        </w:tc>
        <w:tc>
          <w:tcPr>
            <w:tcW w:w="4563" w:type="dxa"/>
            <w:tcBorders>
              <w:top w:val="single" w:sz="4" w:space="0" w:color="auto"/>
              <w:left w:val="nil"/>
              <w:bottom w:val="single" w:sz="4" w:space="0" w:color="auto"/>
              <w:right w:val="single" w:sz="4" w:space="0" w:color="auto"/>
            </w:tcBorders>
            <w:shd w:val="clear" w:color="000000" w:fill="B0C4DE"/>
            <w:vAlign w:val="bottom"/>
            <w:hideMark/>
          </w:tcPr>
          <w:p w14:paraId="0D32EAF0"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NOMBRE_PROYECTO</w:t>
            </w:r>
          </w:p>
        </w:tc>
        <w:tc>
          <w:tcPr>
            <w:tcW w:w="807" w:type="dxa"/>
            <w:tcBorders>
              <w:top w:val="single" w:sz="4" w:space="0" w:color="auto"/>
              <w:left w:val="nil"/>
              <w:bottom w:val="single" w:sz="4" w:space="0" w:color="auto"/>
              <w:right w:val="single" w:sz="4" w:space="0" w:color="auto"/>
            </w:tcBorders>
            <w:shd w:val="clear" w:color="000000" w:fill="B0C4DE"/>
            <w:vAlign w:val="bottom"/>
            <w:hideMark/>
          </w:tcPr>
          <w:p w14:paraId="756BB61A"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FISICO</w:t>
            </w:r>
          </w:p>
        </w:tc>
        <w:tc>
          <w:tcPr>
            <w:tcW w:w="1041" w:type="dxa"/>
            <w:tcBorders>
              <w:top w:val="single" w:sz="4" w:space="0" w:color="auto"/>
              <w:left w:val="nil"/>
              <w:bottom w:val="single" w:sz="4" w:space="0" w:color="auto"/>
              <w:right w:val="single" w:sz="4" w:space="0" w:color="auto"/>
            </w:tcBorders>
            <w:shd w:val="clear" w:color="000000" w:fill="B0C4DE"/>
            <w:vAlign w:val="bottom"/>
            <w:hideMark/>
          </w:tcPr>
          <w:p w14:paraId="4035F723"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GESTION</w:t>
            </w:r>
          </w:p>
        </w:tc>
        <w:tc>
          <w:tcPr>
            <w:tcW w:w="1385" w:type="dxa"/>
            <w:tcBorders>
              <w:top w:val="single" w:sz="4" w:space="0" w:color="auto"/>
              <w:left w:val="nil"/>
              <w:bottom w:val="single" w:sz="4" w:space="0" w:color="auto"/>
              <w:right w:val="single" w:sz="4" w:space="0" w:color="auto"/>
            </w:tcBorders>
            <w:shd w:val="clear" w:color="000000" w:fill="B0C4DE"/>
            <w:vAlign w:val="bottom"/>
            <w:hideMark/>
          </w:tcPr>
          <w:p w14:paraId="7156BE92" w14:textId="77777777" w:rsidR="00CB679C" w:rsidRPr="00CB679C" w:rsidRDefault="00CB679C" w:rsidP="00CB679C">
            <w:pPr>
              <w:spacing w:after="0" w:line="240" w:lineRule="auto"/>
              <w:jc w:val="center"/>
              <w:rPr>
                <w:rFonts w:ascii="Arial" w:eastAsia="Times New Roman" w:hAnsi="Arial" w:cs="Arial"/>
                <w:b/>
                <w:bCs/>
                <w:color w:val="000000"/>
                <w:sz w:val="20"/>
                <w:szCs w:val="20"/>
                <w:lang w:val="es-ES" w:eastAsia="es-ES"/>
              </w:rPr>
            </w:pPr>
            <w:r w:rsidRPr="00CB679C">
              <w:rPr>
                <w:rFonts w:ascii="Arial" w:eastAsia="Times New Roman" w:hAnsi="Arial" w:cs="Arial"/>
                <w:b/>
                <w:bCs/>
                <w:color w:val="000000"/>
                <w:sz w:val="20"/>
                <w:szCs w:val="20"/>
                <w:lang w:val="es-ES" w:eastAsia="es-ES"/>
              </w:rPr>
              <w:t>FINANCIERO</w:t>
            </w:r>
          </w:p>
        </w:tc>
      </w:tr>
      <w:tr w:rsidR="00CB679C" w:rsidRPr="00CB679C" w14:paraId="14537863" w14:textId="77777777" w:rsidTr="00CB679C">
        <w:trPr>
          <w:trHeight w:val="102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6D1EAC21"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4CBE5457"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'2015011000183</w:t>
            </w:r>
          </w:p>
        </w:tc>
        <w:tc>
          <w:tcPr>
            <w:tcW w:w="4563" w:type="dxa"/>
            <w:tcBorders>
              <w:top w:val="nil"/>
              <w:left w:val="nil"/>
              <w:bottom w:val="single" w:sz="4" w:space="0" w:color="auto"/>
              <w:right w:val="single" w:sz="4" w:space="0" w:color="auto"/>
            </w:tcBorders>
            <w:shd w:val="clear" w:color="auto" w:fill="auto"/>
            <w:vAlign w:val="bottom"/>
            <w:hideMark/>
          </w:tcPr>
          <w:p w14:paraId="3CB66C3E"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MEJORAMIENTO , DESARROLLO Y PROMOCIÓN DE LAS CAPACIDADES CIENTÍFICAS Y TECNOLÓGICAS DE LAS APLICACIONES NUCLEARES Y RADIACTIVAS</w:t>
            </w:r>
          </w:p>
        </w:tc>
        <w:tc>
          <w:tcPr>
            <w:tcW w:w="807" w:type="dxa"/>
            <w:tcBorders>
              <w:top w:val="nil"/>
              <w:left w:val="nil"/>
              <w:bottom w:val="single" w:sz="4" w:space="0" w:color="auto"/>
              <w:right w:val="single" w:sz="4" w:space="0" w:color="auto"/>
            </w:tcBorders>
            <w:shd w:val="clear" w:color="auto" w:fill="auto"/>
            <w:vAlign w:val="bottom"/>
            <w:hideMark/>
          </w:tcPr>
          <w:p w14:paraId="3D6349CF"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8</w:t>
            </w:r>
          </w:p>
        </w:tc>
        <w:tc>
          <w:tcPr>
            <w:tcW w:w="1041" w:type="dxa"/>
            <w:tcBorders>
              <w:top w:val="nil"/>
              <w:left w:val="nil"/>
              <w:bottom w:val="single" w:sz="4" w:space="0" w:color="auto"/>
              <w:right w:val="single" w:sz="4" w:space="0" w:color="auto"/>
            </w:tcBorders>
            <w:shd w:val="clear" w:color="auto" w:fill="auto"/>
            <w:vAlign w:val="bottom"/>
            <w:hideMark/>
          </w:tcPr>
          <w:p w14:paraId="25136863"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36</w:t>
            </w:r>
          </w:p>
        </w:tc>
        <w:tc>
          <w:tcPr>
            <w:tcW w:w="1385" w:type="dxa"/>
            <w:tcBorders>
              <w:top w:val="nil"/>
              <w:left w:val="nil"/>
              <w:bottom w:val="single" w:sz="4" w:space="0" w:color="auto"/>
              <w:right w:val="single" w:sz="4" w:space="0" w:color="auto"/>
            </w:tcBorders>
            <w:shd w:val="clear" w:color="auto" w:fill="auto"/>
            <w:vAlign w:val="bottom"/>
            <w:hideMark/>
          </w:tcPr>
          <w:p w14:paraId="74985DCD"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15,08</w:t>
            </w:r>
          </w:p>
        </w:tc>
      </w:tr>
      <w:tr w:rsidR="00CB679C" w:rsidRPr="00CB679C" w14:paraId="74CB3149" w14:textId="77777777" w:rsidTr="00CB679C">
        <w:trPr>
          <w:trHeight w:val="765"/>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613E2BA1"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291CAC23"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'2015011000188</w:t>
            </w:r>
          </w:p>
        </w:tc>
        <w:tc>
          <w:tcPr>
            <w:tcW w:w="4563" w:type="dxa"/>
            <w:tcBorders>
              <w:top w:val="nil"/>
              <w:left w:val="nil"/>
              <w:bottom w:val="single" w:sz="4" w:space="0" w:color="auto"/>
              <w:right w:val="single" w:sz="4" w:space="0" w:color="auto"/>
            </w:tcBorders>
            <w:shd w:val="clear" w:color="auto" w:fill="auto"/>
            <w:vAlign w:val="bottom"/>
            <w:hideMark/>
          </w:tcPr>
          <w:p w14:paraId="4C047CB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MEJORAMIENTO EN LA GESTIÓN DE TECNOLOGÍAS DE INFORMACIÓN Y COMUNICACIONES DEL SGC</w:t>
            </w:r>
          </w:p>
        </w:tc>
        <w:tc>
          <w:tcPr>
            <w:tcW w:w="807" w:type="dxa"/>
            <w:tcBorders>
              <w:top w:val="nil"/>
              <w:left w:val="nil"/>
              <w:bottom w:val="single" w:sz="4" w:space="0" w:color="auto"/>
              <w:right w:val="single" w:sz="4" w:space="0" w:color="auto"/>
            </w:tcBorders>
            <w:shd w:val="clear" w:color="auto" w:fill="auto"/>
            <w:vAlign w:val="bottom"/>
            <w:hideMark/>
          </w:tcPr>
          <w:p w14:paraId="6331C662"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07947D24"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85" w:type="dxa"/>
            <w:tcBorders>
              <w:top w:val="nil"/>
              <w:left w:val="nil"/>
              <w:bottom w:val="single" w:sz="4" w:space="0" w:color="auto"/>
              <w:right w:val="single" w:sz="4" w:space="0" w:color="auto"/>
            </w:tcBorders>
            <w:shd w:val="clear" w:color="auto" w:fill="auto"/>
            <w:vAlign w:val="bottom"/>
            <w:hideMark/>
          </w:tcPr>
          <w:p w14:paraId="669171E4"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0D6372FC"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322EA838"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42F838FF"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'2017011000316</w:t>
            </w:r>
          </w:p>
        </w:tc>
        <w:tc>
          <w:tcPr>
            <w:tcW w:w="4563" w:type="dxa"/>
            <w:tcBorders>
              <w:top w:val="nil"/>
              <w:left w:val="nil"/>
              <w:bottom w:val="single" w:sz="4" w:space="0" w:color="auto"/>
              <w:right w:val="single" w:sz="4" w:space="0" w:color="auto"/>
            </w:tcBorders>
            <w:shd w:val="clear" w:color="auto" w:fill="auto"/>
            <w:vAlign w:val="bottom"/>
            <w:hideMark/>
          </w:tcPr>
          <w:p w14:paraId="47AF6182"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Ampliación del conocimiento del potencial mineral en el territorio Nacional</w:t>
            </w:r>
          </w:p>
        </w:tc>
        <w:tc>
          <w:tcPr>
            <w:tcW w:w="807" w:type="dxa"/>
            <w:tcBorders>
              <w:top w:val="nil"/>
              <w:left w:val="nil"/>
              <w:bottom w:val="single" w:sz="4" w:space="0" w:color="auto"/>
              <w:right w:val="single" w:sz="4" w:space="0" w:color="auto"/>
            </w:tcBorders>
            <w:shd w:val="clear" w:color="auto" w:fill="auto"/>
            <w:vAlign w:val="bottom"/>
            <w:hideMark/>
          </w:tcPr>
          <w:p w14:paraId="2E3C8E05"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64212ED4"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85" w:type="dxa"/>
            <w:tcBorders>
              <w:top w:val="nil"/>
              <w:left w:val="nil"/>
              <w:bottom w:val="single" w:sz="4" w:space="0" w:color="auto"/>
              <w:right w:val="single" w:sz="4" w:space="0" w:color="auto"/>
            </w:tcBorders>
            <w:shd w:val="clear" w:color="auto" w:fill="auto"/>
            <w:vAlign w:val="bottom"/>
            <w:hideMark/>
          </w:tcPr>
          <w:p w14:paraId="680E7320"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71B0E0AD"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3B3EF7A7"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79AF8DCB"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'2017011000317</w:t>
            </w:r>
          </w:p>
        </w:tc>
        <w:tc>
          <w:tcPr>
            <w:tcW w:w="4563" w:type="dxa"/>
            <w:tcBorders>
              <w:top w:val="nil"/>
              <w:left w:val="nil"/>
              <w:bottom w:val="single" w:sz="4" w:space="0" w:color="auto"/>
              <w:right w:val="single" w:sz="4" w:space="0" w:color="auto"/>
            </w:tcBorders>
            <w:shd w:val="clear" w:color="auto" w:fill="auto"/>
            <w:vAlign w:val="bottom"/>
            <w:hideMark/>
          </w:tcPr>
          <w:p w14:paraId="5EDF9390"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Fortalecimiento de la gestión estratégica integral del Servicio Geológico Colombiano a nivel Nacional</w:t>
            </w:r>
          </w:p>
        </w:tc>
        <w:tc>
          <w:tcPr>
            <w:tcW w:w="807" w:type="dxa"/>
            <w:tcBorders>
              <w:top w:val="nil"/>
              <w:left w:val="nil"/>
              <w:bottom w:val="single" w:sz="4" w:space="0" w:color="auto"/>
              <w:right w:val="single" w:sz="4" w:space="0" w:color="auto"/>
            </w:tcBorders>
            <w:shd w:val="clear" w:color="auto" w:fill="auto"/>
            <w:vAlign w:val="bottom"/>
            <w:hideMark/>
          </w:tcPr>
          <w:p w14:paraId="422CEE07"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50B45FE7"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85" w:type="dxa"/>
            <w:tcBorders>
              <w:top w:val="nil"/>
              <w:left w:val="nil"/>
              <w:bottom w:val="single" w:sz="4" w:space="0" w:color="auto"/>
              <w:right w:val="single" w:sz="4" w:space="0" w:color="auto"/>
            </w:tcBorders>
            <w:shd w:val="clear" w:color="auto" w:fill="auto"/>
            <w:vAlign w:val="bottom"/>
            <w:hideMark/>
          </w:tcPr>
          <w:p w14:paraId="32D00732"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9,25</w:t>
            </w:r>
          </w:p>
        </w:tc>
      </w:tr>
      <w:tr w:rsidR="00CB679C" w:rsidRPr="00CB679C" w14:paraId="0CC6D7AC"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29A8530C"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3986B320"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'2017011000323</w:t>
            </w:r>
          </w:p>
        </w:tc>
        <w:tc>
          <w:tcPr>
            <w:tcW w:w="4563" w:type="dxa"/>
            <w:tcBorders>
              <w:top w:val="nil"/>
              <w:left w:val="nil"/>
              <w:bottom w:val="single" w:sz="4" w:space="0" w:color="auto"/>
              <w:right w:val="single" w:sz="4" w:space="0" w:color="auto"/>
            </w:tcBorders>
            <w:shd w:val="clear" w:color="auto" w:fill="auto"/>
            <w:vAlign w:val="bottom"/>
            <w:hideMark/>
          </w:tcPr>
          <w:p w14:paraId="7F929C33"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Investigación monitoreo y evaluación de amenazas geológicas del territorio Nacional</w:t>
            </w:r>
          </w:p>
        </w:tc>
        <w:tc>
          <w:tcPr>
            <w:tcW w:w="807" w:type="dxa"/>
            <w:tcBorders>
              <w:top w:val="nil"/>
              <w:left w:val="nil"/>
              <w:bottom w:val="single" w:sz="4" w:space="0" w:color="auto"/>
              <w:right w:val="single" w:sz="4" w:space="0" w:color="auto"/>
            </w:tcBorders>
            <w:shd w:val="clear" w:color="auto" w:fill="auto"/>
            <w:vAlign w:val="bottom"/>
            <w:hideMark/>
          </w:tcPr>
          <w:p w14:paraId="367F5EF8"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4F6B0F1C"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85" w:type="dxa"/>
            <w:tcBorders>
              <w:top w:val="nil"/>
              <w:left w:val="nil"/>
              <w:bottom w:val="single" w:sz="4" w:space="0" w:color="auto"/>
              <w:right w:val="single" w:sz="4" w:space="0" w:color="auto"/>
            </w:tcBorders>
            <w:shd w:val="clear" w:color="auto" w:fill="auto"/>
            <w:vAlign w:val="bottom"/>
            <w:hideMark/>
          </w:tcPr>
          <w:p w14:paraId="592F75C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8,51</w:t>
            </w:r>
          </w:p>
        </w:tc>
      </w:tr>
      <w:tr w:rsidR="00CB679C" w:rsidRPr="00CB679C" w14:paraId="687CC42D"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434C9CAE"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6D2385B7"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'2017011000324</w:t>
            </w:r>
          </w:p>
        </w:tc>
        <w:tc>
          <w:tcPr>
            <w:tcW w:w="4563" w:type="dxa"/>
            <w:tcBorders>
              <w:top w:val="nil"/>
              <w:left w:val="nil"/>
              <w:bottom w:val="single" w:sz="4" w:space="0" w:color="auto"/>
              <w:right w:val="single" w:sz="4" w:space="0" w:color="auto"/>
            </w:tcBorders>
            <w:shd w:val="clear" w:color="auto" w:fill="auto"/>
            <w:vAlign w:val="bottom"/>
            <w:hideMark/>
          </w:tcPr>
          <w:p w14:paraId="06CDBAC4"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Ampliación del conocimiento geocientífico básico del territorio Nacional</w:t>
            </w:r>
          </w:p>
        </w:tc>
        <w:tc>
          <w:tcPr>
            <w:tcW w:w="807" w:type="dxa"/>
            <w:tcBorders>
              <w:top w:val="nil"/>
              <w:left w:val="nil"/>
              <w:bottom w:val="single" w:sz="4" w:space="0" w:color="auto"/>
              <w:right w:val="single" w:sz="4" w:space="0" w:color="auto"/>
            </w:tcBorders>
            <w:shd w:val="clear" w:color="auto" w:fill="auto"/>
            <w:vAlign w:val="bottom"/>
            <w:hideMark/>
          </w:tcPr>
          <w:p w14:paraId="1D82994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363F8C8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10</w:t>
            </w:r>
          </w:p>
        </w:tc>
        <w:tc>
          <w:tcPr>
            <w:tcW w:w="1385" w:type="dxa"/>
            <w:tcBorders>
              <w:top w:val="nil"/>
              <w:left w:val="nil"/>
              <w:bottom w:val="single" w:sz="4" w:space="0" w:color="auto"/>
              <w:right w:val="single" w:sz="4" w:space="0" w:color="auto"/>
            </w:tcBorders>
            <w:shd w:val="clear" w:color="auto" w:fill="auto"/>
            <w:vAlign w:val="bottom"/>
            <w:hideMark/>
          </w:tcPr>
          <w:p w14:paraId="3EFF701C"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5C5D2745"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157EE2AB"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3FCA7850"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'2017011000325</w:t>
            </w:r>
          </w:p>
        </w:tc>
        <w:tc>
          <w:tcPr>
            <w:tcW w:w="4563" w:type="dxa"/>
            <w:tcBorders>
              <w:top w:val="nil"/>
              <w:left w:val="nil"/>
              <w:bottom w:val="single" w:sz="4" w:space="0" w:color="auto"/>
              <w:right w:val="single" w:sz="4" w:space="0" w:color="auto"/>
            </w:tcBorders>
            <w:shd w:val="clear" w:color="auto" w:fill="auto"/>
            <w:vAlign w:val="bottom"/>
            <w:hideMark/>
          </w:tcPr>
          <w:p w14:paraId="557665C2"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Fortalecimiento de la Investigación y Caracterización de materiales geológicos en Territorio Nacional</w:t>
            </w:r>
          </w:p>
        </w:tc>
        <w:tc>
          <w:tcPr>
            <w:tcW w:w="807" w:type="dxa"/>
            <w:tcBorders>
              <w:top w:val="nil"/>
              <w:left w:val="nil"/>
              <w:bottom w:val="single" w:sz="4" w:space="0" w:color="auto"/>
              <w:right w:val="single" w:sz="4" w:space="0" w:color="auto"/>
            </w:tcBorders>
            <w:shd w:val="clear" w:color="auto" w:fill="auto"/>
            <w:vAlign w:val="bottom"/>
            <w:hideMark/>
          </w:tcPr>
          <w:p w14:paraId="3A2AB55E"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5</w:t>
            </w:r>
          </w:p>
        </w:tc>
        <w:tc>
          <w:tcPr>
            <w:tcW w:w="1041" w:type="dxa"/>
            <w:tcBorders>
              <w:top w:val="nil"/>
              <w:left w:val="nil"/>
              <w:bottom w:val="single" w:sz="4" w:space="0" w:color="auto"/>
              <w:right w:val="single" w:sz="4" w:space="0" w:color="auto"/>
            </w:tcBorders>
            <w:shd w:val="clear" w:color="auto" w:fill="auto"/>
            <w:vAlign w:val="bottom"/>
            <w:hideMark/>
          </w:tcPr>
          <w:p w14:paraId="137CB496"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65</w:t>
            </w:r>
          </w:p>
        </w:tc>
        <w:tc>
          <w:tcPr>
            <w:tcW w:w="1385" w:type="dxa"/>
            <w:tcBorders>
              <w:top w:val="nil"/>
              <w:left w:val="nil"/>
              <w:bottom w:val="single" w:sz="4" w:space="0" w:color="auto"/>
              <w:right w:val="single" w:sz="4" w:space="0" w:color="auto"/>
            </w:tcBorders>
            <w:shd w:val="clear" w:color="auto" w:fill="auto"/>
            <w:vAlign w:val="bottom"/>
            <w:hideMark/>
          </w:tcPr>
          <w:p w14:paraId="3228A560"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0,21</w:t>
            </w:r>
          </w:p>
        </w:tc>
      </w:tr>
      <w:tr w:rsidR="00CB679C" w:rsidRPr="00CB679C" w14:paraId="288D2667"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7CB86245"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489EF9F6"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'2017011000327</w:t>
            </w:r>
          </w:p>
        </w:tc>
        <w:tc>
          <w:tcPr>
            <w:tcW w:w="4563" w:type="dxa"/>
            <w:tcBorders>
              <w:top w:val="nil"/>
              <w:left w:val="nil"/>
              <w:bottom w:val="single" w:sz="4" w:space="0" w:color="auto"/>
              <w:right w:val="single" w:sz="4" w:space="0" w:color="auto"/>
            </w:tcBorders>
            <w:shd w:val="clear" w:color="auto" w:fill="auto"/>
            <w:vAlign w:val="bottom"/>
            <w:hideMark/>
          </w:tcPr>
          <w:p w14:paraId="15E826D0"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Investigación y desarrollo geocientífico de hidrocarburos en el territorio Nacional</w:t>
            </w:r>
          </w:p>
        </w:tc>
        <w:tc>
          <w:tcPr>
            <w:tcW w:w="807" w:type="dxa"/>
            <w:tcBorders>
              <w:top w:val="nil"/>
              <w:left w:val="nil"/>
              <w:bottom w:val="single" w:sz="4" w:space="0" w:color="auto"/>
              <w:right w:val="single" w:sz="4" w:space="0" w:color="auto"/>
            </w:tcBorders>
            <w:shd w:val="clear" w:color="auto" w:fill="auto"/>
            <w:vAlign w:val="bottom"/>
            <w:hideMark/>
          </w:tcPr>
          <w:p w14:paraId="0625C83E"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727F9B5B"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85" w:type="dxa"/>
            <w:tcBorders>
              <w:top w:val="nil"/>
              <w:left w:val="nil"/>
              <w:bottom w:val="single" w:sz="4" w:space="0" w:color="auto"/>
              <w:right w:val="single" w:sz="4" w:space="0" w:color="auto"/>
            </w:tcBorders>
            <w:shd w:val="clear" w:color="auto" w:fill="auto"/>
            <w:vAlign w:val="bottom"/>
            <w:hideMark/>
          </w:tcPr>
          <w:p w14:paraId="2477F20A"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r w:rsidR="00CB679C" w:rsidRPr="00CB679C" w14:paraId="1F16F73F" w14:textId="77777777" w:rsidTr="00CB679C">
        <w:trPr>
          <w:trHeight w:val="510"/>
        </w:trPr>
        <w:tc>
          <w:tcPr>
            <w:tcW w:w="1999" w:type="dxa"/>
            <w:tcBorders>
              <w:top w:val="nil"/>
              <w:left w:val="single" w:sz="4" w:space="0" w:color="auto"/>
              <w:bottom w:val="single" w:sz="4" w:space="0" w:color="auto"/>
              <w:right w:val="single" w:sz="4" w:space="0" w:color="auto"/>
            </w:tcBorders>
            <w:shd w:val="clear" w:color="auto" w:fill="auto"/>
            <w:vAlign w:val="bottom"/>
            <w:hideMark/>
          </w:tcPr>
          <w:p w14:paraId="4A06FCCF"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Servicio Geológico Colombiano</w:t>
            </w:r>
          </w:p>
        </w:tc>
        <w:tc>
          <w:tcPr>
            <w:tcW w:w="1625" w:type="dxa"/>
            <w:tcBorders>
              <w:top w:val="nil"/>
              <w:left w:val="nil"/>
              <w:bottom w:val="single" w:sz="4" w:space="0" w:color="auto"/>
              <w:right w:val="single" w:sz="4" w:space="0" w:color="auto"/>
            </w:tcBorders>
            <w:shd w:val="clear" w:color="auto" w:fill="auto"/>
            <w:vAlign w:val="bottom"/>
            <w:hideMark/>
          </w:tcPr>
          <w:p w14:paraId="091D5E4E"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'2017011000335</w:t>
            </w:r>
          </w:p>
        </w:tc>
        <w:tc>
          <w:tcPr>
            <w:tcW w:w="4563" w:type="dxa"/>
            <w:tcBorders>
              <w:top w:val="nil"/>
              <w:left w:val="nil"/>
              <w:bottom w:val="single" w:sz="4" w:space="0" w:color="auto"/>
              <w:right w:val="single" w:sz="4" w:space="0" w:color="auto"/>
            </w:tcBorders>
            <w:shd w:val="clear" w:color="auto" w:fill="auto"/>
            <w:vAlign w:val="bottom"/>
            <w:hideMark/>
          </w:tcPr>
          <w:p w14:paraId="46B7864A" w14:textId="77777777" w:rsidR="00CB679C" w:rsidRPr="00CB679C" w:rsidRDefault="00CB679C" w:rsidP="00CB679C">
            <w:pPr>
              <w:spacing w:after="0" w:line="240" w:lineRule="auto"/>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Fortalecimiento institucional del servicio geológico colombiano a nivel Nacional</w:t>
            </w:r>
          </w:p>
        </w:tc>
        <w:tc>
          <w:tcPr>
            <w:tcW w:w="807" w:type="dxa"/>
            <w:tcBorders>
              <w:top w:val="nil"/>
              <w:left w:val="nil"/>
              <w:bottom w:val="single" w:sz="4" w:space="0" w:color="auto"/>
              <w:right w:val="single" w:sz="4" w:space="0" w:color="auto"/>
            </w:tcBorders>
            <w:shd w:val="clear" w:color="auto" w:fill="auto"/>
            <w:vAlign w:val="bottom"/>
            <w:hideMark/>
          </w:tcPr>
          <w:p w14:paraId="09A7A851"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041" w:type="dxa"/>
            <w:tcBorders>
              <w:top w:val="nil"/>
              <w:left w:val="nil"/>
              <w:bottom w:val="single" w:sz="4" w:space="0" w:color="auto"/>
              <w:right w:val="single" w:sz="4" w:space="0" w:color="auto"/>
            </w:tcBorders>
            <w:shd w:val="clear" w:color="auto" w:fill="auto"/>
            <w:vAlign w:val="bottom"/>
            <w:hideMark/>
          </w:tcPr>
          <w:p w14:paraId="7FF0E052"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c>
          <w:tcPr>
            <w:tcW w:w="1385" w:type="dxa"/>
            <w:tcBorders>
              <w:top w:val="nil"/>
              <w:left w:val="nil"/>
              <w:bottom w:val="single" w:sz="4" w:space="0" w:color="auto"/>
              <w:right w:val="single" w:sz="4" w:space="0" w:color="auto"/>
            </w:tcBorders>
            <w:shd w:val="clear" w:color="auto" w:fill="auto"/>
            <w:vAlign w:val="bottom"/>
            <w:hideMark/>
          </w:tcPr>
          <w:p w14:paraId="56DAB322" w14:textId="77777777" w:rsidR="00CB679C" w:rsidRPr="00CB679C" w:rsidRDefault="00CB679C" w:rsidP="00CB679C">
            <w:pPr>
              <w:spacing w:after="0" w:line="240" w:lineRule="auto"/>
              <w:jc w:val="right"/>
              <w:rPr>
                <w:rFonts w:ascii="Arial" w:eastAsia="Times New Roman" w:hAnsi="Arial" w:cs="Arial"/>
                <w:color w:val="000000"/>
                <w:sz w:val="20"/>
                <w:szCs w:val="20"/>
                <w:lang w:val="es-ES" w:eastAsia="es-ES"/>
              </w:rPr>
            </w:pPr>
            <w:r w:rsidRPr="00CB679C">
              <w:rPr>
                <w:rFonts w:ascii="Arial" w:eastAsia="Times New Roman" w:hAnsi="Arial" w:cs="Arial"/>
                <w:color w:val="000000"/>
                <w:sz w:val="20"/>
                <w:szCs w:val="20"/>
                <w:lang w:val="es-ES" w:eastAsia="es-ES"/>
              </w:rPr>
              <w:t>0</w:t>
            </w:r>
          </w:p>
        </w:tc>
      </w:tr>
    </w:tbl>
    <w:p w14:paraId="51994E29" w14:textId="77777777" w:rsidR="00CB679C" w:rsidRPr="00CB679C" w:rsidRDefault="00CB679C" w:rsidP="00C02282">
      <w:pPr>
        <w:jc w:val="center"/>
        <w:rPr>
          <w:rFonts w:ascii="Arial" w:eastAsia="Calibri" w:hAnsi="Arial" w:cs="Arial"/>
          <w:sz w:val="16"/>
          <w:szCs w:val="16"/>
        </w:rPr>
      </w:pPr>
    </w:p>
    <w:p w14:paraId="05F13BBA" w14:textId="525E48EC" w:rsidR="00C02282" w:rsidRPr="00D55B09" w:rsidRDefault="00C02282" w:rsidP="00C02282">
      <w:pPr>
        <w:jc w:val="center"/>
        <w:rPr>
          <w:rFonts w:ascii="Arial" w:eastAsia="Calibri" w:hAnsi="Arial" w:cs="Arial"/>
          <w:sz w:val="16"/>
          <w:szCs w:val="16"/>
        </w:rPr>
      </w:pPr>
      <w:r w:rsidRPr="00D55B09">
        <w:rPr>
          <w:rFonts w:ascii="Arial" w:eastAsia="Calibri" w:hAnsi="Arial" w:cs="Arial"/>
          <w:sz w:val="16"/>
          <w:szCs w:val="16"/>
        </w:rPr>
        <w:t xml:space="preserve">Fuente: Sistema de Seguimiento a Proyectos de Inversión – SPI a </w:t>
      </w:r>
      <w:r w:rsidR="00CB679C" w:rsidRPr="00D55B09">
        <w:rPr>
          <w:rFonts w:ascii="Arial" w:eastAsia="Calibri" w:hAnsi="Arial" w:cs="Arial"/>
          <w:sz w:val="16"/>
          <w:szCs w:val="16"/>
        </w:rPr>
        <w:t xml:space="preserve">junio </w:t>
      </w:r>
      <w:r w:rsidRPr="00D55B09">
        <w:rPr>
          <w:rFonts w:ascii="Arial" w:eastAsia="Calibri" w:hAnsi="Arial" w:cs="Arial"/>
          <w:sz w:val="16"/>
          <w:szCs w:val="16"/>
        </w:rPr>
        <w:t>de 2018</w:t>
      </w:r>
    </w:p>
    <w:p w14:paraId="128D04AC" w14:textId="77777777" w:rsidR="00C02282" w:rsidRPr="00D55B09" w:rsidRDefault="00C02282" w:rsidP="008B4625">
      <w:pPr>
        <w:pStyle w:val="Ttulo1"/>
        <w:numPr>
          <w:ilvl w:val="0"/>
          <w:numId w:val="36"/>
        </w:numPr>
        <w:rPr>
          <w:rFonts w:ascii="Arial" w:eastAsia="Arial" w:hAnsi="Arial" w:cs="Arial"/>
          <w:b/>
          <w:color w:val="auto"/>
          <w:sz w:val="22"/>
          <w:szCs w:val="22"/>
          <w:lang w:eastAsia="es-CO"/>
        </w:rPr>
      </w:pPr>
      <w:bookmarkStart w:id="338" w:name="_Toc525652105"/>
      <w:r w:rsidRPr="00D55B09">
        <w:rPr>
          <w:rFonts w:ascii="Arial" w:eastAsia="Arial" w:hAnsi="Arial" w:cs="Arial"/>
          <w:b/>
          <w:color w:val="auto"/>
          <w:sz w:val="22"/>
          <w:szCs w:val="22"/>
          <w:lang w:eastAsia="es-CO"/>
        </w:rPr>
        <w:t>Unidad De Planeación Minero Energética – UPME.</w:t>
      </w:r>
      <w:bookmarkEnd w:id="338"/>
    </w:p>
    <w:p w14:paraId="46F8F381" w14:textId="77777777" w:rsidR="00C02282" w:rsidRPr="00D55B09" w:rsidRDefault="00C02282" w:rsidP="00C02282">
      <w:pPr>
        <w:rPr>
          <w:lang w:eastAsia="es-CO"/>
        </w:rPr>
      </w:pPr>
    </w:p>
    <w:p w14:paraId="57A27E78" w14:textId="39C6DDC5" w:rsidR="00C02282" w:rsidRPr="00D55B09" w:rsidRDefault="00C02282" w:rsidP="00C02282">
      <w:pPr>
        <w:spacing w:line="240" w:lineRule="auto"/>
        <w:jc w:val="both"/>
        <w:rPr>
          <w:rFonts w:ascii="Arial" w:eastAsia="Calibri" w:hAnsi="Arial" w:cs="Arial"/>
          <w:noProof/>
          <w:sz w:val="20"/>
          <w:szCs w:val="20"/>
          <w:lang w:eastAsia="es-CO"/>
        </w:rPr>
      </w:pPr>
      <w:r w:rsidRPr="00D55B09">
        <w:rPr>
          <w:rFonts w:ascii="Arial" w:eastAsia="Calibri" w:hAnsi="Arial" w:cs="Arial"/>
          <w:noProof/>
          <w:sz w:val="20"/>
          <w:szCs w:val="20"/>
          <w:lang w:eastAsia="es-CO"/>
        </w:rPr>
        <w:t>La Unidad de Planeación Minero Energética UPME, presenta seis proyectos con una Apropiación vigente de $19.271.900,0 millones con un porcentaj</w:t>
      </w:r>
      <w:r w:rsidR="00D55B09" w:rsidRPr="00D55B09">
        <w:rPr>
          <w:rFonts w:ascii="Arial" w:eastAsia="Calibri" w:hAnsi="Arial" w:cs="Arial"/>
          <w:noProof/>
          <w:sz w:val="20"/>
          <w:szCs w:val="20"/>
          <w:lang w:eastAsia="es-CO"/>
        </w:rPr>
        <w:t>e de Avance en Ejecución del 9,0</w:t>
      </w:r>
      <w:r w:rsidRPr="00D55B09">
        <w:rPr>
          <w:rFonts w:ascii="Arial" w:eastAsia="Calibri" w:hAnsi="Arial" w:cs="Arial"/>
          <w:noProof/>
          <w:sz w:val="20"/>
          <w:szCs w:val="20"/>
          <w:lang w:eastAsia="es-CO"/>
        </w:rPr>
        <w:t>%, en A</w:t>
      </w:r>
      <w:r w:rsidR="00D55B09" w:rsidRPr="00D55B09">
        <w:rPr>
          <w:rFonts w:ascii="Arial" w:eastAsia="Calibri" w:hAnsi="Arial" w:cs="Arial"/>
          <w:noProof/>
          <w:sz w:val="20"/>
          <w:szCs w:val="20"/>
          <w:lang w:eastAsia="es-CO"/>
        </w:rPr>
        <w:t>vance Físico del Producto de 5,4% y en Gestión del 9,1</w:t>
      </w:r>
      <w:r w:rsidRPr="00D55B09">
        <w:rPr>
          <w:rFonts w:ascii="Arial" w:eastAsia="Calibri" w:hAnsi="Arial" w:cs="Arial"/>
          <w:noProof/>
          <w:sz w:val="20"/>
          <w:szCs w:val="20"/>
          <w:lang w:eastAsia="es-CO"/>
        </w:rPr>
        <w:t>%.</w:t>
      </w:r>
    </w:p>
    <w:p w14:paraId="0FDA9CEF" w14:textId="1714DA97" w:rsidR="00C02282" w:rsidRPr="006A67B4" w:rsidRDefault="00C02282" w:rsidP="00C02282">
      <w:pPr>
        <w:spacing w:line="240" w:lineRule="auto"/>
        <w:jc w:val="both"/>
        <w:rPr>
          <w:rFonts w:ascii="Arial" w:eastAsia="Calibri" w:hAnsi="Arial" w:cs="Arial"/>
          <w:b/>
          <w:noProof/>
          <w:sz w:val="20"/>
          <w:szCs w:val="20"/>
          <w:highlight w:val="yellow"/>
          <w:lang w:eastAsia="es-CO"/>
        </w:rPr>
      </w:pPr>
      <w:r w:rsidRPr="00D55B09">
        <w:rPr>
          <w:rFonts w:ascii="Arial" w:eastAsia="Calibri" w:hAnsi="Arial" w:cs="Arial"/>
          <w:noProof/>
          <w:sz w:val="20"/>
          <w:szCs w:val="20"/>
          <w:lang w:eastAsia="es-CO"/>
        </w:rPr>
        <w:t>Se destacan los proyectos de</w:t>
      </w:r>
      <w:r w:rsidRPr="00D55B09">
        <w:rPr>
          <w:rFonts w:ascii="Arial" w:eastAsia="Times New Roman" w:hAnsi="Arial" w:cs="Arial"/>
          <w:sz w:val="20"/>
          <w:szCs w:val="20"/>
          <w:lang w:eastAsia="es-ES"/>
        </w:rPr>
        <w:t xml:space="preserve"> </w:t>
      </w:r>
      <w:r w:rsidRPr="00D55B09">
        <w:rPr>
          <w:rFonts w:ascii="Arial" w:eastAsia="Times New Roman" w:hAnsi="Arial" w:cs="Arial"/>
          <w:color w:val="000000"/>
          <w:sz w:val="20"/>
          <w:szCs w:val="20"/>
          <w:lang w:eastAsia="es-CO"/>
        </w:rPr>
        <w:t xml:space="preserve">Articulación </w:t>
      </w:r>
      <w:r w:rsidR="00D55B09" w:rsidRPr="00D55B09">
        <w:rPr>
          <w:rFonts w:ascii="Arial" w:eastAsia="Times New Roman" w:hAnsi="Arial" w:cs="Arial"/>
          <w:color w:val="000000"/>
          <w:sz w:val="20"/>
          <w:szCs w:val="20"/>
          <w:lang w:eastAsia="es-CO"/>
        </w:rPr>
        <w:t>de Acciones p</w:t>
      </w:r>
      <w:r w:rsidRPr="00D55B09">
        <w:rPr>
          <w:rFonts w:ascii="Arial" w:eastAsia="Times New Roman" w:hAnsi="Arial" w:cs="Arial"/>
          <w:color w:val="000000"/>
          <w:sz w:val="20"/>
          <w:szCs w:val="20"/>
          <w:lang w:eastAsia="es-CO"/>
        </w:rPr>
        <w:t>a</w:t>
      </w:r>
      <w:r w:rsidR="00D55B09" w:rsidRPr="00D55B09">
        <w:rPr>
          <w:rFonts w:ascii="Arial" w:eastAsia="Times New Roman" w:hAnsi="Arial" w:cs="Arial"/>
          <w:color w:val="000000"/>
          <w:sz w:val="20"/>
          <w:szCs w:val="20"/>
          <w:lang w:eastAsia="es-CO"/>
        </w:rPr>
        <w:t>ra la Expansión del Subsector Eléctrico a</w:t>
      </w:r>
      <w:r w:rsidRPr="00D55B09">
        <w:rPr>
          <w:rFonts w:ascii="Arial" w:eastAsia="Times New Roman" w:hAnsi="Arial" w:cs="Arial"/>
          <w:color w:val="000000"/>
          <w:sz w:val="20"/>
          <w:szCs w:val="20"/>
          <w:lang w:eastAsia="es-CO"/>
        </w:rPr>
        <w:t xml:space="preserve"> Nivel Nacional,</w:t>
      </w:r>
      <w:r w:rsidR="00D55B09" w:rsidRPr="00D55B09">
        <w:rPr>
          <w:rFonts w:ascii="Arial" w:eastAsia="Calibri" w:hAnsi="Arial" w:cs="Arial"/>
          <w:noProof/>
          <w:sz w:val="20"/>
          <w:szCs w:val="20"/>
          <w:lang w:eastAsia="es-CO"/>
        </w:rPr>
        <w:t xml:space="preserve"> con Avance Fisico de 25%, Avance de Gestión 21% y Avance de Ejecución del 20,37</w:t>
      </w:r>
      <w:r w:rsidRPr="00D55B09">
        <w:rPr>
          <w:rFonts w:ascii="Arial" w:eastAsia="Calibri" w:hAnsi="Arial" w:cs="Arial"/>
          <w:noProof/>
          <w:sz w:val="20"/>
          <w:szCs w:val="20"/>
          <w:lang w:eastAsia="es-CO"/>
        </w:rPr>
        <w:t xml:space="preserve">%. El proyecto de </w:t>
      </w:r>
      <w:r w:rsidR="00D55B09" w:rsidRPr="00D55B09">
        <w:rPr>
          <w:rFonts w:ascii="Arial" w:eastAsia="Times New Roman" w:hAnsi="Arial" w:cs="Arial"/>
          <w:color w:val="000000"/>
          <w:sz w:val="20"/>
          <w:szCs w:val="20"/>
          <w:lang w:eastAsia="es-CO"/>
        </w:rPr>
        <w:t>Planeación Integral del Sector Minero Energético a</w:t>
      </w:r>
      <w:r w:rsidRPr="00D55B09">
        <w:rPr>
          <w:rFonts w:ascii="Arial" w:eastAsia="Times New Roman" w:hAnsi="Arial" w:cs="Arial"/>
          <w:color w:val="000000"/>
          <w:sz w:val="20"/>
          <w:szCs w:val="20"/>
          <w:lang w:eastAsia="es-CO"/>
        </w:rPr>
        <w:t xml:space="preserve"> Nivel Nacional, </w:t>
      </w:r>
      <w:r w:rsidRPr="00D55B09">
        <w:rPr>
          <w:rFonts w:ascii="Arial" w:eastAsia="Calibri" w:hAnsi="Arial" w:cs="Arial"/>
          <w:noProof/>
          <w:sz w:val="20"/>
          <w:szCs w:val="20"/>
          <w:lang w:eastAsia="es-CO"/>
        </w:rPr>
        <w:t xml:space="preserve">con Avance Fisico de 2%, Avance de Gestión </w:t>
      </w:r>
      <w:r w:rsidR="00D55B09" w:rsidRPr="00D55B09">
        <w:rPr>
          <w:rFonts w:ascii="Arial" w:eastAsia="Calibri" w:hAnsi="Arial" w:cs="Arial"/>
          <w:noProof/>
          <w:sz w:val="20"/>
          <w:szCs w:val="20"/>
          <w:lang w:eastAsia="es-CO"/>
        </w:rPr>
        <w:t xml:space="preserve">3% y Avance de </w:t>
      </w:r>
      <w:r w:rsidR="00D55B09" w:rsidRPr="00DA60C6">
        <w:rPr>
          <w:rFonts w:ascii="Arial" w:eastAsia="Calibri" w:hAnsi="Arial" w:cs="Arial"/>
          <w:noProof/>
          <w:sz w:val="20"/>
          <w:szCs w:val="20"/>
          <w:lang w:eastAsia="es-CO"/>
        </w:rPr>
        <w:t>Ejecución del 3,59</w:t>
      </w:r>
      <w:r w:rsidRPr="00DA60C6">
        <w:rPr>
          <w:rFonts w:ascii="Arial" w:eastAsia="Calibri" w:hAnsi="Arial" w:cs="Arial"/>
          <w:noProof/>
          <w:sz w:val="20"/>
          <w:szCs w:val="20"/>
          <w:lang w:eastAsia="es-CO"/>
        </w:rPr>
        <w:t xml:space="preserve">%; y el proyecto de de </w:t>
      </w:r>
      <w:r w:rsidRPr="00DA60C6">
        <w:rPr>
          <w:rFonts w:ascii="Arial" w:eastAsia="Times New Roman" w:hAnsi="Arial" w:cs="Arial"/>
          <w:color w:val="000000"/>
          <w:sz w:val="20"/>
          <w:szCs w:val="20"/>
          <w:lang w:eastAsia="es-CO"/>
        </w:rPr>
        <w:t>Gestión Del Conocimiento Aplicado A La Unidad De Planeación Minero Energético</w:t>
      </w:r>
      <w:r w:rsidR="00DA60C6" w:rsidRPr="00DA60C6">
        <w:rPr>
          <w:rFonts w:ascii="Arial" w:eastAsia="Calibri" w:hAnsi="Arial" w:cs="Arial"/>
          <w:noProof/>
          <w:sz w:val="20"/>
          <w:szCs w:val="20"/>
          <w:lang w:eastAsia="es-CO"/>
        </w:rPr>
        <w:t>, con Avance Fisico de 11%, Avance de Gestión 11% y Avance de Ejecución del 11,42</w:t>
      </w:r>
      <w:r w:rsidRPr="00DA60C6">
        <w:rPr>
          <w:rFonts w:ascii="Arial" w:eastAsia="Calibri" w:hAnsi="Arial" w:cs="Arial"/>
          <w:noProof/>
          <w:sz w:val="20"/>
          <w:szCs w:val="20"/>
          <w:lang w:eastAsia="es-CO"/>
        </w:rPr>
        <w:t>%.</w:t>
      </w:r>
    </w:p>
    <w:p w14:paraId="015440D4" w14:textId="11B5F171" w:rsidR="00C02282" w:rsidRPr="0057681C" w:rsidRDefault="0057681C" w:rsidP="00DB0A2A">
      <w:pPr>
        <w:spacing w:after="0" w:line="240" w:lineRule="auto"/>
        <w:rPr>
          <w:rFonts w:ascii="Arial" w:eastAsia="Calibri" w:hAnsi="Arial" w:cs="Arial"/>
          <w:sz w:val="16"/>
          <w:szCs w:val="16"/>
          <w:lang w:eastAsia="es-CO"/>
        </w:rPr>
      </w:pPr>
      <w:r>
        <w:rPr>
          <w:noProof/>
          <w:lang w:eastAsia="es-CO"/>
        </w:rPr>
        <w:lastRenderedPageBreak/>
        <w:drawing>
          <wp:anchor distT="0" distB="0" distL="114300" distR="114300" simplePos="0" relativeHeight="251757056" behindDoc="0" locked="0" layoutInCell="1" allowOverlap="1" wp14:anchorId="4F349E17" wp14:editId="7B783225">
            <wp:simplePos x="0" y="0"/>
            <wp:positionH relativeFrom="column">
              <wp:posOffset>-709930</wp:posOffset>
            </wp:positionH>
            <wp:positionV relativeFrom="paragraph">
              <wp:posOffset>364490</wp:posOffset>
            </wp:positionV>
            <wp:extent cx="7267575" cy="3347720"/>
            <wp:effectExtent l="0" t="0" r="9525" b="5080"/>
            <wp:wrapThrough wrapText="bothSides">
              <wp:wrapPolygon edited="0">
                <wp:start x="0" y="0"/>
                <wp:lineTo x="0" y="21510"/>
                <wp:lineTo x="21572" y="21510"/>
                <wp:lineTo x="21572" y="0"/>
                <wp:lineTo x="0" y="0"/>
              </wp:wrapPolygon>
            </wp:wrapThrough>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7267575" cy="3347720"/>
                    </a:xfrm>
                    <a:prstGeom prst="rect">
                      <a:avLst/>
                    </a:prstGeom>
                  </pic:spPr>
                </pic:pic>
              </a:graphicData>
            </a:graphic>
            <wp14:sizeRelH relativeFrom="page">
              <wp14:pctWidth>0</wp14:pctWidth>
            </wp14:sizeRelH>
            <wp14:sizeRelV relativeFrom="page">
              <wp14:pctHeight>0</wp14:pctHeight>
            </wp14:sizeRelV>
          </wp:anchor>
        </w:drawing>
      </w:r>
      <w:r w:rsidR="00C02282" w:rsidRPr="006A67B4">
        <w:rPr>
          <w:noProof/>
          <w:highlight w:val="yellow"/>
          <w:lang w:eastAsia="es-CO"/>
        </w:rPr>
        <mc:AlternateContent>
          <mc:Choice Requires="wps">
            <w:drawing>
              <wp:anchor distT="0" distB="0" distL="114300" distR="114300" simplePos="0" relativeHeight="251649536" behindDoc="0" locked="0" layoutInCell="1" allowOverlap="1" wp14:anchorId="02269A60" wp14:editId="1DFD044F">
                <wp:simplePos x="0" y="0"/>
                <wp:positionH relativeFrom="column">
                  <wp:posOffset>-581025</wp:posOffset>
                </wp:positionH>
                <wp:positionV relativeFrom="paragraph">
                  <wp:posOffset>160020</wp:posOffset>
                </wp:positionV>
                <wp:extent cx="6815455" cy="457200"/>
                <wp:effectExtent l="0" t="0" r="0" b="0"/>
                <wp:wrapThrough wrapText="bothSides">
                  <wp:wrapPolygon edited="0">
                    <wp:start x="0" y="0"/>
                    <wp:lineTo x="0" y="20700"/>
                    <wp:lineTo x="21554" y="20700"/>
                    <wp:lineTo x="21554" y="0"/>
                    <wp:lineTo x="0" y="0"/>
                  </wp:wrapPolygon>
                </wp:wrapThrough>
                <wp:docPr id="49" name="49 Cuadro de texto"/>
                <wp:cNvGraphicFramePr/>
                <a:graphic xmlns:a="http://schemas.openxmlformats.org/drawingml/2006/main">
                  <a:graphicData uri="http://schemas.microsoft.com/office/word/2010/wordprocessingShape">
                    <wps:wsp>
                      <wps:cNvSpPr txBox="1"/>
                      <wps:spPr>
                        <a:xfrm>
                          <a:off x="0" y="0"/>
                          <a:ext cx="6815455" cy="457200"/>
                        </a:xfrm>
                        <a:prstGeom prst="rect">
                          <a:avLst/>
                        </a:prstGeom>
                        <a:solidFill>
                          <a:prstClr val="white"/>
                        </a:solidFill>
                        <a:ln>
                          <a:noFill/>
                        </a:ln>
                        <a:effectLst/>
                      </wps:spPr>
                      <wps:txbx>
                        <w:txbxContent>
                          <w:p w14:paraId="1AE0BDAA" w14:textId="3EFABEA2" w:rsidR="008B5E15" w:rsidRPr="00095B63" w:rsidRDefault="008B5E15" w:rsidP="00C02282">
                            <w:pPr>
                              <w:pStyle w:val="Descripcin"/>
                              <w:jc w:val="center"/>
                              <w:rPr>
                                <w:rFonts w:eastAsiaTheme="minorHAnsi"/>
                                <w:noProof/>
                              </w:rPr>
                            </w:pPr>
                            <w:bookmarkStart w:id="339" w:name="_Toc525652588"/>
                            <w:r>
                              <w:t xml:space="preserve">Tabla </w:t>
                            </w:r>
                            <w:r>
                              <w:fldChar w:fldCharType="begin"/>
                            </w:r>
                            <w:r>
                              <w:instrText xml:space="preserve"> SEQ Tabla \* ARABIC </w:instrText>
                            </w:r>
                            <w:r>
                              <w:fldChar w:fldCharType="separate"/>
                            </w:r>
                            <w:r>
                              <w:rPr>
                                <w:noProof/>
                              </w:rPr>
                              <w:t>143</w:t>
                            </w:r>
                            <w:r>
                              <w:fldChar w:fldCharType="end"/>
                            </w:r>
                            <w:r w:rsidRPr="007620EB">
                              <w:t xml:space="preserve">Informe de SPI de la UPME a </w:t>
                            </w:r>
                            <w:r>
                              <w:t>junio d</w:t>
                            </w:r>
                            <w:r w:rsidRPr="007620EB">
                              <w:t>e 2018</w:t>
                            </w:r>
                            <w:bookmarkEnd w:id="3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269A60" id="49 Cuadro de texto" o:spid="_x0000_s1032" type="#_x0000_t202" style="position:absolute;margin-left:-45.75pt;margin-top:12.6pt;width:536.65pt;height:3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" stroked="f">
                <v:textbox inset="0,0,0,0">
                  <w:txbxContent>
                    <w:p w14:paraId="1AE0BDAA" w14:textId="3EFABEA2" w:rsidR="008B5E15" w:rsidRPr="00095B63" w:rsidRDefault="008B5E15" w:rsidP="00C02282">
                      <w:pPr>
                        <w:pStyle w:val="Descripcin"/>
                        <w:jc w:val="center"/>
                        <w:rPr>
                          <w:rFonts w:eastAsiaTheme="minorHAnsi"/>
                          <w:noProof/>
                        </w:rPr>
                      </w:pPr>
                      <w:bookmarkStart w:id="340" w:name="_Toc525652588"/>
                      <w:r>
                        <w:t xml:space="preserve">Tabla </w:t>
                      </w:r>
                      <w:r>
                        <w:fldChar w:fldCharType="begin"/>
                      </w:r>
                      <w:r>
                        <w:instrText xml:space="preserve"> SEQ Tabla \* ARABIC </w:instrText>
                      </w:r>
                      <w:r>
                        <w:fldChar w:fldCharType="separate"/>
                      </w:r>
                      <w:r>
                        <w:rPr>
                          <w:noProof/>
                        </w:rPr>
                        <w:t>143</w:t>
                      </w:r>
                      <w:r>
                        <w:fldChar w:fldCharType="end"/>
                      </w:r>
                      <w:r w:rsidRPr="007620EB">
                        <w:t xml:space="preserve">Informe de SPI de la UPME a </w:t>
                      </w:r>
                      <w:r>
                        <w:t>junio d</w:t>
                      </w:r>
                      <w:r w:rsidRPr="007620EB">
                        <w:t>e 2018</w:t>
                      </w:r>
                      <w:bookmarkEnd w:id="340"/>
                    </w:p>
                  </w:txbxContent>
                </v:textbox>
                <w10:wrap type="through"/>
              </v:shape>
            </w:pict>
          </mc:Fallback>
        </mc:AlternateContent>
      </w:r>
    </w:p>
    <w:p w14:paraId="1847B0B4" w14:textId="5F5179A7" w:rsidR="00C02282" w:rsidRPr="0057681C" w:rsidRDefault="00C02282" w:rsidP="00C02282">
      <w:pPr>
        <w:spacing w:after="0" w:line="240" w:lineRule="auto"/>
        <w:jc w:val="center"/>
        <w:rPr>
          <w:rFonts w:ascii="Arial" w:eastAsia="Calibri" w:hAnsi="Arial" w:cs="Arial"/>
          <w:sz w:val="16"/>
          <w:szCs w:val="16"/>
          <w:lang w:eastAsia="es-CO"/>
        </w:rPr>
      </w:pPr>
      <w:r w:rsidRPr="0057681C">
        <w:rPr>
          <w:rFonts w:ascii="Arial" w:eastAsia="Calibri" w:hAnsi="Arial" w:cs="Arial"/>
          <w:sz w:val="16"/>
          <w:szCs w:val="16"/>
          <w:lang w:eastAsia="es-CO"/>
        </w:rPr>
        <w:t xml:space="preserve">Fuente: Sistema de Seguimiento a Proyectos de Inversión – SPI a </w:t>
      </w:r>
      <w:r w:rsidR="0057681C" w:rsidRPr="0057681C">
        <w:rPr>
          <w:rFonts w:ascii="Arial" w:eastAsia="Calibri" w:hAnsi="Arial" w:cs="Arial"/>
          <w:sz w:val="16"/>
          <w:szCs w:val="16"/>
          <w:lang w:eastAsia="es-CO"/>
        </w:rPr>
        <w:t xml:space="preserve">junio </w:t>
      </w:r>
      <w:r w:rsidRPr="0057681C">
        <w:rPr>
          <w:rFonts w:ascii="Arial" w:eastAsia="Calibri" w:hAnsi="Arial" w:cs="Arial"/>
          <w:sz w:val="16"/>
          <w:szCs w:val="16"/>
          <w:lang w:eastAsia="es-CO"/>
        </w:rPr>
        <w:t>de 2018.</w:t>
      </w:r>
    </w:p>
    <w:p w14:paraId="115298E6" w14:textId="7F5A80D4" w:rsidR="00C02282" w:rsidRPr="006B2A9D" w:rsidRDefault="00C02282" w:rsidP="00C02282">
      <w:pPr>
        <w:spacing w:line="240" w:lineRule="auto"/>
        <w:jc w:val="center"/>
        <w:rPr>
          <w:noProof/>
          <w:lang w:eastAsia="es-CO"/>
        </w:rPr>
      </w:pPr>
    </w:p>
    <w:p w14:paraId="28C074AE" w14:textId="22C0AF8A" w:rsidR="00C02282" w:rsidRPr="006B2A9D" w:rsidRDefault="00C02282" w:rsidP="00C02282">
      <w:pPr>
        <w:pStyle w:val="Descripcin"/>
        <w:keepNext/>
        <w:jc w:val="center"/>
      </w:pPr>
      <w:bookmarkStart w:id="341" w:name="_Toc525652445"/>
      <w:r w:rsidRPr="006B2A9D">
        <w:t xml:space="preserve">Gráfica </w:t>
      </w:r>
      <w:r w:rsidR="00B6251B">
        <w:fldChar w:fldCharType="begin"/>
      </w:r>
      <w:r w:rsidR="00B6251B">
        <w:instrText xml:space="preserve"> SEQ Gráfica \* ARABIC </w:instrText>
      </w:r>
      <w:r w:rsidR="00B6251B">
        <w:fldChar w:fldCharType="separate"/>
      </w:r>
      <w:r w:rsidR="00B6251B">
        <w:rPr>
          <w:noProof/>
        </w:rPr>
        <w:t>32</w:t>
      </w:r>
      <w:r w:rsidR="00B6251B">
        <w:fldChar w:fldCharType="end"/>
      </w:r>
      <w:r w:rsidRPr="006B2A9D">
        <w:t xml:space="preserve"> Informe de SPI de la UPME a </w:t>
      </w:r>
      <w:r w:rsidR="006B2A9D" w:rsidRPr="006B2A9D">
        <w:t xml:space="preserve">junio </w:t>
      </w:r>
      <w:r w:rsidRPr="006B2A9D">
        <w:t>de 2018</w:t>
      </w:r>
      <w:bookmarkEnd w:id="341"/>
    </w:p>
    <w:p w14:paraId="265B5AFF" w14:textId="77777777" w:rsidR="00DB0A2A" w:rsidRDefault="006B2A9D" w:rsidP="00DB0A2A">
      <w:pPr>
        <w:spacing w:line="240" w:lineRule="auto"/>
        <w:jc w:val="center"/>
        <w:rPr>
          <w:rFonts w:ascii="Arial" w:eastAsia="Calibri" w:hAnsi="Arial" w:cs="Arial"/>
          <w:sz w:val="16"/>
          <w:szCs w:val="16"/>
          <w:lang w:eastAsia="es-CO"/>
        </w:rPr>
      </w:pPr>
      <w:r w:rsidRPr="006B2A9D">
        <w:rPr>
          <w:noProof/>
          <w:lang w:eastAsia="es-CO"/>
        </w:rPr>
        <w:drawing>
          <wp:inline distT="0" distB="0" distL="0" distR="0" wp14:anchorId="08301A55" wp14:editId="384E13D3">
            <wp:extent cx="4539265" cy="2666955"/>
            <wp:effectExtent l="0" t="0" r="0" b="635"/>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43344" cy="2669352"/>
                    </a:xfrm>
                    <a:prstGeom prst="rect">
                      <a:avLst/>
                    </a:prstGeom>
                  </pic:spPr>
                </pic:pic>
              </a:graphicData>
            </a:graphic>
          </wp:inline>
        </w:drawing>
      </w:r>
    </w:p>
    <w:p w14:paraId="5ABD9F68" w14:textId="19BEBE35" w:rsidR="00C02282" w:rsidRPr="006B2A9D" w:rsidRDefault="00C02282" w:rsidP="00DB0A2A">
      <w:pPr>
        <w:spacing w:line="240" w:lineRule="auto"/>
        <w:jc w:val="center"/>
        <w:rPr>
          <w:rFonts w:ascii="Arial" w:eastAsia="Calibri" w:hAnsi="Arial" w:cs="Arial"/>
          <w:sz w:val="16"/>
          <w:szCs w:val="16"/>
          <w:lang w:eastAsia="es-CO"/>
        </w:rPr>
      </w:pPr>
      <w:r w:rsidRPr="006B2A9D">
        <w:rPr>
          <w:rFonts w:ascii="Arial" w:eastAsia="Calibri" w:hAnsi="Arial" w:cs="Arial"/>
          <w:sz w:val="16"/>
          <w:szCs w:val="16"/>
          <w:lang w:eastAsia="es-CO"/>
        </w:rPr>
        <w:t xml:space="preserve">Fuente: Sistema de Seguimiento a Proyectos de Inversión – SPI a </w:t>
      </w:r>
      <w:r w:rsidR="006B2A9D" w:rsidRPr="006B2A9D">
        <w:rPr>
          <w:rFonts w:ascii="Arial" w:eastAsia="Calibri" w:hAnsi="Arial" w:cs="Arial"/>
          <w:sz w:val="16"/>
          <w:szCs w:val="16"/>
          <w:lang w:eastAsia="es-CO"/>
        </w:rPr>
        <w:t xml:space="preserve">junio </w:t>
      </w:r>
      <w:r w:rsidRPr="006B2A9D">
        <w:rPr>
          <w:rFonts w:ascii="Arial" w:eastAsia="Calibri" w:hAnsi="Arial" w:cs="Arial"/>
          <w:sz w:val="16"/>
          <w:szCs w:val="16"/>
          <w:lang w:eastAsia="es-CO"/>
        </w:rPr>
        <w:t>de 2018.</w:t>
      </w:r>
    </w:p>
    <w:p w14:paraId="37993279" w14:textId="77777777" w:rsidR="00C02282" w:rsidRPr="007A1C0E" w:rsidRDefault="00C02282" w:rsidP="00C02282">
      <w:pPr>
        <w:spacing w:line="240" w:lineRule="auto"/>
        <w:jc w:val="center"/>
        <w:rPr>
          <w:rFonts w:ascii="Arial" w:eastAsia="Calibri" w:hAnsi="Arial" w:cs="Arial"/>
          <w:b/>
          <w:noProof/>
          <w:sz w:val="20"/>
          <w:szCs w:val="20"/>
          <w:lang w:eastAsia="es-CO"/>
        </w:rPr>
      </w:pPr>
    </w:p>
    <w:p w14:paraId="0B320FB2" w14:textId="28722F70" w:rsidR="00C02282" w:rsidRPr="007A1C0E" w:rsidRDefault="00C02282" w:rsidP="00C02282">
      <w:pPr>
        <w:pStyle w:val="Descripcin"/>
        <w:keepNext/>
        <w:jc w:val="center"/>
      </w:pPr>
      <w:bookmarkStart w:id="342" w:name="_Toc525652589"/>
      <w:r w:rsidRPr="007A1C0E">
        <w:t xml:space="preserve">Tabla </w:t>
      </w:r>
      <w:r w:rsidRPr="007A1C0E">
        <w:fldChar w:fldCharType="begin"/>
      </w:r>
      <w:r w:rsidRPr="007A1C0E">
        <w:instrText xml:space="preserve"> SEQ Tabla \* ARABIC </w:instrText>
      </w:r>
      <w:r w:rsidRPr="007A1C0E">
        <w:fldChar w:fldCharType="separate"/>
      </w:r>
      <w:r w:rsidR="008B4625">
        <w:rPr>
          <w:noProof/>
        </w:rPr>
        <w:t>144</w:t>
      </w:r>
      <w:r w:rsidRPr="007A1C0E">
        <w:fldChar w:fldCharType="end"/>
      </w:r>
      <w:r w:rsidRPr="007A1C0E">
        <w:t xml:space="preserve"> Proyectos Informe de SPI de la UPME a </w:t>
      </w:r>
      <w:r w:rsidR="007A1C0E" w:rsidRPr="007A1C0E">
        <w:t xml:space="preserve">junio </w:t>
      </w:r>
      <w:r w:rsidRPr="007A1C0E">
        <w:t xml:space="preserve"> de 2018</w:t>
      </w:r>
      <w:bookmarkEnd w:id="342"/>
    </w:p>
    <w:tbl>
      <w:tblPr>
        <w:tblW w:w="10580" w:type="dxa"/>
        <w:tblInd w:w="75" w:type="dxa"/>
        <w:tblCellMar>
          <w:left w:w="70" w:type="dxa"/>
          <w:right w:w="70" w:type="dxa"/>
        </w:tblCellMar>
        <w:tblLook w:val="04A0" w:firstRow="1" w:lastRow="0" w:firstColumn="1" w:lastColumn="0" w:noHBand="0" w:noVBand="1"/>
      </w:tblPr>
      <w:tblGrid>
        <w:gridCol w:w="1215"/>
        <w:gridCol w:w="1625"/>
        <w:gridCol w:w="4507"/>
        <w:gridCol w:w="807"/>
        <w:gridCol w:w="1041"/>
        <w:gridCol w:w="1385"/>
      </w:tblGrid>
      <w:tr w:rsidR="007A1C0E" w:rsidRPr="007A1C0E" w14:paraId="2BB92AC8" w14:textId="77777777" w:rsidTr="007A1C0E">
        <w:trPr>
          <w:trHeight w:val="255"/>
        </w:trPr>
        <w:tc>
          <w:tcPr>
            <w:tcW w:w="1238"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6DEBC9FB"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ENTIDAD</w:t>
            </w:r>
          </w:p>
        </w:tc>
        <w:tc>
          <w:tcPr>
            <w:tcW w:w="1515" w:type="dxa"/>
            <w:tcBorders>
              <w:top w:val="single" w:sz="4" w:space="0" w:color="auto"/>
              <w:left w:val="nil"/>
              <w:bottom w:val="single" w:sz="4" w:space="0" w:color="auto"/>
              <w:right w:val="single" w:sz="4" w:space="0" w:color="auto"/>
            </w:tcBorders>
            <w:shd w:val="clear" w:color="000000" w:fill="B0C4DE"/>
            <w:vAlign w:val="bottom"/>
            <w:hideMark/>
          </w:tcPr>
          <w:p w14:paraId="09B0A46A"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PROYECTO</w:t>
            </w:r>
          </w:p>
        </w:tc>
        <w:tc>
          <w:tcPr>
            <w:tcW w:w="4787" w:type="dxa"/>
            <w:tcBorders>
              <w:top w:val="single" w:sz="4" w:space="0" w:color="auto"/>
              <w:left w:val="nil"/>
              <w:bottom w:val="single" w:sz="4" w:space="0" w:color="auto"/>
              <w:right w:val="single" w:sz="4" w:space="0" w:color="auto"/>
            </w:tcBorders>
            <w:shd w:val="clear" w:color="000000" w:fill="B0C4DE"/>
            <w:vAlign w:val="bottom"/>
            <w:hideMark/>
          </w:tcPr>
          <w:p w14:paraId="58A03539"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NOMBRE_PROYECTO</w:t>
            </w:r>
          </w:p>
        </w:tc>
        <w:tc>
          <w:tcPr>
            <w:tcW w:w="760" w:type="dxa"/>
            <w:tcBorders>
              <w:top w:val="single" w:sz="4" w:space="0" w:color="auto"/>
              <w:left w:val="nil"/>
              <w:bottom w:val="single" w:sz="4" w:space="0" w:color="auto"/>
              <w:right w:val="single" w:sz="4" w:space="0" w:color="auto"/>
            </w:tcBorders>
            <w:shd w:val="clear" w:color="000000" w:fill="B0C4DE"/>
            <w:vAlign w:val="bottom"/>
            <w:hideMark/>
          </w:tcPr>
          <w:p w14:paraId="1526A6D3"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FISICO</w:t>
            </w:r>
          </w:p>
        </w:tc>
        <w:tc>
          <w:tcPr>
            <w:tcW w:w="980" w:type="dxa"/>
            <w:tcBorders>
              <w:top w:val="single" w:sz="4" w:space="0" w:color="auto"/>
              <w:left w:val="nil"/>
              <w:bottom w:val="single" w:sz="4" w:space="0" w:color="auto"/>
              <w:right w:val="single" w:sz="4" w:space="0" w:color="auto"/>
            </w:tcBorders>
            <w:shd w:val="clear" w:color="000000" w:fill="B0C4DE"/>
            <w:vAlign w:val="bottom"/>
            <w:hideMark/>
          </w:tcPr>
          <w:p w14:paraId="06DA9B56"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GESTION</w:t>
            </w:r>
          </w:p>
        </w:tc>
        <w:tc>
          <w:tcPr>
            <w:tcW w:w="1300" w:type="dxa"/>
            <w:tcBorders>
              <w:top w:val="single" w:sz="4" w:space="0" w:color="auto"/>
              <w:left w:val="nil"/>
              <w:bottom w:val="single" w:sz="4" w:space="0" w:color="auto"/>
              <w:right w:val="single" w:sz="4" w:space="0" w:color="auto"/>
            </w:tcBorders>
            <w:shd w:val="clear" w:color="000000" w:fill="B0C4DE"/>
            <w:vAlign w:val="bottom"/>
            <w:hideMark/>
          </w:tcPr>
          <w:p w14:paraId="0B85EBF1"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FINANCIERO</w:t>
            </w:r>
          </w:p>
        </w:tc>
      </w:tr>
      <w:tr w:rsidR="007A1C0E" w:rsidRPr="007A1C0E" w14:paraId="38CAD5BC" w14:textId="77777777" w:rsidTr="007A1C0E">
        <w:trPr>
          <w:trHeight w:val="765"/>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79AB174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Upme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33A87906"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'2016011000175</w:t>
            </w:r>
          </w:p>
        </w:tc>
        <w:tc>
          <w:tcPr>
            <w:tcW w:w="4787" w:type="dxa"/>
            <w:tcBorders>
              <w:top w:val="nil"/>
              <w:left w:val="nil"/>
              <w:bottom w:val="single" w:sz="4" w:space="0" w:color="auto"/>
              <w:right w:val="single" w:sz="4" w:space="0" w:color="auto"/>
            </w:tcBorders>
            <w:shd w:val="clear" w:color="auto" w:fill="auto"/>
            <w:vAlign w:val="bottom"/>
            <w:hideMark/>
          </w:tcPr>
          <w:p w14:paraId="6137B59E"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ARTICULACIÓN DE ACCIONES PARA LA EXPANSIÓN DEL SUBSECTOR ELÉCTRICO A NIVEL NACIONAL</w:t>
            </w:r>
          </w:p>
        </w:tc>
        <w:tc>
          <w:tcPr>
            <w:tcW w:w="760" w:type="dxa"/>
            <w:tcBorders>
              <w:top w:val="nil"/>
              <w:left w:val="nil"/>
              <w:bottom w:val="single" w:sz="4" w:space="0" w:color="auto"/>
              <w:right w:val="single" w:sz="4" w:space="0" w:color="auto"/>
            </w:tcBorders>
            <w:shd w:val="clear" w:color="auto" w:fill="auto"/>
            <w:vAlign w:val="bottom"/>
            <w:hideMark/>
          </w:tcPr>
          <w:p w14:paraId="313F517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25</w:t>
            </w:r>
          </w:p>
        </w:tc>
        <w:tc>
          <w:tcPr>
            <w:tcW w:w="980" w:type="dxa"/>
            <w:tcBorders>
              <w:top w:val="nil"/>
              <w:left w:val="nil"/>
              <w:bottom w:val="single" w:sz="4" w:space="0" w:color="auto"/>
              <w:right w:val="single" w:sz="4" w:space="0" w:color="auto"/>
            </w:tcBorders>
            <w:shd w:val="clear" w:color="auto" w:fill="auto"/>
            <w:vAlign w:val="bottom"/>
            <w:hideMark/>
          </w:tcPr>
          <w:p w14:paraId="6524ADEC"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21</w:t>
            </w:r>
          </w:p>
        </w:tc>
        <w:tc>
          <w:tcPr>
            <w:tcW w:w="1300" w:type="dxa"/>
            <w:tcBorders>
              <w:top w:val="nil"/>
              <w:left w:val="nil"/>
              <w:bottom w:val="single" w:sz="4" w:space="0" w:color="auto"/>
              <w:right w:val="single" w:sz="4" w:space="0" w:color="auto"/>
            </w:tcBorders>
            <w:shd w:val="clear" w:color="auto" w:fill="auto"/>
            <w:vAlign w:val="bottom"/>
            <w:hideMark/>
          </w:tcPr>
          <w:p w14:paraId="4B312E52"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20,37</w:t>
            </w:r>
          </w:p>
        </w:tc>
      </w:tr>
      <w:tr w:rsidR="007A1C0E" w:rsidRPr="007A1C0E" w14:paraId="760D969C" w14:textId="77777777" w:rsidTr="007A1C0E">
        <w:trPr>
          <w:trHeight w:val="51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8764DE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Upme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4D96C6F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'2016011000177</w:t>
            </w:r>
          </w:p>
        </w:tc>
        <w:tc>
          <w:tcPr>
            <w:tcW w:w="4787" w:type="dxa"/>
            <w:tcBorders>
              <w:top w:val="nil"/>
              <w:left w:val="nil"/>
              <w:bottom w:val="single" w:sz="4" w:space="0" w:color="auto"/>
              <w:right w:val="single" w:sz="4" w:space="0" w:color="auto"/>
            </w:tcBorders>
            <w:shd w:val="clear" w:color="auto" w:fill="auto"/>
            <w:vAlign w:val="bottom"/>
            <w:hideMark/>
          </w:tcPr>
          <w:p w14:paraId="2C5BF93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PLANEACIÓN INTEGRAL DEL SECTOR MINERO ENERGÉTICO A NIVEL NACIONAL</w:t>
            </w:r>
          </w:p>
        </w:tc>
        <w:tc>
          <w:tcPr>
            <w:tcW w:w="760" w:type="dxa"/>
            <w:tcBorders>
              <w:top w:val="nil"/>
              <w:left w:val="nil"/>
              <w:bottom w:val="single" w:sz="4" w:space="0" w:color="auto"/>
              <w:right w:val="single" w:sz="4" w:space="0" w:color="auto"/>
            </w:tcBorders>
            <w:shd w:val="clear" w:color="auto" w:fill="auto"/>
            <w:vAlign w:val="bottom"/>
            <w:hideMark/>
          </w:tcPr>
          <w:p w14:paraId="5F7402F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w:t>
            </w:r>
          </w:p>
        </w:tc>
        <w:tc>
          <w:tcPr>
            <w:tcW w:w="980" w:type="dxa"/>
            <w:tcBorders>
              <w:top w:val="nil"/>
              <w:left w:val="nil"/>
              <w:bottom w:val="single" w:sz="4" w:space="0" w:color="auto"/>
              <w:right w:val="single" w:sz="4" w:space="0" w:color="auto"/>
            </w:tcBorders>
            <w:shd w:val="clear" w:color="auto" w:fill="auto"/>
            <w:vAlign w:val="bottom"/>
            <w:hideMark/>
          </w:tcPr>
          <w:p w14:paraId="00A213E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w:t>
            </w:r>
          </w:p>
        </w:tc>
        <w:tc>
          <w:tcPr>
            <w:tcW w:w="1300" w:type="dxa"/>
            <w:tcBorders>
              <w:top w:val="nil"/>
              <w:left w:val="nil"/>
              <w:bottom w:val="single" w:sz="4" w:space="0" w:color="auto"/>
              <w:right w:val="single" w:sz="4" w:space="0" w:color="auto"/>
            </w:tcBorders>
            <w:shd w:val="clear" w:color="auto" w:fill="auto"/>
            <w:vAlign w:val="bottom"/>
            <w:hideMark/>
          </w:tcPr>
          <w:p w14:paraId="64E310E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3,59</w:t>
            </w:r>
          </w:p>
        </w:tc>
      </w:tr>
      <w:tr w:rsidR="007A1C0E" w:rsidRPr="007A1C0E" w14:paraId="143A67A5" w14:textId="77777777" w:rsidTr="007A1C0E">
        <w:trPr>
          <w:trHeight w:val="51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0257D8A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Upme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7F1F73C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'2016011000179</w:t>
            </w:r>
          </w:p>
        </w:tc>
        <w:tc>
          <w:tcPr>
            <w:tcW w:w="4787" w:type="dxa"/>
            <w:tcBorders>
              <w:top w:val="nil"/>
              <w:left w:val="nil"/>
              <w:bottom w:val="single" w:sz="4" w:space="0" w:color="auto"/>
              <w:right w:val="single" w:sz="4" w:space="0" w:color="auto"/>
            </w:tcBorders>
            <w:shd w:val="clear" w:color="auto" w:fill="auto"/>
            <w:vAlign w:val="bottom"/>
            <w:hideMark/>
          </w:tcPr>
          <w:p w14:paraId="74A995D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GESTIÓN DEL CONOCIMIENTO APLICADO A LA UNIDAD DE PLANEACIÓN MINERO ENERGÉTICO</w:t>
            </w:r>
          </w:p>
        </w:tc>
        <w:tc>
          <w:tcPr>
            <w:tcW w:w="760" w:type="dxa"/>
            <w:tcBorders>
              <w:top w:val="nil"/>
              <w:left w:val="nil"/>
              <w:bottom w:val="single" w:sz="4" w:space="0" w:color="auto"/>
              <w:right w:val="single" w:sz="4" w:space="0" w:color="auto"/>
            </w:tcBorders>
            <w:shd w:val="clear" w:color="auto" w:fill="auto"/>
            <w:vAlign w:val="bottom"/>
            <w:hideMark/>
          </w:tcPr>
          <w:p w14:paraId="28E5AC3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w:t>
            </w:r>
          </w:p>
        </w:tc>
        <w:tc>
          <w:tcPr>
            <w:tcW w:w="980" w:type="dxa"/>
            <w:tcBorders>
              <w:top w:val="nil"/>
              <w:left w:val="nil"/>
              <w:bottom w:val="single" w:sz="4" w:space="0" w:color="auto"/>
              <w:right w:val="single" w:sz="4" w:space="0" w:color="auto"/>
            </w:tcBorders>
            <w:shd w:val="clear" w:color="auto" w:fill="auto"/>
            <w:vAlign w:val="bottom"/>
            <w:hideMark/>
          </w:tcPr>
          <w:p w14:paraId="0E0CE83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w:t>
            </w:r>
          </w:p>
        </w:tc>
        <w:tc>
          <w:tcPr>
            <w:tcW w:w="1300" w:type="dxa"/>
            <w:tcBorders>
              <w:top w:val="nil"/>
              <w:left w:val="nil"/>
              <w:bottom w:val="single" w:sz="4" w:space="0" w:color="auto"/>
              <w:right w:val="single" w:sz="4" w:space="0" w:color="auto"/>
            </w:tcBorders>
            <w:shd w:val="clear" w:color="auto" w:fill="auto"/>
            <w:vAlign w:val="bottom"/>
            <w:hideMark/>
          </w:tcPr>
          <w:p w14:paraId="20345F58"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8,33</w:t>
            </w:r>
          </w:p>
        </w:tc>
      </w:tr>
      <w:tr w:rsidR="007A1C0E" w:rsidRPr="007A1C0E" w14:paraId="34529187" w14:textId="77777777" w:rsidTr="007A1C0E">
        <w:trPr>
          <w:trHeight w:val="102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1FA6F30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proofErr w:type="spellStart"/>
            <w:r w:rsidRPr="007A1C0E">
              <w:rPr>
                <w:rFonts w:ascii="Arial" w:eastAsia="Times New Roman" w:hAnsi="Arial" w:cs="Arial"/>
                <w:color w:val="000000"/>
                <w:sz w:val="20"/>
                <w:szCs w:val="20"/>
                <w:lang w:val="es-ES" w:eastAsia="es-ES"/>
              </w:rPr>
              <w:t>Upme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62C5C4A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'2016011000185</w:t>
            </w:r>
          </w:p>
        </w:tc>
        <w:tc>
          <w:tcPr>
            <w:tcW w:w="4787" w:type="dxa"/>
            <w:tcBorders>
              <w:top w:val="nil"/>
              <w:left w:val="nil"/>
              <w:bottom w:val="single" w:sz="4" w:space="0" w:color="auto"/>
              <w:right w:val="single" w:sz="4" w:space="0" w:color="auto"/>
            </w:tcBorders>
            <w:shd w:val="clear" w:color="auto" w:fill="auto"/>
            <w:vAlign w:val="bottom"/>
            <w:hideMark/>
          </w:tcPr>
          <w:p w14:paraId="58154F12"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DESARROLLO DE ELEMENTOS PARA INTEGRACIÓN DE LA DIMENSIÓN AMBIENTAL Y SOCIAL EN LA PLANEACION DEL SECTOR MINERO ENERGÉTICO A NIVEL NACIONAL</w:t>
            </w:r>
          </w:p>
        </w:tc>
        <w:tc>
          <w:tcPr>
            <w:tcW w:w="760" w:type="dxa"/>
            <w:tcBorders>
              <w:top w:val="nil"/>
              <w:left w:val="nil"/>
              <w:bottom w:val="single" w:sz="4" w:space="0" w:color="auto"/>
              <w:right w:val="single" w:sz="4" w:space="0" w:color="auto"/>
            </w:tcBorders>
            <w:shd w:val="clear" w:color="auto" w:fill="auto"/>
            <w:vAlign w:val="bottom"/>
            <w:hideMark/>
          </w:tcPr>
          <w:p w14:paraId="448745AC"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1488B30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5B49ABD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r>
      <w:tr w:rsidR="007A1C0E" w:rsidRPr="00DA60C6" w14:paraId="2EB6914A" w14:textId="77777777" w:rsidTr="007A1C0E">
        <w:trPr>
          <w:trHeight w:val="765"/>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5EA5BEE2" w14:textId="77777777" w:rsidR="007A1C0E" w:rsidRPr="00DA60C6" w:rsidRDefault="007A1C0E" w:rsidP="007A1C0E">
            <w:pPr>
              <w:spacing w:after="0" w:line="240" w:lineRule="auto"/>
              <w:rPr>
                <w:rFonts w:ascii="Arial" w:eastAsia="Times New Roman" w:hAnsi="Arial" w:cs="Arial"/>
                <w:color w:val="000000"/>
                <w:sz w:val="20"/>
                <w:szCs w:val="20"/>
                <w:lang w:val="es-ES" w:eastAsia="es-ES"/>
              </w:rPr>
            </w:pPr>
            <w:proofErr w:type="spellStart"/>
            <w:r w:rsidRPr="00DA60C6">
              <w:rPr>
                <w:rFonts w:ascii="Arial" w:eastAsia="Times New Roman" w:hAnsi="Arial" w:cs="Arial"/>
                <w:color w:val="000000"/>
                <w:sz w:val="20"/>
                <w:szCs w:val="20"/>
                <w:lang w:val="es-ES" w:eastAsia="es-ES"/>
              </w:rPr>
              <w:t>Upme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1798D1F3" w14:textId="77777777" w:rsidR="007A1C0E" w:rsidRPr="00DA60C6" w:rsidRDefault="007A1C0E" w:rsidP="007A1C0E">
            <w:pPr>
              <w:spacing w:after="0" w:line="240" w:lineRule="auto"/>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'2016011000190</w:t>
            </w:r>
          </w:p>
        </w:tc>
        <w:tc>
          <w:tcPr>
            <w:tcW w:w="4787" w:type="dxa"/>
            <w:tcBorders>
              <w:top w:val="nil"/>
              <w:left w:val="nil"/>
              <w:bottom w:val="single" w:sz="4" w:space="0" w:color="auto"/>
              <w:right w:val="single" w:sz="4" w:space="0" w:color="auto"/>
            </w:tcBorders>
            <w:shd w:val="clear" w:color="auto" w:fill="auto"/>
            <w:vAlign w:val="bottom"/>
            <w:hideMark/>
          </w:tcPr>
          <w:p w14:paraId="5CBB15B1" w14:textId="77777777" w:rsidR="007A1C0E" w:rsidRPr="00DA60C6" w:rsidRDefault="007A1C0E" w:rsidP="007A1C0E">
            <w:pPr>
              <w:spacing w:after="0" w:line="240" w:lineRule="auto"/>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ASESORIA PARA LA INVESTIGACIÓN Y LA PROYECCIÓN INTEGRADA DE DEMANDA MINERO ENERGÉTICA</w:t>
            </w:r>
          </w:p>
        </w:tc>
        <w:tc>
          <w:tcPr>
            <w:tcW w:w="760" w:type="dxa"/>
            <w:tcBorders>
              <w:top w:val="nil"/>
              <w:left w:val="nil"/>
              <w:bottom w:val="single" w:sz="4" w:space="0" w:color="auto"/>
              <w:right w:val="single" w:sz="4" w:space="0" w:color="auto"/>
            </w:tcBorders>
            <w:shd w:val="clear" w:color="auto" w:fill="auto"/>
            <w:vAlign w:val="bottom"/>
            <w:hideMark/>
          </w:tcPr>
          <w:p w14:paraId="103C0CE8" w14:textId="77777777" w:rsidR="007A1C0E" w:rsidRPr="00DA60C6" w:rsidRDefault="007A1C0E" w:rsidP="007A1C0E">
            <w:pPr>
              <w:spacing w:after="0" w:line="240" w:lineRule="auto"/>
              <w:jc w:val="right"/>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6AC7DF72" w14:textId="77777777" w:rsidR="007A1C0E" w:rsidRPr="00DA60C6" w:rsidRDefault="007A1C0E" w:rsidP="007A1C0E">
            <w:pPr>
              <w:spacing w:after="0" w:line="240" w:lineRule="auto"/>
              <w:jc w:val="right"/>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21</w:t>
            </w:r>
          </w:p>
        </w:tc>
        <w:tc>
          <w:tcPr>
            <w:tcW w:w="1300" w:type="dxa"/>
            <w:tcBorders>
              <w:top w:val="nil"/>
              <w:left w:val="nil"/>
              <w:bottom w:val="single" w:sz="4" w:space="0" w:color="auto"/>
              <w:right w:val="single" w:sz="4" w:space="0" w:color="auto"/>
            </w:tcBorders>
            <w:shd w:val="clear" w:color="auto" w:fill="auto"/>
            <w:vAlign w:val="bottom"/>
            <w:hideMark/>
          </w:tcPr>
          <w:p w14:paraId="10D3F6FA" w14:textId="77777777" w:rsidR="007A1C0E" w:rsidRPr="00DA60C6" w:rsidRDefault="007A1C0E" w:rsidP="007A1C0E">
            <w:pPr>
              <w:spacing w:after="0" w:line="240" w:lineRule="auto"/>
              <w:jc w:val="right"/>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18,94</w:t>
            </w:r>
          </w:p>
        </w:tc>
      </w:tr>
      <w:tr w:rsidR="007A1C0E" w:rsidRPr="00DA60C6" w14:paraId="0451DE6B" w14:textId="77777777" w:rsidTr="007A1C0E">
        <w:trPr>
          <w:trHeight w:val="510"/>
        </w:trPr>
        <w:tc>
          <w:tcPr>
            <w:tcW w:w="1238" w:type="dxa"/>
            <w:tcBorders>
              <w:top w:val="nil"/>
              <w:left w:val="single" w:sz="4" w:space="0" w:color="auto"/>
              <w:bottom w:val="single" w:sz="4" w:space="0" w:color="auto"/>
              <w:right w:val="single" w:sz="4" w:space="0" w:color="auto"/>
            </w:tcBorders>
            <w:shd w:val="clear" w:color="auto" w:fill="auto"/>
            <w:vAlign w:val="bottom"/>
            <w:hideMark/>
          </w:tcPr>
          <w:p w14:paraId="2CF08DC3" w14:textId="77777777" w:rsidR="007A1C0E" w:rsidRPr="00DA60C6" w:rsidRDefault="007A1C0E" w:rsidP="007A1C0E">
            <w:pPr>
              <w:spacing w:after="0" w:line="240" w:lineRule="auto"/>
              <w:rPr>
                <w:rFonts w:ascii="Arial" w:eastAsia="Times New Roman" w:hAnsi="Arial" w:cs="Arial"/>
                <w:color w:val="000000"/>
                <w:sz w:val="20"/>
                <w:szCs w:val="20"/>
                <w:lang w:val="es-ES" w:eastAsia="es-ES"/>
              </w:rPr>
            </w:pPr>
            <w:proofErr w:type="spellStart"/>
            <w:r w:rsidRPr="00DA60C6">
              <w:rPr>
                <w:rFonts w:ascii="Arial" w:eastAsia="Times New Roman" w:hAnsi="Arial" w:cs="Arial"/>
                <w:color w:val="000000"/>
                <w:sz w:val="20"/>
                <w:szCs w:val="20"/>
                <w:lang w:val="es-ES" w:eastAsia="es-ES"/>
              </w:rPr>
              <w:t>Upme</w:t>
            </w:r>
            <w:proofErr w:type="spellEnd"/>
          </w:p>
        </w:tc>
        <w:tc>
          <w:tcPr>
            <w:tcW w:w="1515" w:type="dxa"/>
            <w:tcBorders>
              <w:top w:val="nil"/>
              <w:left w:val="nil"/>
              <w:bottom w:val="single" w:sz="4" w:space="0" w:color="auto"/>
              <w:right w:val="single" w:sz="4" w:space="0" w:color="auto"/>
            </w:tcBorders>
            <w:shd w:val="clear" w:color="auto" w:fill="auto"/>
            <w:vAlign w:val="bottom"/>
            <w:hideMark/>
          </w:tcPr>
          <w:p w14:paraId="237B4F6D" w14:textId="77777777" w:rsidR="007A1C0E" w:rsidRPr="00DA60C6" w:rsidRDefault="007A1C0E" w:rsidP="007A1C0E">
            <w:pPr>
              <w:spacing w:after="0" w:line="240" w:lineRule="auto"/>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'2016011000193</w:t>
            </w:r>
          </w:p>
        </w:tc>
        <w:tc>
          <w:tcPr>
            <w:tcW w:w="4787" w:type="dxa"/>
            <w:tcBorders>
              <w:top w:val="nil"/>
              <w:left w:val="nil"/>
              <w:bottom w:val="single" w:sz="4" w:space="0" w:color="auto"/>
              <w:right w:val="single" w:sz="4" w:space="0" w:color="auto"/>
            </w:tcBorders>
            <w:shd w:val="clear" w:color="auto" w:fill="auto"/>
            <w:vAlign w:val="bottom"/>
            <w:hideMark/>
          </w:tcPr>
          <w:p w14:paraId="4CA2DD6B" w14:textId="77777777" w:rsidR="007A1C0E" w:rsidRPr="00DA60C6" w:rsidRDefault="007A1C0E" w:rsidP="007A1C0E">
            <w:pPr>
              <w:spacing w:after="0" w:line="240" w:lineRule="auto"/>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GESTIÓN INTEGRAL DE INFORMACIÓN MINERO ENERGÉTICA A NIVEL NACIONAL</w:t>
            </w:r>
          </w:p>
        </w:tc>
        <w:tc>
          <w:tcPr>
            <w:tcW w:w="760" w:type="dxa"/>
            <w:tcBorders>
              <w:top w:val="nil"/>
              <w:left w:val="nil"/>
              <w:bottom w:val="single" w:sz="4" w:space="0" w:color="auto"/>
              <w:right w:val="single" w:sz="4" w:space="0" w:color="auto"/>
            </w:tcBorders>
            <w:shd w:val="clear" w:color="auto" w:fill="auto"/>
            <w:vAlign w:val="bottom"/>
            <w:hideMark/>
          </w:tcPr>
          <w:p w14:paraId="1F151D07" w14:textId="77777777" w:rsidR="007A1C0E" w:rsidRPr="00DA60C6" w:rsidRDefault="007A1C0E" w:rsidP="007A1C0E">
            <w:pPr>
              <w:spacing w:after="0" w:line="240" w:lineRule="auto"/>
              <w:jc w:val="right"/>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11</w:t>
            </w:r>
          </w:p>
        </w:tc>
        <w:tc>
          <w:tcPr>
            <w:tcW w:w="980" w:type="dxa"/>
            <w:tcBorders>
              <w:top w:val="nil"/>
              <w:left w:val="nil"/>
              <w:bottom w:val="single" w:sz="4" w:space="0" w:color="auto"/>
              <w:right w:val="single" w:sz="4" w:space="0" w:color="auto"/>
            </w:tcBorders>
            <w:shd w:val="clear" w:color="auto" w:fill="auto"/>
            <w:vAlign w:val="bottom"/>
            <w:hideMark/>
          </w:tcPr>
          <w:p w14:paraId="08075024" w14:textId="77777777" w:rsidR="007A1C0E" w:rsidRPr="00DA60C6" w:rsidRDefault="007A1C0E" w:rsidP="007A1C0E">
            <w:pPr>
              <w:spacing w:after="0" w:line="240" w:lineRule="auto"/>
              <w:jc w:val="right"/>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11</w:t>
            </w:r>
          </w:p>
        </w:tc>
        <w:tc>
          <w:tcPr>
            <w:tcW w:w="1300" w:type="dxa"/>
            <w:tcBorders>
              <w:top w:val="nil"/>
              <w:left w:val="nil"/>
              <w:bottom w:val="single" w:sz="4" w:space="0" w:color="auto"/>
              <w:right w:val="single" w:sz="4" w:space="0" w:color="auto"/>
            </w:tcBorders>
            <w:shd w:val="clear" w:color="auto" w:fill="auto"/>
            <w:vAlign w:val="bottom"/>
            <w:hideMark/>
          </w:tcPr>
          <w:p w14:paraId="1B9A2A34" w14:textId="77777777" w:rsidR="007A1C0E" w:rsidRPr="00DA60C6" w:rsidRDefault="007A1C0E" w:rsidP="007A1C0E">
            <w:pPr>
              <w:spacing w:after="0" w:line="240" w:lineRule="auto"/>
              <w:jc w:val="right"/>
              <w:rPr>
                <w:rFonts w:ascii="Arial" w:eastAsia="Times New Roman" w:hAnsi="Arial" w:cs="Arial"/>
                <w:color w:val="000000"/>
                <w:sz w:val="20"/>
                <w:szCs w:val="20"/>
                <w:lang w:val="es-ES" w:eastAsia="es-ES"/>
              </w:rPr>
            </w:pPr>
            <w:r w:rsidRPr="00DA60C6">
              <w:rPr>
                <w:rFonts w:ascii="Arial" w:eastAsia="Times New Roman" w:hAnsi="Arial" w:cs="Arial"/>
                <w:color w:val="000000"/>
                <w:sz w:val="20"/>
                <w:szCs w:val="20"/>
                <w:lang w:val="es-ES" w:eastAsia="es-ES"/>
              </w:rPr>
              <w:t>11,42</w:t>
            </w:r>
          </w:p>
        </w:tc>
      </w:tr>
    </w:tbl>
    <w:p w14:paraId="5AAFE868" w14:textId="0EC0C204" w:rsidR="00C02282" w:rsidRPr="00DA60C6" w:rsidRDefault="00C02282" w:rsidP="00C02282">
      <w:pPr>
        <w:jc w:val="center"/>
        <w:rPr>
          <w:rFonts w:ascii="Arial" w:eastAsia="Calibri" w:hAnsi="Arial" w:cs="Arial"/>
          <w:sz w:val="18"/>
          <w:szCs w:val="18"/>
        </w:rPr>
      </w:pPr>
      <w:r w:rsidRPr="00DA60C6">
        <w:rPr>
          <w:rFonts w:ascii="Arial" w:eastAsia="Calibri" w:hAnsi="Arial" w:cs="Arial"/>
          <w:sz w:val="18"/>
          <w:szCs w:val="18"/>
        </w:rPr>
        <w:t xml:space="preserve">Fuente: Sistema de Seguimiento a Proyectos de Inversión – SPI a </w:t>
      </w:r>
      <w:r w:rsidR="007A1C0E" w:rsidRPr="00DA60C6">
        <w:rPr>
          <w:rFonts w:ascii="Arial" w:eastAsia="Calibri" w:hAnsi="Arial" w:cs="Arial"/>
          <w:sz w:val="18"/>
          <w:szCs w:val="18"/>
        </w:rPr>
        <w:t xml:space="preserve">junio </w:t>
      </w:r>
      <w:r w:rsidRPr="00DA60C6">
        <w:rPr>
          <w:rFonts w:ascii="Arial" w:eastAsia="Calibri" w:hAnsi="Arial" w:cs="Arial"/>
          <w:sz w:val="18"/>
          <w:szCs w:val="18"/>
        </w:rPr>
        <w:t>de 2018</w:t>
      </w:r>
    </w:p>
    <w:p w14:paraId="2973C363" w14:textId="77777777" w:rsidR="00C02282" w:rsidRPr="00DA60C6" w:rsidRDefault="00C02282" w:rsidP="008B4625">
      <w:pPr>
        <w:pStyle w:val="Ttulo1"/>
        <w:numPr>
          <w:ilvl w:val="0"/>
          <w:numId w:val="36"/>
        </w:numPr>
        <w:rPr>
          <w:rFonts w:ascii="Arial" w:eastAsia="Arial" w:hAnsi="Arial" w:cs="Arial"/>
          <w:b/>
          <w:color w:val="auto"/>
          <w:sz w:val="22"/>
          <w:szCs w:val="22"/>
          <w:lang w:eastAsia="es-CO"/>
        </w:rPr>
      </w:pPr>
      <w:bookmarkStart w:id="343" w:name="_Toc525652106"/>
      <w:r w:rsidRPr="00DA60C6">
        <w:rPr>
          <w:rFonts w:ascii="Arial" w:eastAsia="Arial" w:hAnsi="Arial" w:cs="Arial"/>
          <w:b/>
          <w:color w:val="auto"/>
          <w:sz w:val="22"/>
          <w:szCs w:val="22"/>
          <w:lang w:eastAsia="es-CO"/>
        </w:rPr>
        <w:t>Agencia Nacional De Minería – ANM.</w:t>
      </w:r>
      <w:bookmarkEnd w:id="343"/>
    </w:p>
    <w:p w14:paraId="591B6C21" w14:textId="77777777" w:rsidR="00C02282" w:rsidRPr="00DA60C6" w:rsidRDefault="00C02282" w:rsidP="00C02282">
      <w:pPr>
        <w:rPr>
          <w:lang w:eastAsia="es-CO"/>
        </w:rPr>
      </w:pPr>
    </w:p>
    <w:p w14:paraId="0C100C8D" w14:textId="6B87C965" w:rsidR="00C02282" w:rsidRPr="00DA60C6" w:rsidRDefault="00C02282" w:rsidP="00C02282">
      <w:pPr>
        <w:spacing w:line="240" w:lineRule="auto"/>
        <w:jc w:val="both"/>
        <w:rPr>
          <w:rFonts w:ascii="Arial" w:eastAsia="Calibri" w:hAnsi="Arial" w:cs="Arial"/>
          <w:noProof/>
          <w:sz w:val="20"/>
          <w:szCs w:val="20"/>
          <w:lang w:eastAsia="es-CO"/>
        </w:rPr>
      </w:pPr>
      <w:r w:rsidRPr="00DA60C6">
        <w:rPr>
          <w:rFonts w:ascii="Arial" w:eastAsia="Calibri" w:hAnsi="Arial" w:cs="Arial"/>
          <w:noProof/>
          <w:sz w:val="20"/>
          <w:szCs w:val="20"/>
          <w:lang w:eastAsia="es-CO"/>
        </w:rPr>
        <w:t>La Agencia Nacional de Minería ANM, ejecuta siete proyectos con una Apropiación vigente de $13.513.600,0 millones con un porcentaj</w:t>
      </w:r>
      <w:r w:rsidR="00DA60C6" w:rsidRPr="00DA60C6">
        <w:rPr>
          <w:rFonts w:ascii="Arial" w:eastAsia="Calibri" w:hAnsi="Arial" w:cs="Arial"/>
          <w:noProof/>
          <w:sz w:val="20"/>
          <w:szCs w:val="20"/>
          <w:lang w:eastAsia="es-CO"/>
        </w:rPr>
        <w:t>e de Avance en Ejecución del 24</w:t>
      </w:r>
      <w:r w:rsidRPr="00DA60C6">
        <w:rPr>
          <w:rFonts w:ascii="Arial" w:eastAsia="Calibri" w:hAnsi="Arial" w:cs="Arial"/>
          <w:noProof/>
          <w:sz w:val="20"/>
          <w:szCs w:val="20"/>
          <w:lang w:eastAsia="es-CO"/>
        </w:rPr>
        <w:t>%, en Av</w:t>
      </w:r>
      <w:r w:rsidR="00DA60C6" w:rsidRPr="00DA60C6">
        <w:rPr>
          <w:rFonts w:ascii="Arial" w:eastAsia="Calibri" w:hAnsi="Arial" w:cs="Arial"/>
          <w:noProof/>
          <w:sz w:val="20"/>
          <w:szCs w:val="20"/>
          <w:lang w:eastAsia="es-CO"/>
        </w:rPr>
        <w:t>ance Físico del Producto de 59,5% y en Gestión del 58,3</w:t>
      </w:r>
      <w:r w:rsidRPr="00DA60C6">
        <w:rPr>
          <w:rFonts w:ascii="Arial" w:eastAsia="Calibri" w:hAnsi="Arial" w:cs="Arial"/>
          <w:noProof/>
          <w:sz w:val="20"/>
          <w:szCs w:val="20"/>
          <w:lang w:eastAsia="es-CO"/>
        </w:rPr>
        <w:t xml:space="preserve">%.  </w:t>
      </w:r>
    </w:p>
    <w:p w14:paraId="5EBE398A" w14:textId="00266EF8" w:rsidR="00C02282" w:rsidRDefault="00C02282" w:rsidP="00C02282">
      <w:pPr>
        <w:spacing w:line="240" w:lineRule="auto"/>
        <w:jc w:val="both"/>
        <w:rPr>
          <w:rFonts w:ascii="Arial" w:eastAsia="Calibri" w:hAnsi="Arial" w:cs="Arial"/>
          <w:noProof/>
          <w:sz w:val="20"/>
          <w:szCs w:val="20"/>
          <w:highlight w:val="yellow"/>
          <w:lang w:eastAsia="es-CO"/>
        </w:rPr>
      </w:pPr>
      <w:r w:rsidRPr="00DA60C6">
        <w:rPr>
          <w:rFonts w:ascii="Arial" w:eastAsia="Calibri" w:hAnsi="Arial" w:cs="Arial"/>
          <w:noProof/>
          <w:sz w:val="20"/>
          <w:szCs w:val="20"/>
          <w:lang w:eastAsia="es-CO"/>
        </w:rPr>
        <w:t>Se destacan l</w:t>
      </w:r>
      <w:r w:rsidR="00DA60C6" w:rsidRPr="00DA60C6">
        <w:rPr>
          <w:rFonts w:ascii="Arial" w:eastAsia="Calibri" w:hAnsi="Arial" w:cs="Arial"/>
          <w:noProof/>
          <w:sz w:val="20"/>
          <w:szCs w:val="20"/>
          <w:lang w:eastAsia="es-CO"/>
        </w:rPr>
        <w:t>os proyectos de Administración de la Contratación y Titulación Minera en e</w:t>
      </w:r>
      <w:r w:rsidRPr="00DA60C6">
        <w:rPr>
          <w:rFonts w:ascii="Arial" w:eastAsia="Calibri" w:hAnsi="Arial" w:cs="Arial"/>
          <w:noProof/>
          <w:sz w:val="20"/>
          <w:szCs w:val="20"/>
          <w:lang w:eastAsia="es-CO"/>
        </w:rPr>
        <w:t>l Territorio Nacional ANM, con Avance Fisic</w:t>
      </w:r>
      <w:r w:rsidR="00DA60C6" w:rsidRPr="00DA60C6">
        <w:rPr>
          <w:rFonts w:ascii="Arial" w:eastAsia="Calibri" w:hAnsi="Arial" w:cs="Arial"/>
          <w:noProof/>
          <w:sz w:val="20"/>
          <w:szCs w:val="20"/>
          <w:lang w:eastAsia="es-CO"/>
        </w:rPr>
        <w:t xml:space="preserve">o </w:t>
      </w:r>
      <w:r w:rsidR="00DA60C6">
        <w:rPr>
          <w:rFonts w:ascii="Arial" w:eastAsia="Calibri" w:hAnsi="Arial" w:cs="Arial"/>
          <w:noProof/>
          <w:sz w:val="20"/>
          <w:szCs w:val="20"/>
          <w:lang w:eastAsia="es-CO"/>
        </w:rPr>
        <w:t>de</w:t>
      </w:r>
      <w:r w:rsidR="00DA60C6" w:rsidRPr="00DA60C6">
        <w:rPr>
          <w:rFonts w:ascii="Arial" w:eastAsia="Calibri" w:hAnsi="Arial" w:cs="Arial"/>
          <w:noProof/>
          <w:sz w:val="20"/>
          <w:szCs w:val="20"/>
          <w:lang w:eastAsia="es-CO"/>
        </w:rPr>
        <w:t xml:space="preserve"> 101%, Avance de Gestiónb 38</w:t>
      </w:r>
      <w:r w:rsidRPr="00DA60C6">
        <w:rPr>
          <w:rFonts w:ascii="Arial" w:eastAsia="Calibri" w:hAnsi="Arial" w:cs="Arial"/>
          <w:noProof/>
          <w:sz w:val="20"/>
          <w:szCs w:val="20"/>
          <w:lang w:eastAsia="es-CO"/>
        </w:rPr>
        <w:t>%</w:t>
      </w:r>
      <w:r w:rsidR="00DA60C6" w:rsidRPr="00DA60C6">
        <w:rPr>
          <w:rFonts w:ascii="Arial" w:eastAsia="Calibri" w:hAnsi="Arial" w:cs="Arial"/>
          <w:noProof/>
          <w:sz w:val="20"/>
          <w:szCs w:val="20"/>
          <w:lang w:eastAsia="es-CO"/>
        </w:rPr>
        <w:t xml:space="preserve">  y Avance de Ejecución del 34,65</w:t>
      </w:r>
      <w:r w:rsidRPr="00DA60C6">
        <w:rPr>
          <w:rFonts w:ascii="Arial" w:eastAsia="Calibri" w:hAnsi="Arial" w:cs="Arial"/>
          <w:noProof/>
          <w:sz w:val="20"/>
          <w:szCs w:val="20"/>
          <w:lang w:eastAsia="es-CO"/>
        </w:rPr>
        <w:t xml:space="preserve">%. El proyecto de </w:t>
      </w:r>
      <w:r w:rsidR="00DA60C6" w:rsidRPr="00DA60C6">
        <w:rPr>
          <w:rFonts w:ascii="Arial" w:eastAsia="Times New Roman" w:hAnsi="Arial" w:cs="Arial"/>
          <w:color w:val="000000"/>
          <w:sz w:val="20"/>
          <w:szCs w:val="20"/>
          <w:lang w:eastAsia="es-CO"/>
        </w:rPr>
        <w:t>Mejoramiento y Desarrollo d</w:t>
      </w:r>
      <w:r w:rsidRPr="00DA60C6">
        <w:rPr>
          <w:rFonts w:ascii="Arial" w:eastAsia="Times New Roman" w:hAnsi="Arial" w:cs="Arial"/>
          <w:color w:val="000000"/>
          <w:sz w:val="20"/>
          <w:szCs w:val="20"/>
          <w:lang w:eastAsia="es-CO"/>
        </w:rPr>
        <w:t xml:space="preserve">e </w:t>
      </w:r>
      <w:r w:rsidR="00DA60C6" w:rsidRPr="00DA60C6">
        <w:rPr>
          <w:rFonts w:ascii="Arial" w:eastAsia="Times New Roman" w:hAnsi="Arial" w:cs="Arial"/>
          <w:color w:val="000000"/>
          <w:sz w:val="20"/>
          <w:szCs w:val="20"/>
          <w:lang w:eastAsia="es-CO"/>
        </w:rPr>
        <w:t>l</w:t>
      </w:r>
      <w:r w:rsidRPr="00DA60C6">
        <w:rPr>
          <w:rFonts w:ascii="Arial" w:eastAsia="Times New Roman" w:hAnsi="Arial" w:cs="Arial"/>
          <w:color w:val="000000"/>
          <w:sz w:val="20"/>
          <w:szCs w:val="20"/>
          <w:lang w:eastAsia="es-CO"/>
        </w:rPr>
        <w:t>a Gestión Institucional ANM</w:t>
      </w:r>
      <w:r w:rsidR="00DA60C6" w:rsidRPr="00DA60C6">
        <w:rPr>
          <w:rFonts w:ascii="Arial" w:eastAsia="Calibri" w:hAnsi="Arial" w:cs="Arial"/>
          <w:noProof/>
          <w:sz w:val="20"/>
          <w:szCs w:val="20"/>
          <w:lang w:eastAsia="es-CO"/>
        </w:rPr>
        <w:t xml:space="preserve"> con Avance Fisico de 53%, Avance de Gestión 62,5</w:t>
      </w:r>
      <w:r w:rsidRPr="00DA60C6">
        <w:rPr>
          <w:rFonts w:ascii="Arial" w:eastAsia="Calibri" w:hAnsi="Arial" w:cs="Arial"/>
          <w:noProof/>
          <w:sz w:val="20"/>
          <w:szCs w:val="20"/>
          <w:lang w:eastAsia="es-CO"/>
        </w:rPr>
        <w:t>%</w:t>
      </w:r>
      <w:r w:rsidR="00DA60C6" w:rsidRPr="00DA60C6">
        <w:rPr>
          <w:rFonts w:ascii="Arial" w:eastAsia="Calibri" w:hAnsi="Arial" w:cs="Arial"/>
          <w:noProof/>
          <w:sz w:val="20"/>
          <w:szCs w:val="20"/>
          <w:lang w:eastAsia="es-CO"/>
        </w:rPr>
        <w:t xml:space="preserve"> y Avance de Ejecución del 40,4</w:t>
      </w:r>
      <w:r w:rsidRPr="00DA60C6">
        <w:rPr>
          <w:rFonts w:ascii="Arial" w:eastAsia="Calibri" w:hAnsi="Arial" w:cs="Arial"/>
          <w:noProof/>
          <w:sz w:val="20"/>
          <w:szCs w:val="20"/>
          <w:lang w:eastAsia="es-CO"/>
        </w:rPr>
        <w:t xml:space="preserve">%.  </w:t>
      </w:r>
      <w:r w:rsidRPr="00DA60C6">
        <w:rPr>
          <w:rFonts w:ascii="Arial" w:eastAsia="Times New Roman" w:hAnsi="Arial" w:cs="Arial"/>
          <w:color w:val="000000"/>
          <w:sz w:val="20"/>
          <w:szCs w:val="20"/>
          <w:lang w:eastAsia="es-CO"/>
        </w:rPr>
        <w:t xml:space="preserve">El proyecto de </w:t>
      </w:r>
      <w:r w:rsidR="00DA60C6" w:rsidRPr="00DA60C6">
        <w:rPr>
          <w:rFonts w:ascii="Arial" w:eastAsia="Calibri" w:hAnsi="Arial" w:cs="Arial"/>
          <w:noProof/>
          <w:sz w:val="20"/>
          <w:szCs w:val="20"/>
          <w:lang w:eastAsia="es-CO"/>
        </w:rPr>
        <w:t>Fortalecimiento del Sector Minero a</w:t>
      </w:r>
      <w:r w:rsidRPr="00DA60C6">
        <w:rPr>
          <w:rFonts w:ascii="Arial" w:eastAsia="Calibri" w:hAnsi="Arial" w:cs="Arial"/>
          <w:noProof/>
          <w:sz w:val="20"/>
          <w:szCs w:val="20"/>
          <w:lang w:eastAsia="es-CO"/>
        </w:rPr>
        <w:t xml:space="preserve"> Nivel Nacional </w:t>
      </w:r>
      <w:r w:rsidR="00DA60C6" w:rsidRPr="00DA60C6">
        <w:rPr>
          <w:rFonts w:ascii="Arial" w:eastAsia="Calibri" w:hAnsi="Arial" w:cs="Arial"/>
          <w:noProof/>
          <w:sz w:val="20"/>
          <w:szCs w:val="20"/>
          <w:lang w:eastAsia="es-CO"/>
        </w:rPr>
        <w:t>e</w:t>
      </w:r>
      <w:r w:rsidRPr="00DA60C6">
        <w:rPr>
          <w:rFonts w:ascii="Arial" w:eastAsia="Calibri" w:hAnsi="Arial" w:cs="Arial"/>
          <w:noProof/>
          <w:sz w:val="20"/>
          <w:szCs w:val="20"/>
          <w:lang w:eastAsia="es-CO"/>
        </w:rPr>
        <w:t xml:space="preserve"> Internacional</w:t>
      </w:r>
      <w:r w:rsidRPr="00DA60C6">
        <w:rPr>
          <w:rFonts w:ascii="Arial" w:hAnsi="Arial" w:cs="Arial"/>
          <w:sz w:val="20"/>
          <w:szCs w:val="20"/>
        </w:rPr>
        <w:t xml:space="preserve"> </w:t>
      </w:r>
      <w:r w:rsidR="00DA60C6" w:rsidRPr="00DA60C6">
        <w:rPr>
          <w:rFonts w:ascii="Arial" w:eastAsia="Calibri" w:hAnsi="Arial" w:cs="Arial"/>
          <w:noProof/>
          <w:sz w:val="20"/>
          <w:szCs w:val="20"/>
          <w:lang w:eastAsia="es-CO"/>
        </w:rPr>
        <w:t>con Avance Fisico de 87%, Avance de Gestiónb 100</w:t>
      </w:r>
      <w:r w:rsidRPr="00DA60C6">
        <w:rPr>
          <w:rFonts w:ascii="Arial" w:eastAsia="Calibri" w:hAnsi="Arial" w:cs="Arial"/>
          <w:noProof/>
          <w:sz w:val="20"/>
          <w:szCs w:val="20"/>
          <w:lang w:eastAsia="es-CO"/>
        </w:rPr>
        <w:t>%</w:t>
      </w:r>
      <w:r w:rsidR="00DA60C6" w:rsidRPr="00DA60C6">
        <w:rPr>
          <w:rFonts w:ascii="Arial" w:eastAsia="Calibri" w:hAnsi="Arial" w:cs="Arial"/>
          <w:noProof/>
          <w:sz w:val="20"/>
          <w:szCs w:val="20"/>
          <w:lang w:eastAsia="es-CO"/>
        </w:rPr>
        <w:t xml:space="preserve"> y Avance de Ejecución del 66,88</w:t>
      </w:r>
      <w:r w:rsidRPr="00DA60C6">
        <w:rPr>
          <w:rFonts w:ascii="Arial" w:eastAsia="Calibri" w:hAnsi="Arial" w:cs="Arial"/>
          <w:noProof/>
          <w:sz w:val="20"/>
          <w:szCs w:val="20"/>
          <w:lang w:eastAsia="es-CO"/>
        </w:rPr>
        <w:t xml:space="preserve">%. Y por último </w:t>
      </w:r>
      <w:r w:rsidR="00DA60C6" w:rsidRPr="00DA60C6">
        <w:rPr>
          <w:rFonts w:ascii="Arial" w:eastAsia="Calibri" w:hAnsi="Arial" w:cs="Arial"/>
          <w:noProof/>
          <w:sz w:val="20"/>
          <w:szCs w:val="20"/>
          <w:lang w:eastAsia="es-CO"/>
        </w:rPr>
        <w:t xml:space="preserve">el proyecto </w:t>
      </w:r>
      <w:r w:rsidR="00DA60C6" w:rsidRPr="00DA60C6">
        <w:rPr>
          <w:rFonts w:ascii="Arial" w:eastAsia="Times New Roman" w:hAnsi="Arial" w:cs="Arial"/>
          <w:color w:val="000000"/>
          <w:sz w:val="20"/>
          <w:szCs w:val="20"/>
          <w:lang w:val="es-ES" w:eastAsia="es-ES"/>
        </w:rPr>
        <w:t>Implementación de Acciones que Contribuyan a la Construcción de una Minería Ambiental Responsable y Social Sostenible del Sector Minero Nacional</w:t>
      </w:r>
      <w:r w:rsidR="00DA60C6" w:rsidRPr="00DA60C6">
        <w:rPr>
          <w:rFonts w:ascii="Arial" w:eastAsia="Times New Roman" w:hAnsi="Arial" w:cs="Arial"/>
          <w:color w:val="000000"/>
          <w:sz w:val="20"/>
          <w:szCs w:val="20"/>
          <w:lang w:eastAsia="es-CO"/>
        </w:rPr>
        <w:t xml:space="preserve">, </w:t>
      </w:r>
      <w:r w:rsidR="00DA60C6" w:rsidRPr="00DA60C6">
        <w:rPr>
          <w:rFonts w:ascii="Arial" w:eastAsia="Calibri" w:hAnsi="Arial" w:cs="Arial"/>
          <w:noProof/>
          <w:sz w:val="20"/>
          <w:szCs w:val="20"/>
          <w:lang w:eastAsia="es-CO"/>
        </w:rPr>
        <w:t>con Avance Fisico de 52</w:t>
      </w:r>
      <w:r w:rsidRPr="00DA60C6">
        <w:rPr>
          <w:rFonts w:ascii="Arial" w:eastAsia="Calibri" w:hAnsi="Arial" w:cs="Arial"/>
          <w:noProof/>
          <w:sz w:val="20"/>
          <w:szCs w:val="20"/>
          <w:lang w:eastAsia="es-CO"/>
        </w:rPr>
        <w:t>% , Av</w:t>
      </w:r>
      <w:r w:rsidR="00DA60C6" w:rsidRPr="00DA60C6">
        <w:rPr>
          <w:rFonts w:ascii="Arial" w:eastAsia="Calibri" w:hAnsi="Arial" w:cs="Arial"/>
          <w:noProof/>
          <w:sz w:val="20"/>
          <w:szCs w:val="20"/>
          <w:lang w:eastAsia="es-CO"/>
        </w:rPr>
        <w:t>ance de Gestiónb 54</w:t>
      </w:r>
      <w:r w:rsidRPr="00DA60C6">
        <w:rPr>
          <w:rFonts w:ascii="Arial" w:eastAsia="Calibri" w:hAnsi="Arial" w:cs="Arial"/>
          <w:noProof/>
          <w:sz w:val="20"/>
          <w:szCs w:val="20"/>
          <w:lang w:eastAsia="es-CO"/>
        </w:rPr>
        <w:t>%</w:t>
      </w:r>
      <w:r w:rsidR="00DA60C6" w:rsidRPr="00DA60C6">
        <w:rPr>
          <w:rFonts w:ascii="Arial" w:eastAsia="Calibri" w:hAnsi="Arial" w:cs="Arial"/>
          <w:noProof/>
          <w:sz w:val="20"/>
          <w:szCs w:val="20"/>
          <w:lang w:eastAsia="es-CO"/>
        </w:rPr>
        <w:t xml:space="preserve"> y Avance de Ejecución del 14,15</w:t>
      </w:r>
      <w:r w:rsidRPr="00DA60C6">
        <w:rPr>
          <w:rFonts w:ascii="Arial" w:eastAsia="Calibri" w:hAnsi="Arial" w:cs="Arial"/>
          <w:noProof/>
          <w:sz w:val="20"/>
          <w:szCs w:val="20"/>
          <w:lang w:eastAsia="es-CO"/>
        </w:rPr>
        <w:t xml:space="preserve">%. </w:t>
      </w:r>
    </w:p>
    <w:p w14:paraId="081E9DE5" w14:textId="380904F5" w:rsidR="00DB0A2A" w:rsidRPr="006A67B4" w:rsidRDefault="00B00584" w:rsidP="00C02282">
      <w:pPr>
        <w:spacing w:line="240" w:lineRule="auto"/>
        <w:jc w:val="both"/>
        <w:rPr>
          <w:rFonts w:ascii="Arial" w:eastAsia="Calibri" w:hAnsi="Arial" w:cs="Arial"/>
          <w:noProof/>
          <w:sz w:val="20"/>
          <w:szCs w:val="20"/>
          <w:highlight w:val="yellow"/>
          <w:lang w:eastAsia="es-CO"/>
        </w:rPr>
      </w:pPr>
      <w:r>
        <w:rPr>
          <w:rFonts w:ascii="Arial" w:eastAsia="Calibri" w:hAnsi="Arial" w:cs="Arial"/>
          <w:noProof/>
          <w:sz w:val="20"/>
          <w:szCs w:val="20"/>
          <w:highlight w:val="yellow"/>
          <w:lang w:eastAsia="es-CO"/>
        </w:rPr>
        <w:t xml:space="preserve">     </w:t>
      </w:r>
    </w:p>
    <w:p w14:paraId="42B24570" w14:textId="0EAF0D33" w:rsidR="00C02282" w:rsidRPr="00DB0A2A" w:rsidRDefault="00DB0A2A" w:rsidP="00C02282">
      <w:pPr>
        <w:spacing w:after="0" w:line="240" w:lineRule="auto"/>
        <w:jc w:val="center"/>
        <w:rPr>
          <w:rFonts w:ascii="Arial" w:eastAsia="Calibri" w:hAnsi="Arial" w:cs="Arial"/>
          <w:b/>
          <w:noProof/>
          <w:sz w:val="20"/>
          <w:szCs w:val="20"/>
          <w:lang w:eastAsia="es-CO"/>
        </w:rPr>
      </w:pPr>
      <w:r w:rsidRPr="00DB0A2A">
        <w:rPr>
          <w:noProof/>
          <w:lang w:eastAsia="es-CO"/>
        </w:rPr>
        <w:lastRenderedPageBreak/>
        <w:drawing>
          <wp:anchor distT="0" distB="0" distL="114300" distR="114300" simplePos="0" relativeHeight="251772416" behindDoc="0" locked="0" layoutInCell="1" allowOverlap="1" wp14:anchorId="2EBD730E" wp14:editId="6BCADDE8">
            <wp:simplePos x="0" y="0"/>
            <wp:positionH relativeFrom="column">
              <wp:posOffset>-681355</wp:posOffset>
            </wp:positionH>
            <wp:positionV relativeFrom="paragraph">
              <wp:posOffset>-36195</wp:posOffset>
            </wp:positionV>
            <wp:extent cx="6848475" cy="2940685"/>
            <wp:effectExtent l="0" t="0" r="9525" b="0"/>
            <wp:wrapThrough wrapText="bothSides">
              <wp:wrapPolygon edited="0">
                <wp:start x="0" y="0"/>
                <wp:lineTo x="0" y="21409"/>
                <wp:lineTo x="21570" y="21409"/>
                <wp:lineTo x="21570" y="0"/>
                <wp:lineTo x="0" y="0"/>
              </wp:wrapPolygon>
            </wp:wrapThrough>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848475" cy="2940685"/>
                    </a:xfrm>
                    <a:prstGeom prst="rect">
                      <a:avLst/>
                    </a:prstGeom>
                  </pic:spPr>
                </pic:pic>
              </a:graphicData>
            </a:graphic>
            <wp14:sizeRelH relativeFrom="page">
              <wp14:pctWidth>0</wp14:pctWidth>
            </wp14:sizeRelH>
            <wp14:sizeRelV relativeFrom="page">
              <wp14:pctHeight>0</wp14:pctHeight>
            </wp14:sizeRelV>
          </wp:anchor>
        </w:drawing>
      </w:r>
      <w:r w:rsidRPr="006A67B4">
        <w:rPr>
          <w:noProof/>
          <w:highlight w:val="yellow"/>
          <w:lang w:eastAsia="es-CO"/>
        </w:rPr>
        <mc:AlternateContent>
          <mc:Choice Requires="wps">
            <w:drawing>
              <wp:anchor distT="0" distB="0" distL="114300" distR="114300" simplePos="0" relativeHeight="251664896" behindDoc="0" locked="0" layoutInCell="1" allowOverlap="1" wp14:anchorId="28DFB980" wp14:editId="6C9A21EF">
                <wp:simplePos x="0" y="0"/>
                <wp:positionH relativeFrom="column">
                  <wp:posOffset>-594995</wp:posOffset>
                </wp:positionH>
                <wp:positionV relativeFrom="paragraph">
                  <wp:posOffset>-279400</wp:posOffset>
                </wp:positionV>
                <wp:extent cx="7033895" cy="457200"/>
                <wp:effectExtent l="0" t="0" r="0" b="0"/>
                <wp:wrapThrough wrapText="bothSides">
                  <wp:wrapPolygon edited="0">
                    <wp:start x="0" y="0"/>
                    <wp:lineTo x="0" y="20700"/>
                    <wp:lineTo x="21528" y="20700"/>
                    <wp:lineTo x="21528" y="0"/>
                    <wp:lineTo x="0" y="0"/>
                  </wp:wrapPolygon>
                </wp:wrapThrough>
                <wp:docPr id="53" name="53 Cuadro de texto"/>
                <wp:cNvGraphicFramePr/>
                <a:graphic xmlns:a="http://schemas.openxmlformats.org/drawingml/2006/main">
                  <a:graphicData uri="http://schemas.microsoft.com/office/word/2010/wordprocessingShape">
                    <wps:wsp>
                      <wps:cNvSpPr txBox="1"/>
                      <wps:spPr>
                        <a:xfrm>
                          <a:off x="0" y="0"/>
                          <a:ext cx="7033895" cy="457200"/>
                        </a:xfrm>
                        <a:prstGeom prst="rect">
                          <a:avLst/>
                        </a:prstGeom>
                        <a:solidFill>
                          <a:prstClr val="white"/>
                        </a:solidFill>
                        <a:ln>
                          <a:noFill/>
                        </a:ln>
                        <a:effectLst/>
                      </wps:spPr>
                      <wps:txbx>
                        <w:txbxContent>
                          <w:p w14:paraId="2ADC1644" w14:textId="1726283C" w:rsidR="008B5E15" w:rsidRPr="00C66FD4" w:rsidRDefault="008B5E15" w:rsidP="00C02282">
                            <w:pPr>
                              <w:pStyle w:val="Descripcin"/>
                              <w:jc w:val="center"/>
                              <w:rPr>
                                <w:rFonts w:eastAsiaTheme="minorHAnsi"/>
                                <w:noProof/>
                              </w:rPr>
                            </w:pPr>
                            <w:bookmarkStart w:id="344" w:name="_Toc525652590"/>
                            <w:r>
                              <w:t xml:space="preserve">Tabla </w:t>
                            </w:r>
                            <w:r>
                              <w:fldChar w:fldCharType="begin"/>
                            </w:r>
                            <w:r>
                              <w:instrText xml:space="preserve"> SEQ Tabla \* ARABIC </w:instrText>
                            </w:r>
                            <w:r>
                              <w:fldChar w:fldCharType="separate"/>
                            </w:r>
                            <w:r>
                              <w:rPr>
                                <w:noProof/>
                              </w:rPr>
                              <w:t>145</w:t>
                            </w:r>
                            <w:r>
                              <w:fldChar w:fldCharType="end"/>
                            </w:r>
                            <w:r>
                              <w:t xml:space="preserve"> </w:t>
                            </w:r>
                            <w:r w:rsidRPr="001779C8">
                              <w:t xml:space="preserve">Informe de SPI de la ANM a </w:t>
                            </w:r>
                            <w:r>
                              <w:t xml:space="preserve">junio </w:t>
                            </w:r>
                            <w:r w:rsidRPr="001779C8">
                              <w:t>de 2018</w:t>
                            </w:r>
                            <w:bookmarkEnd w:id="3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DFB980" id="53 Cuadro de texto" o:spid="_x0000_s1033" type="#_x0000_t202" style="position:absolute;left:0;text-align:left;margin-left:-46.85pt;margin-top:-22pt;width:553.8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" stroked="f">
                <v:textbox inset="0,0,0,0">
                  <w:txbxContent>
                    <w:p w14:paraId="2ADC1644" w14:textId="1726283C" w:rsidR="008B5E15" w:rsidRPr="00C66FD4" w:rsidRDefault="008B5E15" w:rsidP="00C02282">
                      <w:pPr>
                        <w:pStyle w:val="Descripcin"/>
                        <w:jc w:val="center"/>
                        <w:rPr>
                          <w:rFonts w:eastAsiaTheme="minorHAnsi"/>
                          <w:noProof/>
                        </w:rPr>
                      </w:pPr>
                      <w:bookmarkStart w:id="345" w:name="_Toc525652590"/>
                      <w:r>
                        <w:t xml:space="preserve">Tabla </w:t>
                      </w:r>
                      <w:r>
                        <w:fldChar w:fldCharType="begin"/>
                      </w:r>
                      <w:r>
                        <w:instrText xml:space="preserve"> SEQ Tabla \* ARABIC </w:instrText>
                      </w:r>
                      <w:r>
                        <w:fldChar w:fldCharType="separate"/>
                      </w:r>
                      <w:r>
                        <w:rPr>
                          <w:noProof/>
                        </w:rPr>
                        <w:t>145</w:t>
                      </w:r>
                      <w:r>
                        <w:fldChar w:fldCharType="end"/>
                      </w:r>
                      <w:r>
                        <w:t xml:space="preserve"> </w:t>
                      </w:r>
                      <w:r w:rsidRPr="001779C8">
                        <w:t xml:space="preserve">Informe de SPI de la ANM a </w:t>
                      </w:r>
                      <w:r>
                        <w:t xml:space="preserve">junio </w:t>
                      </w:r>
                      <w:r w:rsidRPr="001779C8">
                        <w:t>de 2018</w:t>
                      </w:r>
                      <w:bookmarkEnd w:id="345"/>
                    </w:p>
                  </w:txbxContent>
                </v:textbox>
                <w10:wrap type="through"/>
              </v:shape>
            </w:pict>
          </mc:Fallback>
        </mc:AlternateContent>
      </w:r>
      <w:r w:rsidR="00C02282" w:rsidRPr="00DB0A2A">
        <w:rPr>
          <w:rFonts w:ascii="Arial" w:eastAsia="Calibri" w:hAnsi="Arial" w:cs="Arial"/>
          <w:b/>
          <w:noProof/>
          <w:sz w:val="20"/>
          <w:szCs w:val="20"/>
          <w:lang w:eastAsia="es-CO"/>
        </w:rPr>
        <w:t xml:space="preserve"> </w:t>
      </w:r>
    </w:p>
    <w:p w14:paraId="4C1EBF84" w14:textId="75A2F85A" w:rsidR="00C02282" w:rsidRPr="006A67B4" w:rsidRDefault="00C02282" w:rsidP="00C02282">
      <w:pPr>
        <w:spacing w:after="0" w:line="240" w:lineRule="auto"/>
        <w:jc w:val="center"/>
        <w:rPr>
          <w:rFonts w:ascii="Arial" w:eastAsia="Calibri" w:hAnsi="Arial" w:cs="Arial"/>
          <w:sz w:val="16"/>
          <w:szCs w:val="16"/>
          <w:highlight w:val="yellow"/>
          <w:lang w:eastAsia="es-CO"/>
        </w:rPr>
      </w:pPr>
      <w:r w:rsidRPr="00DB0A2A">
        <w:rPr>
          <w:rFonts w:ascii="Arial" w:eastAsia="Calibri" w:hAnsi="Arial" w:cs="Arial"/>
          <w:sz w:val="16"/>
          <w:szCs w:val="16"/>
          <w:lang w:eastAsia="es-CO"/>
        </w:rPr>
        <w:t xml:space="preserve">Fuente: Sistema de Seguimiento a Proyectos de Inversión – SPI a </w:t>
      </w:r>
      <w:r w:rsidR="00DB0A2A" w:rsidRPr="00DB0A2A">
        <w:rPr>
          <w:rFonts w:ascii="Arial" w:eastAsia="Calibri" w:hAnsi="Arial" w:cs="Arial"/>
          <w:sz w:val="16"/>
          <w:szCs w:val="16"/>
          <w:lang w:eastAsia="es-CO"/>
        </w:rPr>
        <w:t xml:space="preserve">junio </w:t>
      </w:r>
      <w:r w:rsidRPr="00DB0A2A">
        <w:rPr>
          <w:rFonts w:ascii="Arial" w:eastAsia="Calibri" w:hAnsi="Arial" w:cs="Arial"/>
          <w:sz w:val="16"/>
          <w:szCs w:val="16"/>
          <w:lang w:eastAsia="es-CO"/>
        </w:rPr>
        <w:t>de 2018.</w:t>
      </w:r>
    </w:p>
    <w:p w14:paraId="45355B60" w14:textId="77777777" w:rsidR="00C02282" w:rsidRPr="006A67B4" w:rsidRDefault="00C02282" w:rsidP="00C02282">
      <w:pPr>
        <w:spacing w:line="240" w:lineRule="auto"/>
        <w:jc w:val="center"/>
        <w:rPr>
          <w:noProof/>
          <w:highlight w:val="yellow"/>
          <w:lang w:eastAsia="es-CO"/>
        </w:rPr>
      </w:pPr>
    </w:p>
    <w:p w14:paraId="2086CBF4" w14:textId="40EA5633" w:rsidR="00C02282" w:rsidRPr="006B2A9D" w:rsidRDefault="00C02282" w:rsidP="00C02282">
      <w:pPr>
        <w:pStyle w:val="Descripcin"/>
        <w:keepNext/>
        <w:jc w:val="center"/>
      </w:pPr>
      <w:bookmarkStart w:id="346" w:name="_Toc525652446"/>
      <w:r w:rsidRPr="006B2A9D">
        <w:t xml:space="preserve">Gráfica </w:t>
      </w:r>
      <w:r w:rsidR="00B6251B">
        <w:fldChar w:fldCharType="begin"/>
      </w:r>
      <w:r w:rsidR="00B6251B">
        <w:instrText xml:space="preserve"> SEQ Gráfica \* ARABIC </w:instrText>
      </w:r>
      <w:r w:rsidR="00B6251B">
        <w:fldChar w:fldCharType="separate"/>
      </w:r>
      <w:r w:rsidR="00B6251B">
        <w:rPr>
          <w:noProof/>
        </w:rPr>
        <w:t>33</w:t>
      </w:r>
      <w:r w:rsidR="00B6251B">
        <w:fldChar w:fldCharType="end"/>
      </w:r>
      <w:r w:rsidRPr="006B2A9D">
        <w:t xml:space="preserve">Informe de SPI de la ANM a </w:t>
      </w:r>
      <w:r w:rsidR="006B2A9D" w:rsidRPr="006B2A9D">
        <w:t>junio d</w:t>
      </w:r>
      <w:r w:rsidRPr="006B2A9D">
        <w:t>e 2018</w:t>
      </w:r>
      <w:bookmarkEnd w:id="346"/>
    </w:p>
    <w:p w14:paraId="6E4B1E03" w14:textId="6DD086C7" w:rsidR="00C02282" w:rsidRPr="006B2A9D" w:rsidRDefault="006B2A9D" w:rsidP="00C02282">
      <w:pPr>
        <w:spacing w:line="240" w:lineRule="auto"/>
        <w:jc w:val="center"/>
        <w:rPr>
          <w:rFonts w:ascii="Arial" w:eastAsia="Calibri" w:hAnsi="Arial" w:cs="Arial"/>
          <w:b/>
          <w:noProof/>
          <w:sz w:val="20"/>
          <w:szCs w:val="20"/>
          <w:lang w:eastAsia="es-CO"/>
        </w:rPr>
      </w:pPr>
      <w:r w:rsidRPr="006B2A9D">
        <w:rPr>
          <w:noProof/>
          <w:lang w:eastAsia="es-CO"/>
        </w:rPr>
        <w:drawing>
          <wp:inline distT="0" distB="0" distL="0" distR="0" wp14:anchorId="73CF7F5E" wp14:editId="358294EF">
            <wp:extent cx="4823057" cy="2838450"/>
            <wp:effectExtent l="0" t="0" r="0" b="0"/>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824335" cy="2839202"/>
                    </a:xfrm>
                    <a:prstGeom prst="rect">
                      <a:avLst/>
                    </a:prstGeom>
                  </pic:spPr>
                </pic:pic>
              </a:graphicData>
            </a:graphic>
          </wp:inline>
        </w:drawing>
      </w:r>
    </w:p>
    <w:p w14:paraId="52CB5924" w14:textId="2C308169" w:rsidR="00C02282" w:rsidRPr="006B2A9D" w:rsidRDefault="00C02282" w:rsidP="00C02282">
      <w:pPr>
        <w:spacing w:after="0" w:line="240" w:lineRule="auto"/>
        <w:jc w:val="center"/>
        <w:rPr>
          <w:rFonts w:ascii="Arial" w:eastAsia="Calibri" w:hAnsi="Arial" w:cs="Arial"/>
          <w:sz w:val="16"/>
          <w:szCs w:val="16"/>
          <w:lang w:eastAsia="es-CO"/>
        </w:rPr>
      </w:pPr>
      <w:r w:rsidRPr="006B2A9D">
        <w:rPr>
          <w:rFonts w:ascii="Arial" w:eastAsia="Calibri" w:hAnsi="Arial" w:cs="Arial"/>
          <w:sz w:val="16"/>
          <w:szCs w:val="16"/>
          <w:lang w:eastAsia="es-CO"/>
        </w:rPr>
        <w:t xml:space="preserve">Fuente: Sistema de Seguimiento a Proyectos de Inversión – SPI a </w:t>
      </w:r>
      <w:r w:rsidR="006B2A9D" w:rsidRPr="006B2A9D">
        <w:rPr>
          <w:rFonts w:ascii="Arial" w:eastAsia="Calibri" w:hAnsi="Arial" w:cs="Arial"/>
          <w:sz w:val="16"/>
          <w:szCs w:val="16"/>
          <w:lang w:eastAsia="es-CO"/>
        </w:rPr>
        <w:t xml:space="preserve">junio </w:t>
      </w:r>
      <w:r w:rsidRPr="006B2A9D">
        <w:rPr>
          <w:rFonts w:ascii="Arial" w:eastAsia="Calibri" w:hAnsi="Arial" w:cs="Arial"/>
          <w:sz w:val="16"/>
          <w:szCs w:val="16"/>
          <w:lang w:eastAsia="es-CO"/>
        </w:rPr>
        <w:t>de 2018.</w:t>
      </w:r>
    </w:p>
    <w:p w14:paraId="5E27A440" w14:textId="77777777" w:rsidR="00C02282" w:rsidRPr="006A67B4" w:rsidRDefault="00C02282" w:rsidP="00C02282">
      <w:pPr>
        <w:spacing w:line="240" w:lineRule="auto"/>
        <w:jc w:val="center"/>
        <w:rPr>
          <w:rFonts w:ascii="Arial" w:eastAsia="Calibri" w:hAnsi="Arial" w:cs="Arial"/>
          <w:b/>
          <w:noProof/>
          <w:sz w:val="20"/>
          <w:szCs w:val="20"/>
          <w:highlight w:val="yellow"/>
          <w:lang w:eastAsia="es-CO"/>
        </w:rPr>
      </w:pPr>
    </w:p>
    <w:p w14:paraId="31D513DA" w14:textId="2DBDDC28" w:rsidR="00C02282" w:rsidRPr="007A1C0E" w:rsidRDefault="00C02282" w:rsidP="00C02282">
      <w:pPr>
        <w:pStyle w:val="Descripcin"/>
        <w:keepNext/>
        <w:jc w:val="center"/>
      </w:pPr>
      <w:bookmarkStart w:id="347" w:name="_Toc525652591"/>
      <w:r w:rsidRPr="007A1C0E">
        <w:lastRenderedPageBreak/>
        <w:t xml:space="preserve">Tabla </w:t>
      </w:r>
      <w:r w:rsidRPr="007A1C0E">
        <w:fldChar w:fldCharType="begin"/>
      </w:r>
      <w:r w:rsidRPr="007A1C0E">
        <w:instrText xml:space="preserve"> SEQ Tabla \* ARABIC </w:instrText>
      </w:r>
      <w:r w:rsidRPr="007A1C0E">
        <w:fldChar w:fldCharType="separate"/>
      </w:r>
      <w:r w:rsidR="008B4625">
        <w:rPr>
          <w:noProof/>
        </w:rPr>
        <w:t>146</w:t>
      </w:r>
      <w:r w:rsidRPr="007A1C0E">
        <w:fldChar w:fldCharType="end"/>
      </w:r>
      <w:r w:rsidRPr="007A1C0E">
        <w:t xml:space="preserve"> Proyectos Informe de SPI de la ANM a </w:t>
      </w:r>
      <w:r w:rsidR="007A1C0E" w:rsidRPr="007A1C0E">
        <w:t xml:space="preserve">junio </w:t>
      </w:r>
      <w:r w:rsidRPr="007A1C0E">
        <w:t>de 2018</w:t>
      </w:r>
      <w:bookmarkEnd w:id="347"/>
    </w:p>
    <w:tbl>
      <w:tblPr>
        <w:tblW w:w="10360" w:type="dxa"/>
        <w:tblInd w:w="75" w:type="dxa"/>
        <w:tblCellMar>
          <w:left w:w="70" w:type="dxa"/>
          <w:right w:w="70" w:type="dxa"/>
        </w:tblCellMar>
        <w:tblLook w:val="04A0" w:firstRow="1" w:lastRow="0" w:firstColumn="1" w:lastColumn="0" w:noHBand="0" w:noVBand="1"/>
      </w:tblPr>
      <w:tblGrid>
        <w:gridCol w:w="1029"/>
        <w:gridCol w:w="1625"/>
        <w:gridCol w:w="4473"/>
        <w:gridCol w:w="807"/>
        <w:gridCol w:w="1041"/>
        <w:gridCol w:w="1385"/>
      </w:tblGrid>
      <w:tr w:rsidR="007A1C0E" w:rsidRPr="007A1C0E" w14:paraId="15099726" w14:textId="77777777" w:rsidTr="007A1C0E">
        <w:trPr>
          <w:trHeight w:val="255"/>
        </w:trPr>
        <w:tc>
          <w:tcPr>
            <w:tcW w:w="1019" w:type="dxa"/>
            <w:tcBorders>
              <w:top w:val="single" w:sz="4" w:space="0" w:color="auto"/>
              <w:left w:val="single" w:sz="4" w:space="0" w:color="auto"/>
              <w:bottom w:val="single" w:sz="4" w:space="0" w:color="auto"/>
              <w:right w:val="single" w:sz="4" w:space="0" w:color="auto"/>
            </w:tcBorders>
            <w:shd w:val="clear" w:color="000000" w:fill="B0C4DE"/>
            <w:vAlign w:val="bottom"/>
            <w:hideMark/>
          </w:tcPr>
          <w:p w14:paraId="0609D6B0"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ENTIDAD</w:t>
            </w:r>
          </w:p>
        </w:tc>
        <w:tc>
          <w:tcPr>
            <w:tcW w:w="1515" w:type="dxa"/>
            <w:tcBorders>
              <w:top w:val="single" w:sz="4" w:space="0" w:color="auto"/>
              <w:left w:val="nil"/>
              <w:bottom w:val="single" w:sz="4" w:space="0" w:color="auto"/>
              <w:right w:val="single" w:sz="4" w:space="0" w:color="auto"/>
            </w:tcBorders>
            <w:shd w:val="clear" w:color="000000" w:fill="B0C4DE"/>
            <w:vAlign w:val="bottom"/>
            <w:hideMark/>
          </w:tcPr>
          <w:p w14:paraId="427DD130"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PROYECTO</w:t>
            </w:r>
          </w:p>
        </w:tc>
        <w:tc>
          <w:tcPr>
            <w:tcW w:w="4786" w:type="dxa"/>
            <w:tcBorders>
              <w:top w:val="single" w:sz="4" w:space="0" w:color="auto"/>
              <w:left w:val="nil"/>
              <w:bottom w:val="single" w:sz="4" w:space="0" w:color="auto"/>
              <w:right w:val="single" w:sz="4" w:space="0" w:color="auto"/>
            </w:tcBorders>
            <w:shd w:val="clear" w:color="000000" w:fill="B0C4DE"/>
            <w:vAlign w:val="bottom"/>
            <w:hideMark/>
          </w:tcPr>
          <w:p w14:paraId="6FCF0191"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NOMBRE_PROYECTO</w:t>
            </w:r>
          </w:p>
        </w:tc>
        <w:tc>
          <w:tcPr>
            <w:tcW w:w="760" w:type="dxa"/>
            <w:tcBorders>
              <w:top w:val="single" w:sz="4" w:space="0" w:color="auto"/>
              <w:left w:val="nil"/>
              <w:bottom w:val="single" w:sz="4" w:space="0" w:color="auto"/>
              <w:right w:val="single" w:sz="4" w:space="0" w:color="auto"/>
            </w:tcBorders>
            <w:shd w:val="clear" w:color="000000" w:fill="B0C4DE"/>
            <w:vAlign w:val="bottom"/>
            <w:hideMark/>
          </w:tcPr>
          <w:p w14:paraId="737BFD6D"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FISICO</w:t>
            </w:r>
          </w:p>
        </w:tc>
        <w:tc>
          <w:tcPr>
            <w:tcW w:w="980" w:type="dxa"/>
            <w:tcBorders>
              <w:top w:val="single" w:sz="4" w:space="0" w:color="auto"/>
              <w:left w:val="nil"/>
              <w:bottom w:val="single" w:sz="4" w:space="0" w:color="auto"/>
              <w:right w:val="single" w:sz="4" w:space="0" w:color="auto"/>
            </w:tcBorders>
            <w:shd w:val="clear" w:color="000000" w:fill="B0C4DE"/>
            <w:vAlign w:val="bottom"/>
            <w:hideMark/>
          </w:tcPr>
          <w:p w14:paraId="76B63236"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GESTION</w:t>
            </w:r>
          </w:p>
        </w:tc>
        <w:tc>
          <w:tcPr>
            <w:tcW w:w="1300" w:type="dxa"/>
            <w:tcBorders>
              <w:top w:val="single" w:sz="4" w:space="0" w:color="auto"/>
              <w:left w:val="nil"/>
              <w:bottom w:val="single" w:sz="4" w:space="0" w:color="auto"/>
              <w:right w:val="single" w:sz="4" w:space="0" w:color="auto"/>
            </w:tcBorders>
            <w:shd w:val="clear" w:color="000000" w:fill="B0C4DE"/>
            <w:vAlign w:val="bottom"/>
            <w:hideMark/>
          </w:tcPr>
          <w:p w14:paraId="46B125F2" w14:textId="77777777" w:rsidR="007A1C0E" w:rsidRPr="007A1C0E" w:rsidRDefault="007A1C0E" w:rsidP="007A1C0E">
            <w:pPr>
              <w:spacing w:after="0" w:line="240" w:lineRule="auto"/>
              <w:jc w:val="center"/>
              <w:rPr>
                <w:rFonts w:ascii="Arial" w:eastAsia="Times New Roman" w:hAnsi="Arial" w:cs="Arial"/>
                <w:b/>
                <w:bCs/>
                <w:color w:val="000000"/>
                <w:sz w:val="20"/>
                <w:szCs w:val="20"/>
                <w:lang w:val="es-ES" w:eastAsia="es-ES"/>
              </w:rPr>
            </w:pPr>
            <w:r w:rsidRPr="007A1C0E">
              <w:rPr>
                <w:rFonts w:ascii="Arial" w:eastAsia="Times New Roman" w:hAnsi="Arial" w:cs="Arial"/>
                <w:b/>
                <w:bCs/>
                <w:color w:val="000000"/>
                <w:sz w:val="20"/>
                <w:szCs w:val="20"/>
                <w:lang w:val="es-ES" w:eastAsia="es-ES"/>
              </w:rPr>
              <w:t>FINANCIERO</w:t>
            </w:r>
          </w:p>
        </w:tc>
      </w:tr>
      <w:tr w:rsidR="007A1C0E" w:rsidRPr="007A1C0E" w14:paraId="272219A1" w14:textId="77777777" w:rsidTr="007A1C0E">
        <w:trPr>
          <w:trHeight w:val="765"/>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2BF8454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6E87732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'2011011000576</w:t>
            </w:r>
          </w:p>
        </w:tc>
        <w:tc>
          <w:tcPr>
            <w:tcW w:w="4786" w:type="dxa"/>
            <w:tcBorders>
              <w:top w:val="nil"/>
              <w:left w:val="nil"/>
              <w:bottom w:val="single" w:sz="4" w:space="0" w:color="auto"/>
              <w:right w:val="single" w:sz="4" w:space="0" w:color="auto"/>
            </w:tcBorders>
            <w:shd w:val="clear" w:color="auto" w:fill="auto"/>
            <w:vAlign w:val="bottom"/>
            <w:hideMark/>
          </w:tcPr>
          <w:p w14:paraId="5D59E414"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ADMINISTRACIÓN DE LA CONTRATACIÓN Y TITULACIÓN MINERA EN EL TERRITORIO NACIONAL ANM</w:t>
            </w:r>
          </w:p>
        </w:tc>
        <w:tc>
          <w:tcPr>
            <w:tcW w:w="760" w:type="dxa"/>
            <w:tcBorders>
              <w:top w:val="nil"/>
              <w:left w:val="nil"/>
              <w:bottom w:val="single" w:sz="4" w:space="0" w:color="auto"/>
              <w:right w:val="single" w:sz="4" w:space="0" w:color="auto"/>
            </w:tcBorders>
            <w:shd w:val="clear" w:color="auto" w:fill="auto"/>
            <w:vAlign w:val="bottom"/>
            <w:hideMark/>
          </w:tcPr>
          <w:p w14:paraId="5C8FBA9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101</w:t>
            </w:r>
          </w:p>
        </w:tc>
        <w:tc>
          <w:tcPr>
            <w:tcW w:w="980" w:type="dxa"/>
            <w:tcBorders>
              <w:top w:val="nil"/>
              <w:left w:val="nil"/>
              <w:bottom w:val="single" w:sz="4" w:space="0" w:color="auto"/>
              <w:right w:val="single" w:sz="4" w:space="0" w:color="auto"/>
            </w:tcBorders>
            <w:shd w:val="clear" w:color="auto" w:fill="auto"/>
            <w:vAlign w:val="bottom"/>
            <w:hideMark/>
          </w:tcPr>
          <w:p w14:paraId="10F61F3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38</w:t>
            </w:r>
          </w:p>
        </w:tc>
        <w:tc>
          <w:tcPr>
            <w:tcW w:w="1300" w:type="dxa"/>
            <w:tcBorders>
              <w:top w:val="nil"/>
              <w:left w:val="nil"/>
              <w:bottom w:val="single" w:sz="4" w:space="0" w:color="auto"/>
              <w:right w:val="single" w:sz="4" w:space="0" w:color="auto"/>
            </w:tcBorders>
            <w:shd w:val="clear" w:color="auto" w:fill="auto"/>
            <w:vAlign w:val="bottom"/>
            <w:hideMark/>
          </w:tcPr>
          <w:p w14:paraId="4D17DA6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34,65</w:t>
            </w:r>
          </w:p>
        </w:tc>
      </w:tr>
      <w:tr w:rsidR="007A1C0E" w:rsidRPr="007A1C0E" w14:paraId="4B9A1B0E" w14:textId="77777777" w:rsidTr="007A1C0E">
        <w:trPr>
          <w:trHeight w:val="510"/>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623DED29"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7CC0162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'2012011000187</w:t>
            </w:r>
          </w:p>
        </w:tc>
        <w:tc>
          <w:tcPr>
            <w:tcW w:w="4786" w:type="dxa"/>
            <w:tcBorders>
              <w:top w:val="nil"/>
              <w:left w:val="nil"/>
              <w:bottom w:val="single" w:sz="4" w:space="0" w:color="auto"/>
              <w:right w:val="single" w:sz="4" w:space="0" w:color="auto"/>
            </w:tcBorders>
            <w:shd w:val="clear" w:color="auto" w:fill="auto"/>
            <w:vAlign w:val="bottom"/>
            <w:hideMark/>
          </w:tcPr>
          <w:p w14:paraId="701EFBA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MEJORAMIENTO Y DESARROLLO DE LA GESTION INSTITUCIONAL ANM</w:t>
            </w:r>
          </w:p>
        </w:tc>
        <w:tc>
          <w:tcPr>
            <w:tcW w:w="760" w:type="dxa"/>
            <w:tcBorders>
              <w:top w:val="nil"/>
              <w:left w:val="nil"/>
              <w:bottom w:val="single" w:sz="4" w:space="0" w:color="auto"/>
              <w:right w:val="single" w:sz="4" w:space="0" w:color="auto"/>
            </w:tcBorders>
            <w:shd w:val="clear" w:color="auto" w:fill="auto"/>
            <w:vAlign w:val="bottom"/>
            <w:hideMark/>
          </w:tcPr>
          <w:p w14:paraId="6FAA4BD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53</w:t>
            </w:r>
          </w:p>
        </w:tc>
        <w:tc>
          <w:tcPr>
            <w:tcW w:w="980" w:type="dxa"/>
            <w:tcBorders>
              <w:top w:val="nil"/>
              <w:left w:val="nil"/>
              <w:bottom w:val="single" w:sz="4" w:space="0" w:color="auto"/>
              <w:right w:val="single" w:sz="4" w:space="0" w:color="auto"/>
            </w:tcBorders>
            <w:shd w:val="clear" w:color="auto" w:fill="auto"/>
            <w:vAlign w:val="bottom"/>
            <w:hideMark/>
          </w:tcPr>
          <w:p w14:paraId="732CDDF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62,5</w:t>
            </w:r>
          </w:p>
        </w:tc>
        <w:tc>
          <w:tcPr>
            <w:tcW w:w="1300" w:type="dxa"/>
            <w:tcBorders>
              <w:top w:val="nil"/>
              <w:left w:val="nil"/>
              <w:bottom w:val="single" w:sz="4" w:space="0" w:color="auto"/>
              <w:right w:val="single" w:sz="4" w:space="0" w:color="auto"/>
            </w:tcBorders>
            <w:shd w:val="clear" w:color="auto" w:fill="auto"/>
            <w:vAlign w:val="bottom"/>
            <w:hideMark/>
          </w:tcPr>
          <w:p w14:paraId="1B4BF246"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40,4</w:t>
            </w:r>
          </w:p>
        </w:tc>
      </w:tr>
      <w:tr w:rsidR="007A1C0E" w:rsidRPr="007A1C0E" w14:paraId="57F43B98" w14:textId="77777777" w:rsidTr="007A1C0E">
        <w:trPr>
          <w:trHeight w:val="765"/>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720CC7B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6F55C8CF"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'2012011000189</w:t>
            </w:r>
          </w:p>
        </w:tc>
        <w:tc>
          <w:tcPr>
            <w:tcW w:w="4786" w:type="dxa"/>
            <w:tcBorders>
              <w:top w:val="nil"/>
              <w:left w:val="nil"/>
              <w:bottom w:val="single" w:sz="4" w:space="0" w:color="auto"/>
              <w:right w:val="single" w:sz="4" w:space="0" w:color="auto"/>
            </w:tcBorders>
            <w:shd w:val="clear" w:color="auto" w:fill="auto"/>
            <w:vAlign w:val="bottom"/>
            <w:hideMark/>
          </w:tcPr>
          <w:p w14:paraId="4905A29D"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MEJORAMIENTO DE LAS CONDICIONES DE SEGURIDAD Y SALVAMENTO EN LA ACTIVIDAD MINERA EN EL TERRITORIO NACIONAL</w:t>
            </w:r>
          </w:p>
        </w:tc>
        <w:tc>
          <w:tcPr>
            <w:tcW w:w="760" w:type="dxa"/>
            <w:tcBorders>
              <w:top w:val="nil"/>
              <w:left w:val="nil"/>
              <w:bottom w:val="single" w:sz="4" w:space="0" w:color="auto"/>
              <w:right w:val="single" w:sz="4" w:space="0" w:color="auto"/>
            </w:tcBorders>
            <w:shd w:val="clear" w:color="auto" w:fill="auto"/>
            <w:vAlign w:val="bottom"/>
            <w:hideMark/>
          </w:tcPr>
          <w:p w14:paraId="783C2CC9"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26</w:t>
            </w:r>
          </w:p>
        </w:tc>
        <w:tc>
          <w:tcPr>
            <w:tcW w:w="980" w:type="dxa"/>
            <w:tcBorders>
              <w:top w:val="nil"/>
              <w:left w:val="nil"/>
              <w:bottom w:val="single" w:sz="4" w:space="0" w:color="auto"/>
              <w:right w:val="single" w:sz="4" w:space="0" w:color="auto"/>
            </w:tcBorders>
            <w:shd w:val="clear" w:color="auto" w:fill="auto"/>
            <w:vAlign w:val="bottom"/>
            <w:hideMark/>
          </w:tcPr>
          <w:p w14:paraId="378F0D5C"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94,7</w:t>
            </w:r>
          </w:p>
        </w:tc>
        <w:tc>
          <w:tcPr>
            <w:tcW w:w="1300" w:type="dxa"/>
            <w:tcBorders>
              <w:top w:val="nil"/>
              <w:left w:val="nil"/>
              <w:bottom w:val="single" w:sz="4" w:space="0" w:color="auto"/>
              <w:right w:val="single" w:sz="4" w:space="0" w:color="auto"/>
            </w:tcBorders>
            <w:shd w:val="clear" w:color="auto" w:fill="auto"/>
            <w:vAlign w:val="bottom"/>
            <w:hideMark/>
          </w:tcPr>
          <w:p w14:paraId="06006375"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7,75</w:t>
            </w:r>
          </w:p>
        </w:tc>
      </w:tr>
      <w:tr w:rsidR="007A1C0E" w:rsidRPr="007A1C0E" w14:paraId="553E7F27" w14:textId="77777777" w:rsidTr="007A1C0E">
        <w:trPr>
          <w:trHeight w:val="510"/>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4F9F29F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281A746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'2014011000091</w:t>
            </w:r>
          </w:p>
        </w:tc>
        <w:tc>
          <w:tcPr>
            <w:tcW w:w="4786" w:type="dxa"/>
            <w:tcBorders>
              <w:top w:val="nil"/>
              <w:left w:val="nil"/>
              <w:bottom w:val="single" w:sz="4" w:space="0" w:color="auto"/>
              <w:right w:val="single" w:sz="4" w:space="0" w:color="auto"/>
            </w:tcBorders>
            <w:shd w:val="clear" w:color="auto" w:fill="auto"/>
            <w:vAlign w:val="bottom"/>
            <w:hideMark/>
          </w:tcPr>
          <w:p w14:paraId="19EF59D3"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 LA PEQUEÑA Y MEDIANA MINERÍA A NIVEL NACIONAL</w:t>
            </w:r>
          </w:p>
        </w:tc>
        <w:tc>
          <w:tcPr>
            <w:tcW w:w="760" w:type="dxa"/>
            <w:tcBorders>
              <w:top w:val="nil"/>
              <w:left w:val="nil"/>
              <w:bottom w:val="single" w:sz="4" w:space="0" w:color="auto"/>
              <w:right w:val="single" w:sz="4" w:space="0" w:color="auto"/>
            </w:tcBorders>
            <w:shd w:val="clear" w:color="auto" w:fill="auto"/>
            <w:vAlign w:val="bottom"/>
            <w:hideMark/>
          </w:tcPr>
          <w:p w14:paraId="0E55AA0E"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58</w:t>
            </w:r>
          </w:p>
        </w:tc>
        <w:tc>
          <w:tcPr>
            <w:tcW w:w="980" w:type="dxa"/>
            <w:tcBorders>
              <w:top w:val="nil"/>
              <w:left w:val="nil"/>
              <w:bottom w:val="single" w:sz="4" w:space="0" w:color="auto"/>
              <w:right w:val="single" w:sz="4" w:space="0" w:color="auto"/>
            </w:tcBorders>
            <w:shd w:val="clear" w:color="auto" w:fill="auto"/>
            <w:vAlign w:val="bottom"/>
            <w:hideMark/>
          </w:tcPr>
          <w:p w14:paraId="0769899F"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1300" w:type="dxa"/>
            <w:tcBorders>
              <w:top w:val="nil"/>
              <w:left w:val="nil"/>
              <w:bottom w:val="single" w:sz="4" w:space="0" w:color="auto"/>
              <w:right w:val="single" w:sz="4" w:space="0" w:color="auto"/>
            </w:tcBorders>
            <w:shd w:val="clear" w:color="auto" w:fill="auto"/>
            <w:vAlign w:val="bottom"/>
            <w:hideMark/>
          </w:tcPr>
          <w:p w14:paraId="76D14484"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35,42</w:t>
            </w:r>
          </w:p>
        </w:tc>
      </w:tr>
      <w:tr w:rsidR="007A1C0E" w:rsidRPr="007A1C0E" w14:paraId="51E879C4" w14:textId="77777777" w:rsidTr="007A1C0E">
        <w:trPr>
          <w:trHeight w:val="510"/>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59A0D71B"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0A68FBC8"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'2014011000092</w:t>
            </w:r>
          </w:p>
        </w:tc>
        <w:tc>
          <w:tcPr>
            <w:tcW w:w="4786" w:type="dxa"/>
            <w:tcBorders>
              <w:top w:val="nil"/>
              <w:left w:val="nil"/>
              <w:bottom w:val="single" w:sz="4" w:space="0" w:color="auto"/>
              <w:right w:val="single" w:sz="4" w:space="0" w:color="auto"/>
            </w:tcBorders>
            <w:shd w:val="clear" w:color="auto" w:fill="auto"/>
            <w:vAlign w:val="bottom"/>
            <w:hideMark/>
          </w:tcPr>
          <w:p w14:paraId="788FDA61"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FORTALECIMIENTO DEL SECTOR MINERO A NIVEL NACIONAL E INTERNACIONAL</w:t>
            </w:r>
          </w:p>
        </w:tc>
        <w:tc>
          <w:tcPr>
            <w:tcW w:w="760" w:type="dxa"/>
            <w:tcBorders>
              <w:top w:val="nil"/>
              <w:left w:val="nil"/>
              <w:bottom w:val="single" w:sz="4" w:space="0" w:color="auto"/>
              <w:right w:val="single" w:sz="4" w:space="0" w:color="auto"/>
            </w:tcBorders>
            <w:shd w:val="clear" w:color="auto" w:fill="auto"/>
            <w:vAlign w:val="bottom"/>
            <w:hideMark/>
          </w:tcPr>
          <w:p w14:paraId="41B9BA51"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87</w:t>
            </w:r>
          </w:p>
        </w:tc>
        <w:tc>
          <w:tcPr>
            <w:tcW w:w="980" w:type="dxa"/>
            <w:tcBorders>
              <w:top w:val="nil"/>
              <w:left w:val="nil"/>
              <w:bottom w:val="single" w:sz="4" w:space="0" w:color="auto"/>
              <w:right w:val="single" w:sz="4" w:space="0" w:color="auto"/>
            </w:tcBorders>
            <w:shd w:val="clear" w:color="auto" w:fill="auto"/>
            <w:vAlign w:val="bottom"/>
            <w:hideMark/>
          </w:tcPr>
          <w:p w14:paraId="0D2D91A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100</w:t>
            </w:r>
          </w:p>
        </w:tc>
        <w:tc>
          <w:tcPr>
            <w:tcW w:w="1300" w:type="dxa"/>
            <w:tcBorders>
              <w:top w:val="nil"/>
              <w:left w:val="nil"/>
              <w:bottom w:val="single" w:sz="4" w:space="0" w:color="auto"/>
              <w:right w:val="single" w:sz="4" w:space="0" w:color="auto"/>
            </w:tcBorders>
            <w:shd w:val="clear" w:color="auto" w:fill="auto"/>
            <w:vAlign w:val="bottom"/>
            <w:hideMark/>
          </w:tcPr>
          <w:p w14:paraId="2839F13D"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66,88</w:t>
            </w:r>
          </w:p>
        </w:tc>
      </w:tr>
      <w:tr w:rsidR="007A1C0E" w:rsidRPr="007A1C0E" w14:paraId="6B71983D" w14:textId="77777777" w:rsidTr="007A1C0E">
        <w:trPr>
          <w:trHeight w:val="1020"/>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5E942E6A"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75C58D05"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'2014011000100</w:t>
            </w:r>
          </w:p>
        </w:tc>
        <w:tc>
          <w:tcPr>
            <w:tcW w:w="4786" w:type="dxa"/>
            <w:tcBorders>
              <w:top w:val="nil"/>
              <w:left w:val="nil"/>
              <w:bottom w:val="single" w:sz="4" w:space="0" w:color="auto"/>
              <w:right w:val="single" w:sz="4" w:space="0" w:color="auto"/>
            </w:tcBorders>
            <w:shd w:val="clear" w:color="auto" w:fill="auto"/>
            <w:vAlign w:val="bottom"/>
            <w:hideMark/>
          </w:tcPr>
          <w:p w14:paraId="36BFE3F7"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IMPLEMENTACIÓN DE ACCIONES QUE CONTRIBUYAN A LA CONSTRUCCIÓN DE UNA MINERIA AMBIENTAL RESPONSABLE Y SOCIAL SOSTENIBLE DEL SECTOR MINERO NACIONAL</w:t>
            </w:r>
          </w:p>
        </w:tc>
        <w:tc>
          <w:tcPr>
            <w:tcW w:w="760" w:type="dxa"/>
            <w:tcBorders>
              <w:top w:val="nil"/>
              <w:left w:val="nil"/>
              <w:bottom w:val="single" w:sz="4" w:space="0" w:color="auto"/>
              <w:right w:val="single" w:sz="4" w:space="0" w:color="auto"/>
            </w:tcBorders>
            <w:shd w:val="clear" w:color="auto" w:fill="auto"/>
            <w:vAlign w:val="bottom"/>
            <w:hideMark/>
          </w:tcPr>
          <w:p w14:paraId="7A994AFA"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52</w:t>
            </w:r>
          </w:p>
        </w:tc>
        <w:tc>
          <w:tcPr>
            <w:tcW w:w="980" w:type="dxa"/>
            <w:tcBorders>
              <w:top w:val="nil"/>
              <w:left w:val="nil"/>
              <w:bottom w:val="single" w:sz="4" w:space="0" w:color="auto"/>
              <w:right w:val="single" w:sz="4" w:space="0" w:color="auto"/>
            </w:tcBorders>
            <w:shd w:val="clear" w:color="auto" w:fill="auto"/>
            <w:vAlign w:val="bottom"/>
            <w:hideMark/>
          </w:tcPr>
          <w:p w14:paraId="65DE4743"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54</w:t>
            </w:r>
          </w:p>
        </w:tc>
        <w:tc>
          <w:tcPr>
            <w:tcW w:w="1300" w:type="dxa"/>
            <w:tcBorders>
              <w:top w:val="nil"/>
              <w:left w:val="nil"/>
              <w:bottom w:val="single" w:sz="4" w:space="0" w:color="auto"/>
              <w:right w:val="single" w:sz="4" w:space="0" w:color="auto"/>
            </w:tcBorders>
            <w:shd w:val="clear" w:color="auto" w:fill="auto"/>
            <w:vAlign w:val="bottom"/>
            <w:hideMark/>
          </w:tcPr>
          <w:p w14:paraId="1B60CBA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14,15</w:t>
            </w:r>
          </w:p>
        </w:tc>
      </w:tr>
      <w:tr w:rsidR="007A1C0E" w:rsidRPr="007A1C0E" w14:paraId="2B91F5CE" w14:textId="77777777" w:rsidTr="007A1C0E">
        <w:trPr>
          <w:trHeight w:val="765"/>
        </w:trPr>
        <w:tc>
          <w:tcPr>
            <w:tcW w:w="1019" w:type="dxa"/>
            <w:tcBorders>
              <w:top w:val="nil"/>
              <w:left w:val="single" w:sz="4" w:space="0" w:color="auto"/>
              <w:bottom w:val="single" w:sz="4" w:space="0" w:color="auto"/>
              <w:right w:val="single" w:sz="4" w:space="0" w:color="auto"/>
            </w:tcBorders>
            <w:shd w:val="clear" w:color="auto" w:fill="auto"/>
            <w:vAlign w:val="bottom"/>
            <w:hideMark/>
          </w:tcPr>
          <w:p w14:paraId="7FEA3C7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ANM</w:t>
            </w:r>
          </w:p>
        </w:tc>
        <w:tc>
          <w:tcPr>
            <w:tcW w:w="1515" w:type="dxa"/>
            <w:tcBorders>
              <w:top w:val="nil"/>
              <w:left w:val="nil"/>
              <w:bottom w:val="single" w:sz="4" w:space="0" w:color="auto"/>
              <w:right w:val="single" w:sz="4" w:space="0" w:color="auto"/>
            </w:tcBorders>
            <w:shd w:val="clear" w:color="auto" w:fill="auto"/>
            <w:vAlign w:val="bottom"/>
            <w:hideMark/>
          </w:tcPr>
          <w:p w14:paraId="581DA4A0"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'2015011000169</w:t>
            </w:r>
          </w:p>
        </w:tc>
        <w:tc>
          <w:tcPr>
            <w:tcW w:w="4786" w:type="dxa"/>
            <w:tcBorders>
              <w:top w:val="nil"/>
              <w:left w:val="nil"/>
              <w:bottom w:val="single" w:sz="4" w:space="0" w:color="auto"/>
              <w:right w:val="single" w:sz="4" w:space="0" w:color="auto"/>
            </w:tcBorders>
            <w:shd w:val="clear" w:color="auto" w:fill="auto"/>
            <w:vAlign w:val="bottom"/>
            <w:hideMark/>
          </w:tcPr>
          <w:p w14:paraId="0441656C" w14:textId="77777777" w:rsidR="007A1C0E" w:rsidRPr="007A1C0E" w:rsidRDefault="007A1C0E" w:rsidP="007A1C0E">
            <w:pPr>
              <w:spacing w:after="0" w:line="240" w:lineRule="auto"/>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ADMINISTRACIÓN Y FORTALECIMIENTO DE LA INFRAESTRUCTURA TECNOLÓGICA Y SISTEMAS DE INFORMACIÓN A NIVEL NACIONAL</w:t>
            </w:r>
          </w:p>
        </w:tc>
        <w:tc>
          <w:tcPr>
            <w:tcW w:w="760" w:type="dxa"/>
            <w:tcBorders>
              <w:top w:val="nil"/>
              <w:left w:val="nil"/>
              <w:bottom w:val="single" w:sz="4" w:space="0" w:color="auto"/>
              <w:right w:val="single" w:sz="4" w:space="0" w:color="auto"/>
            </w:tcBorders>
            <w:shd w:val="clear" w:color="auto" w:fill="auto"/>
            <w:vAlign w:val="bottom"/>
            <w:hideMark/>
          </w:tcPr>
          <w:p w14:paraId="5BDC84CC"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c>
          <w:tcPr>
            <w:tcW w:w="980" w:type="dxa"/>
            <w:tcBorders>
              <w:top w:val="nil"/>
              <w:left w:val="nil"/>
              <w:bottom w:val="single" w:sz="4" w:space="0" w:color="auto"/>
              <w:right w:val="single" w:sz="4" w:space="0" w:color="auto"/>
            </w:tcBorders>
            <w:shd w:val="clear" w:color="auto" w:fill="auto"/>
            <w:vAlign w:val="bottom"/>
            <w:hideMark/>
          </w:tcPr>
          <w:p w14:paraId="35DF788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79</w:t>
            </w:r>
          </w:p>
        </w:tc>
        <w:tc>
          <w:tcPr>
            <w:tcW w:w="1300" w:type="dxa"/>
            <w:tcBorders>
              <w:top w:val="nil"/>
              <w:left w:val="nil"/>
              <w:bottom w:val="single" w:sz="4" w:space="0" w:color="auto"/>
              <w:right w:val="single" w:sz="4" w:space="0" w:color="auto"/>
            </w:tcBorders>
            <w:shd w:val="clear" w:color="auto" w:fill="auto"/>
            <w:vAlign w:val="bottom"/>
            <w:hideMark/>
          </w:tcPr>
          <w:p w14:paraId="591F9487" w14:textId="77777777" w:rsidR="007A1C0E" w:rsidRPr="007A1C0E" w:rsidRDefault="007A1C0E" w:rsidP="007A1C0E">
            <w:pPr>
              <w:spacing w:after="0" w:line="240" w:lineRule="auto"/>
              <w:jc w:val="right"/>
              <w:rPr>
                <w:rFonts w:ascii="Arial" w:eastAsia="Times New Roman" w:hAnsi="Arial" w:cs="Arial"/>
                <w:color w:val="000000"/>
                <w:sz w:val="20"/>
                <w:szCs w:val="20"/>
                <w:lang w:val="es-ES" w:eastAsia="es-ES"/>
              </w:rPr>
            </w:pPr>
            <w:r w:rsidRPr="007A1C0E">
              <w:rPr>
                <w:rFonts w:ascii="Arial" w:eastAsia="Times New Roman" w:hAnsi="Arial" w:cs="Arial"/>
                <w:color w:val="000000"/>
                <w:sz w:val="20"/>
                <w:szCs w:val="20"/>
                <w:lang w:val="es-ES" w:eastAsia="es-ES"/>
              </w:rPr>
              <w:t>0</w:t>
            </w:r>
          </w:p>
        </w:tc>
      </w:tr>
    </w:tbl>
    <w:p w14:paraId="129C06C6" w14:textId="1F2A147B" w:rsidR="00C02282" w:rsidRPr="007A1C0E" w:rsidRDefault="00C02282" w:rsidP="00C02282">
      <w:pPr>
        <w:jc w:val="center"/>
        <w:rPr>
          <w:rFonts w:ascii="Arial" w:eastAsia="Calibri" w:hAnsi="Arial" w:cs="Arial"/>
          <w:sz w:val="16"/>
          <w:szCs w:val="16"/>
        </w:rPr>
      </w:pPr>
      <w:r w:rsidRPr="007A1C0E">
        <w:rPr>
          <w:rFonts w:ascii="Arial" w:eastAsia="Calibri" w:hAnsi="Arial" w:cs="Arial"/>
          <w:sz w:val="16"/>
          <w:szCs w:val="16"/>
        </w:rPr>
        <w:t xml:space="preserve">Fuente: Sistema de Seguimiento a Proyectos de Inversión – SPI a </w:t>
      </w:r>
      <w:r w:rsidR="007A1C0E" w:rsidRPr="007A1C0E">
        <w:rPr>
          <w:rFonts w:ascii="Arial" w:eastAsia="Calibri" w:hAnsi="Arial" w:cs="Arial"/>
          <w:sz w:val="16"/>
          <w:szCs w:val="16"/>
        </w:rPr>
        <w:t>junio</w:t>
      </w:r>
      <w:r w:rsidRPr="007A1C0E">
        <w:rPr>
          <w:rFonts w:ascii="Arial" w:eastAsia="Calibri" w:hAnsi="Arial" w:cs="Arial"/>
          <w:sz w:val="16"/>
          <w:szCs w:val="16"/>
        </w:rPr>
        <w:t xml:space="preserve"> de 2018.</w:t>
      </w:r>
    </w:p>
    <w:p w14:paraId="06BCA2EA" w14:textId="77777777" w:rsidR="00C02282" w:rsidRPr="006A67B4" w:rsidRDefault="00C02282" w:rsidP="00C02282">
      <w:pPr>
        <w:pStyle w:val="Ttulo1"/>
        <w:ind w:left="426"/>
        <w:rPr>
          <w:rFonts w:ascii="Arial" w:eastAsia="Arial" w:hAnsi="Arial" w:cs="Arial"/>
          <w:b/>
          <w:color w:val="auto"/>
          <w:sz w:val="22"/>
          <w:szCs w:val="22"/>
          <w:highlight w:val="yellow"/>
          <w:lang w:eastAsia="es-CO"/>
        </w:rPr>
      </w:pPr>
    </w:p>
    <w:p w14:paraId="0DC29B57" w14:textId="35E21F8C" w:rsidR="00C02282" w:rsidRPr="00760F85" w:rsidRDefault="000D4084" w:rsidP="00C02282">
      <w:pPr>
        <w:pStyle w:val="Ttulo1"/>
        <w:ind w:left="426"/>
        <w:rPr>
          <w:rFonts w:ascii="Arial" w:eastAsia="Arial" w:hAnsi="Arial" w:cs="Arial"/>
          <w:b/>
          <w:color w:val="auto"/>
          <w:sz w:val="22"/>
          <w:szCs w:val="22"/>
          <w:lang w:eastAsia="es-CO"/>
        </w:rPr>
      </w:pPr>
      <w:bookmarkStart w:id="348" w:name="_Toc525652107"/>
      <w:r w:rsidRPr="00760F85">
        <w:rPr>
          <w:rFonts w:ascii="Arial" w:eastAsia="Arial" w:hAnsi="Arial" w:cs="Arial"/>
          <w:b/>
          <w:color w:val="auto"/>
          <w:sz w:val="22"/>
          <w:szCs w:val="22"/>
          <w:lang w:eastAsia="es-CO"/>
        </w:rPr>
        <w:t>I</w:t>
      </w:r>
      <w:r w:rsidR="00C02282" w:rsidRPr="00760F85">
        <w:rPr>
          <w:rFonts w:ascii="Arial" w:eastAsia="Arial" w:hAnsi="Arial" w:cs="Arial"/>
          <w:b/>
          <w:color w:val="auto"/>
          <w:sz w:val="22"/>
          <w:szCs w:val="22"/>
          <w:lang w:eastAsia="es-CO"/>
        </w:rPr>
        <w:t>. CONCLUSIONES Y RECOMENDACIONES FINALES</w:t>
      </w:r>
      <w:bookmarkEnd w:id="348"/>
    </w:p>
    <w:p w14:paraId="7DCE1226" w14:textId="77777777" w:rsidR="00C02282" w:rsidRPr="00760F85" w:rsidRDefault="00C02282" w:rsidP="00C02282">
      <w:pPr>
        <w:spacing w:after="0" w:line="240" w:lineRule="auto"/>
        <w:ind w:left="426"/>
        <w:jc w:val="both"/>
        <w:rPr>
          <w:rFonts w:ascii="Arial" w:eastAsia="Times New Roman" w:hAnsi="Arial" w:cs="Arial"/>
          <w:sz w:val="20"/>
          <w:szCs w:val="16"/>
          <w:lang w:val="es-ES" w:eastAsia="es-ES"/>
        </w:rPr>
      </w:pPr>
    </w:p>
    <w:p w14:paraId="659B28D3" w14:textId="77777777" w:rsidR="00C02282" w:rsidRPr="00760F85" w:rsidRDefault="00C02282" w:rsidP="00C02282">
      <w:pPr>
        <w:spacing w:after="0" w:line="240" w:lineRule="auto"/>
        <w:jc w:val="both"/>
        <w:rPr>
          <w:rFonts w:ascii="Arial" w:eastAsia="Arial" w:hAnsi="Arial" w:cs="Arial"/>
          <w:sz w:val="20"/>
          <w:szCs w:val="20"/>
        </w:rPr>
      </w:pPr>
      <w:r w:rsidRPr="00760F85">
        <w:rPr>
          <w:rFonts w:ascii="Arial" w:eastAsia="Arial" w:hAnsi="Arial" w:cs="Arial"/>
          <w:sz w:val="20"/>
          <w:szCs w:val="20"/>
        </w:rPr>
        <w:t xml:space="preserve">El Ministerio de Minas y Energía desde el inicio de la actual vigencia, realizó una planeación en la ejecución de los proyectos de inversión. Para esto, se establecieron metas en compromisos y obligaciones mensuales teniendo en cuenta la dinámica específica del sector por lo que su ejecución no se realiza en partes iguales a lo largo de los trimestres.  </w:t>
      </w:r>
    </w:p>
    <w:p w14:paraId="0C7A0B96" w14:textId="77777777" w:rsidR="00C02282" w:rsidRPr="006A67B4" w:rsidRDefault="00C02282" w:rsidP="00C02282">
      <w:pPr>
        <w:spacing w:after="0" w:line="240" w:lineRule="auto"/>
        <w:jc w:val="both"/>
        <w:rPr>
          <w:rFonts w:ascii="Arial" w:eastAsia="Arial" w:hAnsi="Arial" w:cs="Arial"/>
          <w:sz w:val="20"/>
          <w:szCs w:val="20"/>
          <w:highlight w:val="yellow"/>
        </w:rPr>
      </w:pPr>
    </w:p>
    <w:p w14:paraId="411B204E" w14:textId="4817D9B1" w:rsidR="00C02282" w:rsidRPr="00760F85" w:rsidRDefault="00C02282" w:rsidP="00C02282">
      <w:pPr>
        <w:spacing w:after="0" w:line="240" w:lineRule="auto"/>
        <w:jc w:val="both"/>
        <w:rPr>
          <w:rFonts w:ascii="Arial" w:eastAsia="Arial" w:hAnsi="Arial" w:cs="Arial"/>
          <w:sz w:val="20"/>
          <w:szCs w:val="20"/>
        </w:rPr>
      </w:pPr>
      <w:r w:rsidRPr="00760F85">
        <w:rPr>
          <w:rFonts w:ascii="Arial" w:eastAsia="Arial" w:hAnsi="Arial" w:cs="Arial"/>
          <w:sz w:val="20"/>
          <w:szCs w:val="20"/>
        </w:rPr>
        <w:t>Igualmente, es importante indicar, que la dinámica en la ejecución presupuestal obedece en algunos casos a aspectos normativos</w:t>
      </w:r>
      <w:r w:rsidR="00760F85" w:rsidRPr="00760F85">
        <w:rPr>
          <w:rFonts w:ascii="Arial" w:eastAsia="Arial" w:hAnsi="Arial" w:cs="Arial"/>
          <w:sz w:val="20"/>
          <w:szCs w:val="20"/>
        </w:rPr>
        <w:t>;</w:t>
      </w:r>
      <w:r w:rsidRPr="00760F85">
        <w:rPr>
          <w:rFonts w:ascii="Arial" w:eastAsia="Arial" w:hAnsi="Arial" w:cs="Arial"/>
          <w:sz w:val="20"/>
          <w:szCs w:val="20"/>
        </w:rPr>
        <w:t xml:space="preserve"> </w:t>
      </w:r>
      <w:r w:rsidR="00760F85" w:rsidRPr="00760F85">
        <w:rPr>
          <w:rFonts w:ascii="Arial" w:eastAsia="Arial" w:hAnsi="Arial" w:cs="Arial"/>
          <w:sz w:val="20"/>
          <w:szCs w:val="20"/>
        </w:rPr>
        <w:t>como,</w:t>
      </w:r>
      <w:r w:rsidRPr="00760F85">
        <w:rPr>
          <w:rFonts w:ascii="Arial" w:eastAsia="Arial" w:hAnsi="Arial" w:cs="Arial"/>
          <w:sz w:val="20"/>
          <w:szCs w:val="20"/>
        </w:rPr>
        <w:t xml:space="preserve"> por ejemplo, para el pago de los subsidios o las asignaciones de recursos de los fondos, externalidades y comportamientos de agentes terceros que afectan directamente la constitución de compromisos y obligaciones. </w:t>
      </w:r>
    </w:p>
    <w:p w14:paraId="48B32D9F" w14:textId="77777777" w:rsidR="00C02282" w:rsidRPr="006A67B4" w:rsidRDefault="00C02282" w:rsidP="00C02282">
      <w:pPr>
        <w:spacing w:after="0" w:line="240" w:lineRule="auto"/>
        <w:jc w:val="both"/>
        <w:rPr>
          <w:rFonts w:ascii="Arial" w:eastAsia="Arial" w:hAnsi="Arial" w:cs="Arial"/>
          <w:sz w:val="20"/>
          <w:szCs w:val="20"/>
          <w:highlight w:val="yellow"/>
        </w:rPr>
      </w:pPr>
    </w:p>
    <w:p w14:paraId="1CEA0C13" w14:textId="4460AE1D" w:rsidR="00C02282" w:rsidRPr="000C432D" w:rsidRDefault="00C02282" w:rsidP="00C02282">
      <w:pPr>
        <w:spacing w:after="0" w:line="240" w:lineRule="auto"/>
        <w:jc w:val="both"/>
        <w:rPr>
          <w:rFonts w:ascii="Arial" w:eastAsia="Arial" w:hAnsi="Arial" w:cs="Arial"/>
          <w:sz w:val="20"/>
          <w:szCs w:val="20"/>
        </w:rPr>
      </w:pPr>
      <w:r w:rsidRPr="00760F85">
        <w:rPr>
          <w:rFonts w:ascii="Arial" w:eastAsia="Arial" w:hAnsi="Arial" w:cs="Arial"/>
          <w:sz w:val="20"/>
          <w:szCs w:val="20"/>
        </w:rPr>
        <w:t xml:space="preserve">Al </w:t>
      </w:r>
      <w:r w:rsidRPr="000C432D">
        <w:rPr>
          <w:rFonts w:ascii="Arial" w:eastAsia="Arial" w:hAnsi="Arial" w:cs="Arial"/>
          <w:sz w:val="20"/>
          <w:szCs w:val="20"/>
        </w:rPr>
        <w:t xml:space="preserve">cierre del </w:t>
      </w:r>
      <w:r w:rsidR="00760F85" w:rsidRPr="000C432D">
        <w:rPr>
          <w:rFonts w:ascii="Arial" w:eastAsia="Arial" w:hAnsi="Arial" w:cs="Arial"/>
          <w:sz w:val="20"/>
          <w:szCs w:val="20"/>
        </w:rPr>
        <w:t>segundo</w:t>
      </w:r>
      <w:r w:rsidRPr="000C432D">
        <w:rPr>
          <w:rFonts w:ascii="Arial" w:eastAsia="Arial" w:hAnsi="Arial" w:cs="Arial"/>
          <w:sz w:val="20"/>
          <w:szCs w:val="20"/>
        </w:rPr>
        <w:t xml:space="preserve"> trimestre de 2018, el total de ejecución de Funcionamiento y de Inversión del Ministerio se obtuvo </w:t>
      </w:r>
      <w:r w:rsidR="00760F85" w:rsidRPr="000C432D">
        <w:rPr>
          <w:rFonts w:ascii="Arial" w:eastAsia="Arial" w:hAnsi="Arial" w:cs="Arial"/>
          <w:sz w:val="20"/>
          <w:szCs w:val="20"/>
        </w:rPr>
        <w:t xml:space="preserve">la mayor </w:t>
      </w:r>
      <w:r w:rsidRPr="000C432D">
        <w:rPr>
          <w:rFonts w:ascii="Arial" w:eastAsia="Arial" w:hAnsi="Arial" w:cs="Arial"/>
          <w:sz w:val="20"/>
          <w:szCs w:val="20"/>
        </w:rPr>
        <w:t xml:space="preserve">ejecución </w:t>
      </w:r>
      <w:r w:rsidR="00760F85" w:rsidRPr="000C432D">
        <w:rPr>
          <w:rFonts w:ascii="Arial" w:eastAsia="Arial" w:hAnsi="Arial" w:cs="Arial"/>
          <w:sz w:val="20"/>
          <w:szCs w:val="20"/>
        </w:rPr>
        <w:t>presupuestal alcanzando el 57,14</w:t>
      </w:r>
      <w:r w:rsidRPr="000C432D">
        <w:rPr>
          <w:rFonts w:ascii="Arial" w:eastAsia="Arial" w:hAnsi="Arial" w:cs="Arial"/>
          <w:sz w:val="20"/>
          <w:szCs w:val="20"/>
        </w:rPr>
        <w:t xml:space="preserve">% en compromisos y en obligaciones del </w:t>
      </w:r>
      <w:r w:rsidR="000C432D" w:rsidRPr="000C432D">
        <w:rPr>
          <w:rFonts w:ascii="Arial" w:eastAsia="Arial" w:hAnsi="Arial" w:cs="Arial"/>
          <w:sz w:val="20"/>
          <w:szCs w:val="20"/>
        </w:rPr>
        <w:t>45,31</w:t>
      </w:r>
      <w:r w:rsidRPr="000C432D">
        <w:rPr>
          <w:rFonts w:ascii="Arial" w:eastAsia="Arial" w:hAnsi="Arial" w:cs="Arial"/>
          <w:sz w:val="20"/>
          <w:szCs w:val="20"/>
        </w:rPr>
        <w:t>%.</w:t>
      </w:r>
    </w:p>
    <w:p w14:paraId="59DDEA2D" w14:textId="77777777" w:rsidR="00C02282" w:rsidRPr="000C432D" w:rsidRDefault="00C02282" w:rsidP="00C02282">
      <w:pPr>
        <w:spacing w:after="0" w:line="240" w:lineRule="auto"/>
        <w:jc w:val="both"/>
        <w:rPr>
          <w:rFonts w:ascii="Arial" w:eastAsia="Arial" w:hAnsi="Arial" w:cs="Arial"/>
          <w:sz w:val="20"/>
          <w:szCs w:val="20"/>
        </w:rPr>
      </w:pPr>
    </w:p>
    <w:p w14:paraId="316D9FCF" w14:textId="2F085816" w:rsidR="00C02282" w:rsidRPr="000C432D" w:rsidRDefault="00C02282" w:rsidP="00C02282">
      <w:pPr>
        <w:jc w:val="both"/>
        <w:rPr>
          <w:rFonts w:ascii="Arial" w:eastAsia="Arial" w:hAnsi="Arial" w:cs="Arial"/>
          <w:sz w:val="20"/>
          <w:szCs w:val="20"/>
        </w:rPr>
      </w:pPr>
      <w:r w:rsidRPr="000C432D">
        <w:rPr>
          <w:rFonts w:ascii="Arial" w:eastAsia="Arial" w:hAnsi="Arial" w:cs="Arial"/>
          <w:sz w:val="20"/>
          <w:szCs w:val="20"/>
        </w:rPr>
        <w:t>Finalmente, las Reservas Presupuestales del Sector de Minas y Energía a 31 diciembre de 2017 se constituyeron por valor de $249.</w:t>
      </w:r>
      <w:r w:rsidR="000C432D" w:rsidRPr="000C432D">
        <w:rPr>
          <w:rFonts w:ascii="Arial" w:eastAsia="Arial" w:hAnsi="Arial" w:cs="Arial"/>
          <w:sz w:val="20"/>
          <w:szCs w:val="20"/>
        </w:rPr>
        <w:t>254</w:t>
      </w:r>
      <w:r w:rsidRPr="000C432D">
        <w:rPr>
          <w:rFonts w:ascii="Arial" w:eastAsia="Arial" w:hAnsi="Arial" w:cs="Arial"/>
          <w:sz w:val="20"/>
          <w:szCs w:val="20"/>
        </w:rPr>
        <w:t xml:space="preserve"> millones de pesos, incluyendo inversión y funcionamiento. De las reservas finales constituidas; el Ministerio constituyó $18</w:t>
      </w:r>
      <w:r w:rsidR="000C432D" w:rsidRPr="000C432D">
        <w:rPr>
          <w:rFonts w:ascii="Arial" w:eastAsia="Arial" w:hAnsi="Arial" w:cs="Arial"/>
          <w:sz w:val="20"/>
          <w:szCs w:val="20"/>
        </w:rPr>
        <w:t>7.976</w:t>
      </w:r>
      <w:r w:rsidRPr="000C432D">
        <w:rPr>
          <w:rFonts w:ascii="Arial" w:eastAsia="Arial" w:hAnsi="Arial" w:cs="Arial"/>
          <w:sz w:val="20"/>
          <w:szCs w:val="20"/>
        </w:rPr>
        <w:t xml:space="preserve"> millones, de los cuales corresponden a </w:t>
      </w:r>
      <w:r w:rsidRPr="000C432D">
        <w:rPr>
          <w:rFonts w:ascii="Arial" w:eastAsia="Arial" w:hAnsi="Arial" w:cs="Arial"/>
          <w:sz w:val="20"/>
          <w:szCs w:val="20"/>
        </w:rPr>
        <w:lastRenderedPageBreak/>
        <w:t>gastos de inversión la suma de $184.</w:t>
      </w:r>
      <w:r w:rsidR="000C432D" w:rsidRPr="000C432D">
        <w:rPr>
          <w:rFonts w:ascii="Arial" w:eastAsia="Arial" w:hAnsi="Arial" w:cs="Arial"/>
          <w:sz w:val="20"/>
          <w:szCs w:val="20"/>
        </w:rPr>
        <w:t>756</w:t>
      </w:r>
      <w:r w:rsidRPr="000C432D">
        <w:rPr>
          <w:rFonts w:ascii="Arial" w:eastAsia="Arial" w:hAnsi="Arial" w:cs="Arial"/>
          <w:sz w:val="20"/>
          <w:szCs w:val="20"/>
        </w:rPr>
        <w:t xml:space="preserve"> millones, de los cuales se obligaron $</w:t>
      </w:r>
      <w:r w:rsidR="000C432D" w:rsidRPr="000C432D">
        <w:rPr>
          <w:rFonts w:ascii="Arial" w:eastAsia="Arial" w:hAnsi="Arial" w:cs="Arial"/>
          <w:sz w:val="20"/>
          <w:szCs w:val="20"/>
        </w:rPr>
        <w:t>100.926</w:t>
      </w:r>
      <w:r w:rsidRPr="000C432D">
        <w:rPr>
          <w:rFonts w:ascii="Arial" w:eastAsia="Arial" w:hAnsi="Arial" w:cs="Arial"/>
          <w:sz w:val="20"/>
          <w:szCs w:val="20"/>
        </w:rPr>
        <w:t xml:space="preserve"> millones de pesos equivalentes al </w:t>
      </w:r>
      <w:r w:rsidR="000C432D" w:rsidRPr="000C432D">
        <w:rPr>
          <w:rFonts w:ascii="Arial" w:eastAsia="Arial" w:hAnsi="Arial" w:cs="Arial"/>
          <w:sz w:val="20"/>
          <w:szCs w:val="20"/>
        </w:rPr>
        <w:t>54,63</w:t>
      </w:r>
      <w:r w:rsidRPr="000C432D">
        <w:rPr>
          <w:rFonts w:ascii="Arial" w:eastAsia="Arial" w:hAnsi="Arial" w:cs="Arial"/>
          <w:sz w:val="20"/>
          <w:szCs w:val="20"/>
        </w:rPr>
        <w:t>% de ejecución y $3.22</w:t>
      </w:r>
      <w:r w:rsidR="000C432D" w:rsidRPr="000C432D">
        <w:rPr>
          <w:rFonts w:ascii="Arial" w:eastAsia="Arial" w:hAnsi="Arial" w:cs="Arial"/>
          <w:sz w:val="20"/>
          <w:szCs w:val="20"/>
        </w:rPr>
        <w:t>0</w:t>
      </w:r>
      <w:r w:rsidRPr="000C432D">
        <w:rPr>
          <w:rFonts w:ascii="Arial" w:eastAsia="Arial" w:hAnsi="Arial" w:cs="Arial"/>
          <w:sz w:val="20"/>
          <w:szCs w:val="20"/>
        </w:rPr>
        <w:t xml:space="preserve"> millones de pesos corresponden a gastos de funcionamiento, de los cuales se obligaron $</w:t>
      </w:r>
      <w:r w:rsidR="000C432D" w:rsidRPr="000C432D">
        <w:rPr>
          <w:rFonts w:ascii="Arial" w:eastAsia="Arial" w:hAnsi="Arial" w:cs="Arial"/>
          <w:sz w:val="20"/>
          <w:szCs w:val="20"/>
        </w:rPr>
        <w:t>1.558</w:t>
      </w:r>
      <w:r w:rsidRPr="000C432D">
        <w:rPr>
          <w:rFonts w:ascii="Arial" w:eastAsia="Arial" w:hAnsi="Arial" w:cs="Arial"/>
          <w:sz w:val="20"/>
          <w:szCs w:val="20"/>
        </w:rPr>
        <w:t xml:space="preserve"> millones de pesos equivalentes al </w:t>
      </w:r>
      <w:r w:rsidR="000C432D" w:rsidRPr="000C432D">
        <w:rPr>
          <w:rFonts w:ascii="Arial" w:eastAsia="Arial" w:hAnsi="Arial" w:cs="Arial"/>
          <w:sz w:val="20"/>
          <w:szCs w:val="20"/>
        </w:rPr>
        <w:t>48,39</w:t>
      </w:r>
      <w:r w:rsidRPr="000C432D">
        <w:rPr>
          <w:rFonts w:ascii="Arial" w:eastAsia="Arial" w:hAnsi="Arial" w:cs="Arial"/>
          <w:sz w:val="20"/>
          <w:szCs w:val="20"/>
        </w:rPr>
        <w:t>% de ejecución. Así pues, en total se obligaron $</w:t>
      </w:r>
      <w:r w:rsidR="000C432D" w:rsidRPr="000C432D">
        <w:rPr>
          <w:rFonts w:ascii="Arial" w:eastAsia="Arial" w:hAnsi="Arial" w:cs="Arial"/>
          <w:sz w:val="20"/>
          <w:szCs w:val="20"/>
        </w:rPr>
        <w:t>102.484</w:t>
      </w:r>
      <w:r w:rsidRPr="000C432D">
        <w:rPr>
          <w:rFonts w:ascii="Arial" w:eastAsia="Arial" w:hAnsi="Arial" w:cs="Arial"/>
          <w:sz w:val="20"/>
          <w:szCs w:val="20"/>
        </w:rPr>
        <w:t xml:space="preserve"> millones de pesos por concepto de reservas presupuestales, equivalentes a un </w:t>
      </w:r>
      <w:r w:rsidR="000C432D" w:rsidRPr="000C432D">
        <w:rPr>
          <w:rFonts w:ascii="Arial" w:eastAsia="Arial" w:hAnsi="Arial" w:cs="Arial"/>
          <w:sz w:val="20"/>
          <w:szCs w:val="20"/>
        </w:rPr>
        <w:t>54,52</w:t>
      </w:r>
      <w:r w:rsidRPr="000C432D">
        <w:rPr>
          <w:rFonts w:ascii="Arial" w:eastAsia="Arial" w:hAnsi="Arial" w:cs="Arial"/>
          <w:sz w:val="20"/>
          <w:szCs w:val="20"/>
        </w:rPr>
        <w:t xml:space="preserve">% de ejecución total. </w:t>
      </w:r>
    </w:p>
    <w:p w14:paraId="55988B69" w14:textId="77777777" w:rsidR="00C02282" w:rsidRPr="006B2A9D" w:rsidRDefault="00C02282" w:rsidP="00C02282">
      <w:pPr>
        <w:jc w:val="both"/>
        <w:rPr>
          <w:b/>
        </w:rPr>
      </w:pPr>
      <w:r w:rsidRPr="006B2A9D">
        <w:rPr>
          <w:rFonts w:ascii="Arial" w:eastAsia="Arial" w:hAnsi="Arial" w:cs="Arial"/>
          <w:b/>
          <w:sz w:val="20"/>
          <w:szCs w:val="16"/>
        </w:rPr>
        <w:t xml:space="preserve"> Contenido Gráficas: </w:t>
      </w:r>
    </w:p>
    <w:p w14:paraId="2E125AB8" w14:textId="77777777" w:rsidR="00352A4D" w:rsidRDefault="00C02282">
      <w:pPr>
        <w:pStyle w:val="Tabladeilustraciones"/>
        <w:tabs>
          <w:tab w:val="right" w:leader="dot" w:pos="9394"/>
        </w:tabs>
        <w:rPr>
          <w:rFonts w:eastAsiaTheme="minorEastAsia"/>
          <w:noProof/>
          <w:lang w:val="es-ES" w:eastAsia="es-ES"/>
        </w:rPr>
      </w:pPr>
      <w:r w:rsidRPr="006B2A9D">
        <w:rPr>
          <w:rFonts w:asciiTheme="majorHAnsi" w:eastAsiaTheme="majorEastAsia" w:hAnsiTheme="majorHAnsi" w:cstheme="majorBidi"/>
          <w:color w:val="365F91" w:themeColor="accent1" w:themeShade="BF"/>
          <w:sz w:val="32"/>
          <w:szCs w:val="32"/>
          <w:lang w:val="es-ES" w:eastAsia="es-CO"/>
        </w:rPr>
        <w:fldChar w:fldCharType="begin"/>
      </w:r>
      <w:r w:rsidRPr="006B2A9D">
        <w:rPr>
          <w:rFonts w:asciiTheme="majorHAnsi" w:eastAsiaTheme="majorEastAsia" w:hAnsiTheme="majorHAnsi" w:cstheme="majorBidi"/>
          <w:color w:val="365F91" w:themeColor="accent1" w:themeShade="BF"/>
          <w:sz w:val="32"/>
          <w:szCs w:val="32"/>
          <w:lang w:val="es-ES" w:eastAsia="es-CO"/>
        </w:rPr>
        <w:instrText xml:space="preserve"> TOC \h \z \c "Gráfica" </w:instrText>
      </w:r>
      <w:r w:rsidRPr="006B2A9D">
        <w:rPr>
          <w:rFonts w:asciiTheme="majorHAnsi" w:eastAsiaTheme="majorEastAsia" w:hAnsiTheme="majorHAnsi" w:cstheme="majorBidi"/>
          <w:color w:val="365F91" w:themeColor="accent1" w:themeShade="BF"/>
          <w:sz w:val="32"/>
          <w:szCs w:val="32"/>
          <w:lang w:val="es-ES" w:eastAsia="es-CO"/>
        </w:rPr>
        <w:fldChar w:fldCharType="separate"/>
      </w:r>
      <w:hyperlink w:anchor="_Toc525652420" w:history="1">
        <w:r w:rsidR="00352A4D" w:rsidRPr="00781084">
          <w:rPr>
            <w:rStyle w:val="Hipervnculo"/>
            <w:noProof/>
          </w:rPr>
          <w:t>Gráfica 1 Fuentes De Financiación  - vigencia 2018 MME</w:t>
        </w:r>
        <w:r w:rsidR="00352A4D">
          <w:rPr>
            <w:noProof/>
            <w:webHidden/>
          </w:rPr>
          <w:tab/>
        </w:r>
        <w:r w:rsidR="00352A4D">
          <w:rPr>
            <w:noProof/>
            <w:webHidden/>
          </w:rPr>
          <w:fldChar w:fldCharType="begin"/>
        </w:r>
        <w:r w:rsidR="00352A4D">
          <w:rPr>
            <w:noProof/>
            <w:webHidden/>
          </w:rPr>
          <w:instrText xml:space="preserve"> PAGEREF _Toc525652420 \h </w:instrText>
        </w:r>
        <w:r w:rsidR="00352A4D">
          <w:rPr>
            <w:noProof/>
            <w:webHidden/>
          </w:rPr>
        </w:r>
        <w:r w:rsidR="00352A4D">
          <w:rPr>
            <w:noProof/>
            <w:webHidden/>
          </w:rPr>
          <w:fldChar w:fldCharType="separate"/>
        </w:r>
        <w:r w:rsidR="00352A4D">
          <w:rPr>
            <w:noProof/>
            <w:webHidden/>
          </w:rPr>
          <w:t>15</w:t>
        </w:r>
        <w:r w:rsidR="00352A4D">
          <w:rPr>
            <w:noProof/>
            <w:webHidden/>
          </w:rPr>
          <w:fldChar w:fldCharType="end"/>
        </w:r>
      </w:hyperlink>
    </w:p>
    <w:p w14:paraId="112F16D2" w14:textId="77777777" w:rsidR="00352A4D" w:rsidRDefault="008B5E15">
      <w:pPr>
        <w:pStyle w:val="Tabladeilustraciones"/>
        <w:tabs>
          <w:tab w:val="right" w:leader="dot" w:pos="9394"/>
        </w:tabs>
        <w:rPr>
          <w:rFonts w:eastAsiaTheme="minorEastAsia"/>
          <w:noProof/>
          <w:lang w:val="es-ES" w:eastAsia="es-ES"/>
        </w:rPr>
      </w:pPr>
      <w:hyperlink w:anchor="_Toc525652421" w:history="1">
        <w:r w:rsidR="00352A4D" w:rsidRPr="00781084">
          <w:rPr>
            <w:rStyle w:val="Hipervnculo"/>
            <w:noProof/>
          </w:rPr>
          <w:t>Gráfica 2 Asignación Presupuestal Vigencia 2018 Sector</w:t>
        </w:r>
        <w:r w:rsidR="00352A4D">
          <w:rPr>
            <w:noProof/>
            <w:webHidden/>
          </w:rPr>
          <w:tab/>
        </w:r>
        <w:r w:rsidR="00352A4D">
          <w:rPr>
            <w:noProof/>
            <w:webHidden/>
          </w:rPr>
          <w:fldChar w:fldCharType="begin"/>
        </w:r>
        <w:r w:rsidR="00352A4D">
          <w:rPr>
            <w:noProof/>
            <w:webHidden/>
          </w:rPr>
          <w:instrText xml:space="preserve"> PAGEREF _Toc525652421 \h </w:instrText>
        </w:r>
        <w:r w:rsidR="00352A4D">
          <w:rPr>
            <w:noProof/>
            <w:webHidden/>
          </w:rPr>
        </w:r>
        <w:r w:rsidR="00352A4D">
          <w:rPr>
            <w:noProof/>
            <w:webHidden/>
          </w:rPr>
          <w:fldChar w:fldCharType="separate"/>
        </w:r>
        <w:r w:rsidR="00352A4D">
          <w:rPr>
            <w:noProof/>
            <w:webHidden/>
          </w:rPr>
          <w:t>16</w:t>
        </w:r>
        <w:r w:rsidR="00352A4D">
          <w:rPr>
            <w:noProof/>
            <w:webHidden/>
          </w:rPr>
          <w:fldChar w:fldCharType="end"/>
        </w:r>
      </w:hyperlink>
    </w:p>
    <w:p w14:paraId="568B1ED3" w14:textId="77777777" w:rsidR="00352A4D" w:rsidRDefault="008B5E15">
      <w:pPr>
        <w:pStyle w:val="Tabladeilustraciones"/>
        <w:tabs>
          <w:tab w:val="right" w:leader="dot" w:pos="9394"/>
        </w:tabs>
        <w:rPr>
          <w:rFonts w:eastAsiaTheme="minorEastAsia"/>
          <w:noProof/>
          <w:lang w:val="es-ES" w:eastAsia="es-ES"/>
        </w:rPr>
      </w:pPr>
      <w:hyperlink w:anchor="_Toc525652422" w:history="1">
        <w:r w:rsidR="00352A4D" w:rsidRPr="00781084">
          <w:rPr>
            <w:rStyle w:val="Hipervnculo"/>
            <w:noProof/>
          </w:rPr>
          <w:t>Gráfica 6 Distribución de Cargos por Niveles de la Administración MME</w:t>
        </w:r>
        <w:r w:rsidR="00352A4D">
          <w:rPr>
            <w:noProof/>
            <w:webHidden/>
          </w:rPr>
          <w:tab/>
        </w:r>
        <w:r w:rsidR="00352A4D">
          <w:rPr>
            <w:noProof/>
            <w:webHidden/>
          </w:rPr>
          <w:fldChar w:fldCharType="begin"/>
        </w:r>
        <w:r w:rsidR="00352A4D">
          <w:rPr>
            <w:noProof/>
            <w:webHidden/>
          </w:rPr>
          <w:instrText xml:space="preserve"> PAGEREF _Toc525652422 \h </w:instrText>
        </w:r>
        <w:r w:rsidR="00352A4D">
          <w:rPr>
            <w:noProof/>
            <w:webHidden/>
          </w:rPr>
        </w:r>
        <w:r w:rsidR="00352A4D">
          <w:rPr>
            <w:noProof/>
            <w:webHidden/>
          </w:rPr>
          <w:fldChar w:fldCharType="separate"/>
        </w:r>
        <w:r w:rsidR="00352A4D">
          <w:rPr>
            <w:noProof/>
            <w:webHidden/>
          </w:rPr>
          <w:t>25</w:t>
        </w:r>
        <w:r w:rsidR="00352A4D">
          <w:rPr>
            <w:noProof/>
            <w:webHidden/>
          </w:rPr>
          <w:fldChar w:fldCharType="end"/>
        </w:r>
      </w:hyperlink>
    </w:p>
    <w:p w14:paraId="322A68C2" w14:textId="77777777" w:rsidR="00352A4D" w:rsidRDefault="008B5E15">
      <w:pPr>
        <w:pStyle w:val="Tabladeilustraciones"/>
        <w:tabs>
          <w:tab w:val="right" w:leader="dot" w:pos="9394"/>
        </w:tabs>
        <w:rPr>
          <w:rFonts w:eastAsiaTheme="minorEastAsia"/>
          <w:noProof/>
          <w:lang w:val="es-ES" w:eastAsia="es-ES"/>
        </w:rPr>
      </w:pPr>
      <w:hyperlink w:anchor="_Toc525652423" w:history="1">
        <w:r w:rsidR="00352A4D" w:rsidRPr="00781084">
          <w:rPr>
            <w:rStyle w:val="Hipervnculo"/>
            <w:noProof/>
          </w:rPr>
          <w:t>Gráfica 7 Ejecución desagregada de Gastos de Personal – Unidad Gestión General</w:t>
        </w:r>
        <w:r w:rsidR="00352A4D">
          <w:rPr>
            <w:noProof/>
            <w:webHidden/>
          </w:rPr>
          <w:tab/>
        </w:r>
        <w:r w:rsidR="00352A4D">
          <w:rPr>
            <w:noProof/>
            <w:webHidden/>
          </w:rPr>
          <w:fldChar w:fldCharType="begin"/>
        </w:r>
        <w:r w:rsidR="00352A4D">
          <w:rPr>
            <w:noProof/>
            <w:webHidden/>
          </w:rPr>
          <w:instrText xml:space="preserve"> PAGEREF _Toc525652423 \h </w:instrText>
        </w:r>
        <w:r w:rsidR="00352A4D">
          <w:rPr>
            <w:noProof/>
            <w:webHidden/>
          </w:rPr>
        </w:r>
        <w:r w:rsidR="00352A4D">
          <w:rPr>
            <w:noProof/>
            <w:webHidden/>
          </w:rPr>
          <w:fldChar w:fldCharType="separate"/>
        </w:r>
        <w:r w:rsidR="00352A4D">
          <w:rPr>
            <w:noProof/>
            <w:webHidden/>
          </w:rPr>
          <w:t>25</w:t>
        </w:r>
        <w:r w:rsidR="00352A4D">
          <w:rPr>
            <w:noProof/>
            <w:webHidden/>
          </w:rPr>
          <w:fldChar w:fldCharType="end"/>
        </w:r>
      </w:hyperlink>
    </w:p>
    <w:p w14:paraId="2001A7BB" w14:textId="21AFE486" w:rsidR="00352A4D" w:rsidRDefault="008B5E15">
      <w:pPr>
        <w:pStyle w:val="Tabladeilustraciones"/>
        <w:tabs>
          <w:tab w:val="right" w:leader="dot" w:pos="9394"/>
        </w:tabs>
        <w:rPr>
          <w:rFonts w:eastAsiaTheme="minorEastAsia"/>
          <w:noProof/>
          <w:lang w:val="es-ES" w:eastAsia="es-ES"/>
        </w:rPr>
      </w:pPr>
      <w:hyperlink w:anchor="_Toc525652424" w:history="1">
        <w:r w:rsidR="00352A4D" w:rsidRPr="00781084">
          <w:rPr>
            <w:rStyle w:val="Hipervnculo"/>
            <w:noProof/>
          </w:rPr>
          <w:t>Gráfica 10  Ejecución Transferencias Corrientes MME</w:t>
        </w:r>
        <w:r w:rsidR="00352A4D">
          <w:rPr>
            <w:noProof/>
            <w:webHidden/>
          </w:rPr>
          <w:tab/>
        </w:r>
        <w:r w:rsidR="00352A4D">
          <w:rPr>
            <w:noProof/>
            <w:webHidden/>
          </w:rPr>
          <w:fldChar w:fldCharType="begin"/>
        </w:r>
        <w:r w:rsidR="00352A4D">
          <w:rPr>
            <w:noProof/>
            <w:webHidden/>
          </w:rPr>
          <w:instrText xml:space="preserve"> PAGEREF _Toc525652424 \h </w:instrText>
        </w:r>
        <w:r w:rsidR="00352A4D">
          <w:rPr>
            <w:noProof/>
            <w:webHidden/>
          </w:rPr>
        </w:r>
        <w:r w:rsidR="00352A4D">
          <w:rPr>
            <w:noProof/>
            <w:webHidden/>
          </w:rPr>
          <w:fldChar w:fldCharType="separate"/>
        </w:r>
        <w:r w:rsidR="00352A4D">
          <w:rPr>
            <w:noProof/>
            <w:webHidden/>
          </w:rPr>
          <w:t>28</w:t>
        </w:r>
        <w:r w:rsidR="00352A4D">
          <w:rPr>
            <w:noProof/>
            <w:webHidden/>
          </w:rPr>
          <w:fldChar w:fldCharType="end"/>
        </w:r>
      </w:hyperlink>
    </w:p>
    <w:p w14:paraId="7A8C6ED2" w14:textId="77777777" w:rsidR="00352A4D" w:rsidRDefault="008B5E15">
      <w:pPr>
        <w:pStyle w:val="Tabladeilustraciones"/>
        <w:tabs>
          <w:tab w:val="right" w:leader="dot" w:pos="9394"/>
        </w:tabs>
        <w:rPr>
          <w:rFonts w:eastAsiaTheme="minorEastAsia"/>
          <w:noProof/>
          <w:lang w:val="es-ES" w:eastAsia="es-ES"/>
        </w:rPr>
      </w:pPr>
      <w:hyperlink w:anchor="_Toc525652425" w:history="1">
        <w:r w:rsidR="00352A4D" w:rsidRPr="00781084">
          <w:rPr>
            <w:rStyle w:val="Hipervnculo"/>
            <w:noProof/>
          </w:rPr>
          <w:t>Gráfica 12 Distribución Presupuesto de la entidad - vigencia 2018 IPSE</w:t>
        </w:r>
        <w:r w:rsidR="00352A4D">
          <w:rPr>
            <w:noProof/>
            <w:webHidden/>
          </w:rPr>
          <w:tab/>
        </w:r>
        <w:r w:rsidR="00352A4D">
          <w:rPr>
            <w:noProof/>
            <w:webHidden/>
          </w:rPr>
          <w:fldChar w:fldCharType="begin"/>
        </w:r>
        <w:r w:rsidR="00352A4D">
          <w:rPr>
            <w:noProof/>
            <w:webHidden/>
          </w:rPr>
          <w:instrText xml:space="preserve"> PAGEREF _Toc525652425 \h </w:instrText>
        </w:r>
        <w:r w:rsidR="00352A4D">
          <w:rPr>
            <w:noProof/>
            <w:webHidden/>
          </w:rPr>
        </w:r>
        <w:r w:rsidR="00352A4D">
          <w:rPr>
            <w:noProof/>
            <w:webHidden/>
          </w:rPr>
          <w:fldChar w:fldCharType="separate"/>
        </w:r>
        <w:r w:rsidR="00352A4D">
          <w:rPr>
            <w:noProof/>
            <w:webHidden/>
          </w:rPr>
          <w:t>65</w:t>
        </w:r>
        <w:r w:rsidR="00352A4D">
          <w:rPr>
            <w:noProof/>
            <w:webHidden/>
          </w:rPr>
          <w:fldChar w:fldCharType="end"/>
        </w:r>
      </w:hyperlink>
    </w:p>
    <w:p w14:paraId="78846FD6" w14:textId="77777777" w:rsidR="00352A4D" w:rsidRDefault="008B5E15">
      <w:pPr>
        <w:pStyle w:val="Tabladeilustraciones"/>
        <w:tabs>
          <w:tab w:val="right" w:leader="dot" w:pos="9394"/>
        </w:tabs>
        <w:rPr>
          <w:rFonts w:eastAsiaTheme="minorEastAsia"/>
          <w:noProof/>
          <w:lang w:val="es-ES" w:eastAsia="es-ES"/>
        </w:rPr>
      </w:pPr>
      <w:hyperlink w:anchor="_Toc525652426" w:history="1">
        <w:r w:rsidR="00352A4D" w:rsidRPr="00781084">
          <w:rPr>
            <w:rStyle w:val="Hipervnculo"/>
            <w:noProof/>
          </w:rPr>
          <w:t>Gráfica 13Distribución Presupuesto de la ANH - vigencia 2018</w:t>
        </w:r>
        <w:r w:rsidR="00352A4D">
          <w:rPr>
            <w:noProof/>
            <w:webHidden/>
          </w:rPr>
          <w:tab/>
        </w:r>
        <w:r w:rsidR="00352A4D">
          <w:rPr>
            <w:noProof/>
            <w:webHidden/>
          </w:rPr>
          <w:fldChar w:fldCharType="begin"/>
        </w:r>
        <w:r w:rsidR="00352A4D">
          <w:rPr>
            <w:noProof/>
            <w:webHidden/>
          </w:rPr>
          <w:instrText xml:space="preserve"> PAGEREF _Toc525652426 \h </w:instrText>
        </w:r>
        <w:r w:rsidR="00352A4D">
          <w:rPr>
            <w:noProof/>
            <w:webHidden/>
          </w:rPr>
        </w:r>
        <w:r w:rsidR="00352A4D">
          <w:rPr>
            <w:noProof/>
            <w:webHidden/>
          </w:rPr>
          <w:fldChar w:fldCharType="separate"/>
        </w:r>
        <w:r w:rsidR="00352A4D">
          <w:rPr>
            <w:noProof/>
            <w:webHidden/>
          </w:rPr>
          <w:t>74</w:t>
        </w:r>
        <w:r w:rsidR="00352A4D">
          <w:rPr>
            <w:noProof/>
            <w:webHidden/>
          </w:rPr>
          <w:fldChar w:fldCharType="end"/>
        </w:r>
      </w:hyperlink>
    </w:p>
    <w:p w14:paraId="0BC36732" w14:textId="77777777" w:rsidR="00352A4D" w:rsidRDefault="008B5E15">
      <w:pPr>
        <w:pStyle w:val="Tabladeilustraciones"/>
        <w:tabs>
          <w:tab w:val="right" w:leader="dot" w:pos="9394"/>
        </w:tabs>
        <w:rPr>
          <w:rFonts w:eastAsiaTheme="minorEastAsia"/>
          <w:noProof/>
          <w:lang w:val="es-ES" w:eastAsia="es-ES"/>
        </w:rPr>
      </w:pPr>
      <w:hyperlink w:anchor="_Toc525652427" w:history="1">
        <w:r w:rsidR="00352A4D" w:rsidRPr="00781084">
          <w:rPr>
            <w:rStyle w:val="Hipervnculo"/>
            <w:noProof/>
          </w:rPr>
          <w:t>Gráfica 14Numero de Cargos a 30 de junio  de 2018 ANH</w:t>
        </w:r>
        <w:r w:rsidR="00352A4D">
          <w:rPr>
            <w:noProof/>
            <w:webHidden/>
          </w:rPr>
          <w:tab/>
        </w:r>
        <w:r w:rsidR="00352A4D">
          <w:rPr>
            <w:noProof/>
            <w:webHidden/>
          </w:rPr>
          <w:fldChar w:fldCharType="begin"/>
        </w:r>
        <w:r w:rsidR="00352A4D">
          <w:rPr>
            <w:noProof/>
            <w:webHidden/>
          </w:rPr>
          <w:instrText xml:space="preserve"> PAGEREF _Toc525652427 \h </w:instrText>
        </w:r>
        <w:r w:rsidR="00352A4D">
          <w:rPr>
            <w:noProof/>
            <w:webHidden/>
          </w:rPr>
        </w:r>
        <w:r w:rsidR="00352A4D">
          <w:rPr>
            <w:noProof/>
            <w:webHidden/>
          </w:rPr>
          <w:fldChar w:fldCharType="separate"/>
        </w:r>
        <w:r w:rsidR="00352A4D">
          <w:rPr>
            <w:noProof/>
            <w:webHidden/>
          </w:rPr>
          <w:t>83</w:t>
        </w:r>
        <w:r w:rsidR="00352A4D">
          <w:rPr>
            <w:noProof/>
            <w:webHidden/>
          </w:rPr>
          <w:fldChar w:fldCharType="end"/>
        </w:r>
      </w:hyperlink>
    </w:p>
    <w:p w14:paraId="625AA5C7" w14:textId="77777777" w:rsidR="00352A4D" w:rsidRDefault="008B5E15">
      <w:pPr>
        <w:pStyle w:val="Tabladeilustraciones"/>
        <w:tabs>
          <w:tab w:val="right" w:leader="dot" w:pos="9394"/>
        </w:tabs>
        <w:rPr>
          <w:rFonts w:eastAsiaTheme="minorEastAsia"/>
          <w:noProof/>
          <w:lang w:val="es-ES" w:eastAsia="es-ES"/>
        </w:rPr>
      </w:pPr>
      <w:hyperlink w:anchor="_Toc525652428" w:history="1">
        <w:r w:rsidR="00352A4D" w:rsidRPr="00781084">
          <w:rPr>
            <w:rStyle w:val="Hipervnculo"/>
            <w:noProof/>
          </w:rPr>
          <w:t>Gráfica 15 Ejecución Gastos de Comercialización – Seguimiento Contratos de Exploración  ANH</w:t>
        </w:r>
        <w:r w:rsidR="00352A4D">
          <w:rPr>
            <w:noProof/>
            <w:webHidden/>
          </w:rPr>
          <w:tab/>
        </w:r>
        <w:r w:rsidR="00352A4D">
          <w:rPr>
            <w:noProof/>
            <w:webHidden/>
          </w:rPr>
          <w:fldChar w:fldCharType="begin"/>
        </w:r>
        <w:r w:rsidR="00352A4D">
          <w:rPr>
            <w:noProof/>
            <w:webHidden/>
          </w:rPr>
          <w:instrText xml:space="preserve"> PAGEREF _Toc525652428 \h </w:instrText>
        </w:r>
        <w:r w:rsidR="00352A4D">
          <w:rPr>
            <w:noProof/>
            <w:webHidden/>
          </w:rPr>
        </w:r>
        <w:r w:rsidR="00352A4D">
          <w:rPr>
            <w:noProof/>
            <w:webHidden/>
          </w:rPr>
          <w:fldChar w:fldCharType="separate"/>
        </w:r>
        <w:r w:rsidR="00352A4D">
          <w:rPr>
            <w:noProof/>
            <w:webHidden/>
          </w:rPr>
          <w:t>108</w:t>
        </w:r>
        <w:r w:rsidR="00352A4D">
          <w:rPr>
            <w:noProof/>
            <w:webHidden/>
          </w:rPr>
          <w:fldChar w:fldCharType="end"/>
        </w:r>
      </w:hyperlink>
    </w:p>
    <w:p w14:paraId="4A96C179" w14:textId="77777777" w:rsidR="00352A4D" w:rsidRDefault="008B5E15">
      <w:pPr>
        <w:pStyle w:val="Tabladeilustraciones"/>
        <w:tabs>
          <w:tab w:val="right" w:leader="dot" w:pos="9394"/>
        </w:tabs>
        <w:rPr>
          <w:rFonts w:eastAsiaTheme="minorEastAsia"/>
          <w:noProof/>
          <w:lang w:val="es-ES" w:eastAsia="es-ES"/>
        </w:rPr>
      </w:pPr>
      <w:hyperlink w:anchor="_Toc525652429" w:history="1">
        <w:r w:rsidR="00352A4D" w:rsidRPr="00781084">
          <w:rPr>
            <w:rStyle w:val="Hipervnculo"/>
            <w:noProof/>
          </w:rPr>
          <w:t>Gráfica 16 Ejecución Gastos de Comercialización – Seguimiento Contratos de Exploración  ANH</w:t>
        </w:r>
        <w:r w:rsidR="00352A4D">
          <w:rPr>
            <w:noProof/>
            <w:webHidden/>
          </w:rPr>
          <w:tab/>
        </w:r>
        <w:r w:rsidR="00352A4D">
          <w:rPr>
            <w:noProof/>
            <w:webHidden/>
          </w:rPr>
          <w:fldChar w:fldCharType="begin"/>
        </w:r>
        <w:r w:rsidR="00352A4D">
          <w:rPr>
            <w:noProof/>
            <w:webHidden/>
          </w:rPr>
          <w:instrText xml:space="preserve"> PAGEREF _Toc525652429 \h </w:instrText>
        </w:r>
        <w:r w:rsidR="00352A4D">
          <w:rPr>
            <w:noProof/>
            <w:webHidden/>
          </w:rPr>
        </w:r>
        <w:r w:rsidR="00352A4D">
          <w:rPr>
            <w:noProof/>
            <w:webHidden/>
          </w:rPr>
          <w:fldChar w:fldCharType="separate"/>
        </w:r>
        <w:r w:rsidR="00352A4D">
          <w:rPr>
            <w:noProof/>
            <w:webHidden/>
          </w:rPr>
          <w:t>110</w:t>
        </w:r>
        <w:r w:rsidR="00352A4D">
          <w:rPr>
            <w:noProof/>
            <w:webHidden/>
          </w:rPr>
          <w:fldChar w:fldCharType="end"/>
        </w:r>
      </w:hyperlink>
    </w:p>
    <w:p w14:paraId="1489144E" w14:textId="77777777" w:rsidR="00352A4D" w:rsidRDefault="008B5E15">
      <w:pPr>
        <w:pStyle w:val="Tabladeilustraciones"/>
        <w:tabs>
          <w:tab w:val="right" w:leader="dot" w:pos="9394"/>
        </w:tabs>
        <w:rPr>
          <w:rFonts w:eastAsiaTheme="minorEastAsia"/>
          <w:noProof/>
          <w:lang w:val="es-ES" w:eastAsia="es-ES"/>
        </w:rPr>
      </w:pPr>
      <w:hyperlink w:anchor="_Toc525652430" w:history="1">
        <w:r w:rsidR="00352A4D" w:rsidRPr="00781084">
          <w:rPr>
            <w:rStyle w:val="Hipervnculo"/>
            <w:noProof/>
          </w:rPr>
          <w:t>Gráfica 17 Ejecución Gastos de Comercialización – Seguridad, Comunidades y Medio Ambiente  ANH</w:t>
        </w:r>
        <w:r w:rsidR="00352A4D">
          <w:rPr>
            <w:noProof/>
            <w:webHidden/>
          </w:rPr>
          <w:tab/>
        </w:r>
        <w:r w:rsidR="00352A4D">
          <w:rPr>
            <w:noProof/>
            <w:webHidden/>
          </w:rPr>
          <w:fldChar w:fldCharType="begin"/>
        </w:r>
        <w:r w:rsidR="00352A4D">
          <w:rPr>
            <w:noProof/>
            <w:webHidden/>
          </w:rPr>
          <w:instrText xml:space="preserve"> PAGEREF _Toc525652430 \h </w:instrText>
        </w:r>
        <w:r w:rsidR="00352A4D">
          <w:rPr>
            <w:noProof/>
            <w:webHidden/>
          </w:rPr>
        </w:r>
        <w:r w:rsidR="00352A4D">
          <w:rPr>
            <w:noProof/>
            <w:webHidden/>
          </w:rPr>
          <w:fldChar w:fldCharType="separate"/>
        </w:r>
        <w:r w:rsidR="00352A4D">
          <w:rPr>
            <w:noProof/>
            <w:webHidden/>
          </w:rPr>
          <w:t>113</w:t>
        </w:r>
        <w:r w:rsidR="00352A4D">
          <w:rPr>
            <w:noProof/>
            <w:webHidden/>
          </w:rPr>
          <w:fldChar w:fldCharType="end"/>
        </w:r>
      </w:hyperlink>
    </w:p>
    <w:p w14:paraId="69DCA38A" w14:textId="77777777" w:rsidR="00352A4D" w:rsidRDefault="008B5E15">
      <w:pPr>
        <w:pStyle w:val="Tabladeilustraciones"/>
        <w:tabs>
          <w:tab w:val="right" w:leader="dot" w:pos="9394"/>
        </w:tabs>
        <w:rPr>
          <w:rFonts w:eastAsiaTheme="minorEastAsia"/>
          <w:noProof/>
          <w:lang w:val="es-ES" w:eastAsia="es-ES"/>
        </w:rPr>
      </w:pPr>
      <w:hyperlink w:anchor="_Toc525652431" w:history="1">
        <w:r w:rsidR="00352A4D" w:rsidRPr="00781084">
          <w:rPr>
            <w:rStyle w:val="Hipervnculo"/>
            <w:noProof/>
          </w:rPr>
          <w:t>Gráfica 18 Distribución Presupuesto de la entidad - vigencia 2018 SGC</w:t>
        </w:r>
        <w:r w:rsidR="00352A4D">
          <w:rPr>
            <w:noProof/>
            <w:webHidden/>
          </w:rPr>
          <w:tab/>
        </w:r>
        <w:r w:rsidR="00352A4D">
          <w:rPr>
            <w:noProof/>
            <w:webHidden/>
          </w:rPr>
          <w:fldChar w:fldCharType="begin"/>
        </w:r>
        <w:r w:rsidR="00352A4D">
          <w:rPr>
            <w:noProof/>
            <w:webHidden/>
          </w:rPr>
          <w:instrText xml:space="preserve"> PAGEREF _Toc525652431 \h </w:instrText>
        </w:r>
        <w:r w:rsidR="00352A4D">
          <w:rPr>
            <w:noProof/>
            <w:webHidden/>
          </w:rPr>
        </w:r>
        <w:r w:rsidR="00352A4D">
          <w:rPr>
            <w:noProof/>
            <w:webHidden/>
          </w:rPr>
          <w:fldChar w:fldCharType="separate"/>
        </w:r>
        <w:r w:rsidR="00352A4D">
          <w:rPr>
            <w:noProof/>
            <w:webHidden/>
          </w:rPr>
          <w:t>130</w:t>
        </w:r>
        <w:r w:rsidR="00352A4D">
          <w:rPr>
            <w:noProof/>
            <w:webHidden/>
          </w:rPr>
          <w:fldChar w:fldCharType="end"/>
        </w:r>
      </w:hyperlink>
    </w:p>
    <w:p w14:paraId="507ACF9B" w14:textId="77777777" w:rsidR="00352A4D" w:rsidRDefault="008B5E15">
      <w:pPr>
        <w:pStyle w:val="Tabladeilustraciones"/>
        <w:tabs>
          <w:tab w:val="right" w:leader="dot" w:pos="9394"/>
        </w:tabs>
        <w:rPr>
          <w:rFonts w:eastAsiaTheme="minorEastAsia"/>
          <w:noProof/>
          <w:lang w:val="es-ES" w:eastAsia="es-ES"/>
        </w:rPr>
      </w:pPr>
      <w:hyperlink w:anchor="_Toc525652432" w:history="1">
        <w:r w:rsidR="00352A4D" w:rsidRPr="00781084">
          <w:rPr>
            <w:rStyle w:val="Hipervnculo"/>
            <w:noProof/>
          </w:rPr>
          <w:t>Gráfica 19 Distribución Presupuesto de la entidad - vigencia 2018 ANM</w:t>
        </w:r>
        <w:r w:rsidR="00352A4D">
          <w:rPr>
            <w:noProof/>
            <w:webHidden/>
          </w:rPr>
          <w:tab/>
        </w:r>
        <w:r w:rsidR="00352A4D">
          <w:rPr>
            <w:noProof/>
            <w:webHidden/>
          </w:rPr>
          <w:fldChar w:fldCharType="begin"/>
        </w:r>
        <w:r w:rsidR="00352A4D">
          <w:rPr>
            <w:noProof/>
            <w:webHidden/>
          </w:rPr>
          <w:instrText xml:space="preserve"> PAGEREF _Toc525652432 \h </w:instrText>
        </w:r>
        <w:r w:rsidR="00352A4D">
          <w:rPr>
            <w:noProof/>
            <w:webHidden/>
          </w:rPr>
        </w:r>
        <w:r w:rsidR="00352A4D">
          <w:rPr>
            <w:noProof/>
            <w:webHidden/>
          </w:rPr>
          <w:fldChar w:fldCharType="separate"/>
        </w:r>
        <w:r w:rsidR="00352A4D">
          <w:rPr>
            <w:noProof/>
            <w:webHidden/>
          </w:rPr>
          <w:t>141</w:t>
        </w:r>
        <w:r w:rsidR="00352A4D">
          <w:rPr>
            <w:noProof/>
            <w:webHidden/>
          </w:rPr>
          <w:fldChar w:fldCharType="end"/>
        </w:r>
      </w:hyperlink>
    </w:p>
    <w:p w14:paraId="127B4B6C" w14:textId="77777777" w:rsidR="00352A4D" w:rsidRDefault="008B5E15">
      <w:pPr>
        <w:pStyle w:val="Tabladeilustraciones"/>
        <w:tabs>
          <w:tab w:val="right" w:leader="dot" w:pos="9394"/>
        </w:tabs>
        <w:rPr>
          <w:rFonts w:eastAsiaTheme="minorEastAsia"/>
          <w:noProof/>
          <w:lang w:val="es-ES" w:eastAsia="es-ES"/>
        </w:rPr>
      </w:pPr>
      <w:hyperlink w:anchor="_Toc525652433" w:history="1">
        <w:r w:rsidR="00352A4D" w:rsidRPr="00781084">
          <w:rPr>
            <w:rStyle w:val="Hipervnculo"/>
            <w:noProof/>
          </w:rPr>
          <w:t>Gráfica 20 Distribución Presupuesto de la entidad - vigencia 2018</w:t>
        </w:r>
        <w:r w:rsidR="00352A4D">
          <w:rPr>
            <w:noProof/>
            <w:webHidden/>
          </w:rPr>
          <w:tab/>
        </w:r>
        <w:r w:rsidR="00352A4D">
          <w:rPr>
            <w:noProof/>
            <w:webHidden/>
          </w:rPr>
          <w:fldChar w:fldCharType="begin"/>
        </w:r>
        <w:r w:rsidR="00352A4D">
          <w:rPr>
            <w:noProof/>
            <w:webHidden/>
          </w:rPr>
          <w:instrText xml:space="preserve"> PAGEREF _Toc525652433 \h </w:instrText>
        </w:r>
        <w:r w:rsidR="00352A4D">
          <w:rPr>
            <w:noProof/>
            <w:webHidden/>
          </w:rPr>
        </w:r>
        <w:r w:rsidR="00352A4D">
          <w:rPr>
            <w:noProof/>
            <w:webHidden/>
          </w:rPr>
          <w:fldChar w:fldCharType="separate"/>
        </w:r>
        <w:r w:rsidR="00352A4D">
          <w:rPr>
            <w:noProof/>
            <w:webHidden/>
          </w:rPr>
          <w:t>152</w:t>
        </w:r>
        <w:r w:rsidR="00352A4D">
          <w:rPr>
            <w:noProof/>
            <w:webHidden/>
          </w:rPr>
          <w:fldChar w:fldCharType="end"/>
        </w:r>
      </w:hyperlink>
    </w:p>
    <w:p w14:paraId="1F09271B" w14:textId="77777777" w:rsidR="00352A4D" w:rsidRDefault="008B5E15">
      <w:pPr>
        <w:pStyle w:val="Tabladeilustraciones"/>
        <w:tabs>
          <w:tab w:val="right" w:leader="dot" w:pos="9394"/>
        </w:tabs>
        <w:rPr>
          <w:rFonts w:eastAsiaTheme="minorEastAsia"/>
          <w:noProof/>
          <w:lang w:val="es-ES" w:eastAsia="es-ES"/>
        </w:rPr>
      </w:pPr>
      <w:hyperlink w:anchor="_Toc525652434" w:history="1">
        <w:r w:rsidR="00352A4D" w:rsidRPr="00781084">
          <w:rPr>
            <w:rStyle w:val="Hipervnculo"/>
            <w:noProof/>
          </w:rPr>
          <w:t>Gráfica 21 Consolidado rentas (SSF y CSF) recaudadas a 30 de junio de  2018  CREG</w:t>
        </w:r>
        <w:r w:rsidR="00352A4D">
          <w:rPr>
            <w:noProof/>
            <w:webHidden/>
          </w:rPr>
          <w:tab/>
        </w:r>
        <w:r w:rsidR="00352A4D">
          <w:rPr>
            <w:noProof/>
            <w:webHidden/>
          </w:rPr>
          <w:fldChar w:fldCharType="begin"/>
        </w:r>
        <w:r w:rsidR="00352A4D">
          <w:rPr>
            <w:noProof/>
            <w:webHidden/>
          </w:rPr>
          <w:instrText xml:space="preserve"> PAGEREF _Toc525652434 \h </w:instrText>
        </w:r>
        <w:r w:rsidR="00352A4D">
          <w:rPr>
            <w:noProof/>
            <w:webHidden/>
          </w:rPr>
        </w:r>
        <w:r w:rsidR="00352A4D">
          <w:rPr>
            <w:noProof/>
            <w:webHidden/>
          </w:rPr>
          <w:fldChar w:fldCharType="separate"/>
        </w:r>
        <w:r w:rsidR="00352A4D">
          <w:rPr>
            <w:noProof/>
            <w:webHidden/>
          </w:rPr>
          <w:t>155</w:t>
        </w:r>
        <w:r w:rsidR="00352A4D">
          <w:rPr>
            <w:noProof/>
            <w:webHidden/>
          </w:rPr>
          <w:fldChar w:fldCharType="end"/>
        </w:r>
      </w:hyperlink>
    </w:p>
    <w:p w14:paraId="3D2E0B7A" w14:textId="77777777" w:rsidR="00352A4D" w:rsidRDefault="008B5E15">
      <w:pPr>
        <w:pStyle w:val="Tabladeilustraciones"/>
        <w:tabs>
          <w:tab w:val="right" w:leader="dot" w:pos="9394"/>
        </w:tabs>
        <w:rPr>
          <w:rFonts w:eastAsiaTheme="minorEastAsia"/>
          <w:noProof/>
          <w:lang w:val="es-ES" w:eastAsia="es-ES"/>
        </w:rPr>
      </w:pPr>
      <w:hyperlink w:anchor="_Toc525652435" w:history="1">
        <w:r w:rsidR="00352A4D" w:rsidRPr="00781084">
          <w:rPr>
            <w:rStyle w:val="Hipervnculo"/>
            <w:noProof/>
          </w:rPr>
          <w:t>Gráfica 22Consolidado rentas 30 de junio de  2018 CREG</w:t>
        </w:r>
        <w:r w:rsidR="00352A4D">
          <w:rPr>
            <w:noProof/>
            <w:webHidden/>
          </w:rPr>
          <w:tab/>
        </w:r>
        <w:r w:rsidR="00352A4D">
          <w:rPr>
            <w:noProof/>
            <w:webHidden/>
          </w:rPr>
          <w:fldChar w:fldCharType="begin"/>
        </w:r>
        <w:r w:rsidR="00352A4D">
          <w:rPr>
            <w:noProof/>
            <w:webHidden/>
          </w:rPr>
          <w:instrText xml:space="preserve"> PAGEREF _Toc525652435 \h </w:instrText>
        </w:r>
        <w:r w:rsidR="00352A4D">
          <w:rPr>
            <w:noProof/>
            <w:webHidden/>
          </w:rPr>
        </w:r>
        <w:r w:rsidR="00352A4D">
          <w:rPr>
            <w:noProof/>
            <w:webHidden/>
          </w:rPr>
          <w:fldChar w:fldCharType="separate"/>
        </w:r>
        <w:r w:rsidR="00352A4D">
          <w:rPr>
            <w:noProof/>
            <w:webHidden/>
          </w:rPr>
          <w:t>155</w:t>
        </w:r>
        <w:r w:rsidR="00352A4D">
          <w:rPr>
            <w:noProof/>
            <w:webHidden/>
          </w:rPr>
          <w:fldChar w:fldCharType="end"/>
        </w:r>
      </w:hyperlink>
    </w:p>
    <w:p w14:paraId="2A7B2AE7" w14:textId="77777777" w:rsidR="00352A4D" w:rsidRDefault="008B5E15">
      <w:pPr>
        <w:pStyle w:val="Tabladeilustraciones"/>
        <w:tabs>
          <w:tab w:val="right" w:leader="dot" w:pos="9394"/>
        </w:tabs>
        <w:rPr>
          <w:rFonts w:eastAsiaTheme="minorEastAsia"/>
          <w:noProof/>
          <w:lang w:val="es-ES" w:eastAsia="es-ES"/>
        </w:rPr>
      </w:pPr>
      <w:hyperlink w:anchor="_Toc525652436" w:history="1">
        <w:r w:rsidR="00352A4D" w:rsidRPr="00781084">
          <w:rPr>
            <w:rStyle w:val="Hipervnculo"/>
            <w:noProof/>
          </w:rPr>
          <w:t>Gráfica 23Recaudo de rentas CSF a 30 de junio de  2018 - CREG</w:t>
        </w:r>
        <w:r w:rsidR="00352A4D">
          <w:rPr>
            <w:noProof/>
            <w:webHidden/>
          </w:rPr>
          <w:tab/>
        </w:r>
        <w:r w:rsidR="00352A4D">
          <w:rPr>
            <w:noProof/>
            <w:webHidden/>
          </w:rPr>
          <w:fldChar w:fldCharType="begin"/>
        </w:r>
        <w:r w:rsidR="00352A4D">
          <w:rPr>
            <w:noProof/>
            <w:webHidden/>
          </w:rPr>
          <w:instrText xml:space="preserve"> PAGEREF _Toc525652436 \h </w:instrText>
        </w:r>
        <w:r w:rsidR="00352A4D">
          <w:rPr>
            <w:noProof/>
            <w:webHidden/>
          </w:rPr>
        </w:r>
        <w:r w:rsidR="00352A4D">
          <w:rPr>
            <w:noProof/>
            <w:webHidden/>
          </w:rPr>
          <w:fldChar w:fldCharType="separate"/>
        </w:r>
        <w:r w:rsidR="00352A4D">
          <w:rPr>
            <w:noProof/>
            <w:webHidden/>
          </w:rPr>
          <w:t>156</w:t>
        </w:r>
        <w:r w:rsidR="00352A4D">
          <w:rPr>
            <w:noProof/>
            <w:webHidden/>
          </w:rPr>
          <w:fldChar w:fldCharType="end"/>
        </w:r>
      </w:hyperlink>
    </w:p>
    <w:p w14:paraId="5229A2C1" w14:textId="77777777" w:rsidR="00352A4D" w:rsidRDefault="008B5E15">
      <w:pPr>
        <w:pStyle w:val="Tabladeilustraciones"/>
        <w:tabs>
          <w:tab w:val="right" w:leader="dot" w:pos="9394"/>
        </w:tabs>
        <w:rPr>
          <w:rFonts w:eastAsiaTheme="minorEastAsia"/>
          <w:noProof/>
          <w:lang w:val="es-ES" w:eastAsia="es-ES"/>
        </w:rPr>
      </w:pPr>
      <w:hyperlink w:anchor="_Toc525652437" w:history="1">
        <w:r w:rsidR="00352A4D" w:rsidRPr="00781084">
          <w:rPr>
            <w:rStyle w:val="Hipervnculo"/>
            <w:noProof/>
          </w:rPr>
          <w:t>Gráfica 24 Recaudo de rentas SSF a 30 de junio de  2018 CREG</w:t>
        </w:r>
        <w:r w:rsidR="00352A4D">
          <w:rPr>
            <w:noProof/>
            <w:webHidden/>
          </w:rPr>
          <w:tab/>
        </w:r>
        <w:r w:rsidR="00352A4D">
          <w:rPr>
            <w:noProof/>
            <w:webHidden/>
          </w:rPr>
          <w:fldChar w:fldCharType="begin"/>
        </w:r>
        <w:r w:rsidR="00352A4D">
          <w:rPr>
            <w:noProof/>
            <w:webHidden/>
          </w:rPr>
          <w:instrText xml:space="preserve"> PAGEREF _Toc525652437 \h </w:instrText>
        </w:r>
        <w:r w:rsidR="00352A4D">
          <w:rPr>
            <w:noProof/>
            <w:webHidden/>
          </w:rPr>
        </w:r>
        <w:r w:rsidR="00352A4D">
          <w:rPr>
            <w:noProof/>
            <w:webHidden/>
          </w:rPr>
          <w:fldChar w:fldCharType="separate"/>
        </w:r>
        <w:r w:rsidR="00352A4D">
          <w:rPr>
            <w:noProof/>
            <w:webHidden/>
          </w:rPr>
          <w:t>157</w:t>
        </w:r>
        <w:r w:rsidR="00352A4D">
          <w:rPr>
            <w:noProof/>
            <w:webHidden/>
          </w:rPr>
          <w:fldChar w:fldCharType="end"/>
        </w:r>
      </w:hyperlink>
    </w:p>
    <w:p w14:paraId="2255A0DB" w14:textId="77777777" w:rsidR="00352A4D" w:rsidRDefault="008B5E15">
      <w:pPr>
        <w:pStyle w:val="Tabladeilustraciones"/>
        <w:tabs>
          <w:tab w:val="right" w:leader="dot" w:pos="9394"/>
        </w:tabs>
        <w:rPr>
          <w:rFonts w:eastAsiaTheme="minorEastAsia"/>
          <w:noProof/>
          <w:lang w:val="es-ES" w:eastAsia="es-ES"/>
        </w:rPr>
      </w:pPr>
      <w:hyperlink w:anchor="_Toc525652438" w:history="1">
        <w:r w:rsidR="00352A4D" w:rsidRPr="00781084">
          <w:rPr>
            <w:rStyle w:val="Hipervnculo"/>
            <w:noProof/>
          </w:rPr>
          <w:t>Gráfica 25 Ejecución Presupuestal Compromisos a junio 30  de 2018 UPME</w:t>
        </w:r>
        <w:r w:rsidR="00352A4D">
          <w:rPr>
            <w:noProof/>
            <w:webHidden/>
          </w:rPr>
          <w:tab/>
        </w:r>
        <w:r w:rsidR="00352A4D">
          <w:rPr>
            <w:noProof/>
            <w:webHidden/>
          </w:rPr>
          <w:fldChar w:fldCharType="begin"/>
        </w:r>
        <w:r w:rsidR="00352A4D">
          <w:rPr>
            <w:noProof/>
            <w:webHidden/>
          </w:rPr>
          <w:instrText xml:space="preserve"> PAGEREF _Toc525652438 \h </w:instrText>
        </w:r>
        <w:r w:rsidR="00352A4D">
          <w:rPr>
            <w:noProof/>
            <w:webHidden/>
          </w:rPr>
        </w:r>
        <w:r w:rsidR="00352A4D">
          <w:rPr>
            <w:noProof/>
            <w:webHidden/>
          </w:rPr>
          <w:fldChar w:fldCharType="separate"/>
        </w:r>
        <w:r w:rsidR="00352A4D">
          <w:rPr>
            <w:noProof/>
            <w:webHidden/>
          </w:rPr>
          <w:t>171</w:t>
        </w:r>
        <w:r w:rsidR="00352A4D">
          <w:rPr>
            <w:noProof/>
            <w:webHidden/>
          </w:rPr>
          <w:fldChar w:fldCharType="end"/>
        </w:r>
      </w:hyperlink>
    </w:p>
    <w:p w14:paraId="4A08A3C3" w14:textId="77777777" w:rsidR="00352A4D" w:rsidRDefault="008B5E15">
      <w:pPr>
        <w:pStyle w:val="Tabladeilustraciones"/>
        <w:tabs>
          <w:tab w:val="right" w:leader="dot" w:pos="9394"/>
        </w:tabs>
        <w:rPr>
          <w:rFonts w:eastAsiaTheme="minorEastAsia"/>
          <w:noProof/>
          <w:lang w:val="es-ES" w:eastAsia="es-ES"/>
        </w:rPr>
      </w:pPr>
      <w:hyperlink w:anchor="_Toc525652439" w:history="1">
        <w:r w:rsidR="00352A4D" w:rsidRPr="00781084">
          <w:rPr>
            <w:rStyle w:val="Hipervnculo"/>
            <w:noProof/>
          </w:rPr>
          <w:t>Gráfica 26 Ejecución Obligaciones a 30 de junio de 2018 UPME</w:t>
        </w:r>
        <w:r w:rsidR="00352A4D">
          <w:rPr>
            <w:noProof/>
            <w:webHidden/>
          </w:rPr>
          <w:tab/>
        </w:r>
        <w:r w:rsidR="00352A4D">
          <w:rPr>
            <w:noProof/>
            <w:webHidden/>
          </w:rPr>
          <w:fldChar w:fldCharType="begin"/>
        </w:r>
        <w:r w:rsidR="00352A4D">
          <w:rPr>
            <w:noProof/>
            <w:webHidden/>
          </w:rPr>
          <w:instrText xml:space="preserve"> PAGEREF _Toc525652439 \h </w:instrText>
        </w:r>
        <w:r w:rsidR="00352A4D">
          <w:rPr>
            <w:noProof/>
            <w:webHidden/>
          </w:rPr>
        </w:r>
        <w:r w:rsidR="00352A4D">
          <w:rPr>
            <w:noProof/>
            <w:webHidden/>
          </w:rPr>
          <w:fldChar w:fldCharType="separate"/>
        </w:r>
        <w:r w:rsidR="00352A4D">
          <w:rPr>
            <w:noProof/>
            <w:webHidden/>
          </w:rPr>
          <w:t>172</w:t>
        </w:r>
        <w:r w:rsidR="00352A4D">
          <w:rPr>
            <w:noProof/>
            <w:webHidden/>
          </w:rPr>
          <w:fldChar w:fldCharType="end"/>
        </w:r>
      </w:hyperlink>
    </w:p>
    <w:p w14:paraId="487F3E24" w14:textId="77777777" w:rsidR="00352A4D" w:rsidRDefault="008B5E15">
      <w:pPr>
        <w:pStyle w:val="Tabladeilustraciones"/>
        <w:tabs>
          <w:tab w:val="right" w:leader="dot" w:pos="9394"/>
        </w:tabs>
        <w:rPr>
          <w:rFonts w:eastAsiaTheme="minorEastAsia"/>
          <w:noProof/>
          <w:lang w:val="es-ES" w:eastAsia="es-ES"/>
        </w:rPr>
      </w:pPr>
      <w:hyperlink w:anchor="_Toc525652440" w:history="1">
        <w:r w:rsidR="00352A4D" w:rsidRPr="00781084">
          <w:rPr>
            <w:rStyle w:val="Hipervnculo"/>
            <w:noProof/>
          </w:rPr>
          <w:t>Gráfica 27 Informe de SPI del Ministerio de Minas y Energía a junio  de 2018</w:t>
        </w:r>
        <w:r w:rsidR="00352A4D">
          <w:rPr>
            <w:noProof/>
            <w:webHidden/>
          </w:rPr>
          <w:tab/>
        </w:r>
        <w:r w:rsidR="00352A4D">
          <w:rPr>
            <w:noProof/>
            <w:webHidden/>
          </w:rPr>
          <w:fldChar w:fldCharType="begin"/>
        </w:r>
        <w:r w:rsidR="00352A4D">
          <w:rPr>
            <w:noProof/>
            <w:webHidden/>
          </w:rPr>
          <w:instrText xml:space="preserve"> PAGEREF _Toc525652440 \h </w:instrText>
        </w:r>
        <w:r w:rsidR="00352A4D">
          <w:rPr>
            <w:noProof/>
            <w:webHidden/>
          </w:rPr>
        </w:r>
        <w:r w:rsidR="00352A4D">
          <w:rPr>
            <w:noProof/>
            <w:webHidden/>
          </w:rPr>
          <w:fldChar w:fldCharType="separate"/>
        </w:r>
        <w:r w:rsidR="00352A4D">
          <w:rPr>
            <w:noProof/>
            <w:webHidden/>
          </w:rPr>
          <w:t>179</w:t>
        </w:r>
        <w:r w:rsidR="00352A4D">
          <w:rPr>
            <w:noProof/>
            <w:webHidden/>
          </w:rPr>
          <w:fldChar w:fldCharType="end"/>
        </w:r>
      </w:hyperlink>
    </w:p>
    <w:p w14:paraId="547FBDCC" w14:textId="77777777" w:rsidR="00352A4D" w:rsidRDefault="008B5E15">
      <w:pPr>
        <w:pStyle w:val="Tabladeilustraciones"/>
        <w:tabs>
          <w:tab w:val="right" w:leader="dot" w:pos="9394"/>
        </w:tabs>
        <w:rPr>
          <w:rFonts w:eastAsiaTheme="minorEastAsia"/>
          <w:noProof/>
          <w:lang w:val="es-ES" w:eastAsia="es-ES"/>
        </w:rPr>
      </w:pPr>
      <w:hyperlink w:anchor="_Toc525652441" w:history="1">
        <w:r w:rsidR="00352A4D" w:rsidRPr="00781084">
          <w:rPr>
            <w:rStyle w:val="Hipervnculo"/>
            <w:noProof/>
          </w:rPr>
          <w:t>Gráfica 28 Informe de SPI de la ANH a junio  de 2018.</w:t>
        </w:r>
        <w:r w:rsidR="00352A4D">
          <w:rPr>
            <w:noProof/>
            <w:webHidden/>
          </w:rPr>
          <w:tab/>
        </w:r>
        <w:r w:rsidR="00352A4D">
          <w:rPr>
            <w:noProof/>
            <w:webHidden/>
          </w:rPr>
          <w:fldChar w:fldCharType="begin"/>
        </w:r>
        <w:r w:rsidR="00352A4D">
          <w:rPr>
            <w:noProof/>
            <w:webHidden/>
          </w:rPr>
          <w:instrText xml:space="preserve"> PAGEREF _Toc525652441 \h </w:instrText>
        </w:r>
        <w:r w:rsidR="00352A4D">
          <w:rPr>
            <w:noProof/>
            <w:webHidden/>
          </w:rPr>
        </w:r>
        <w:r w:rsidR="00352A4D">
          <w:rPr>
            <w:noProof/>
            <w:webHidden/>
          </w:rPr>
          <w:fldChar w:fldCharType="separate"/>
        </w:r>
        <w:r w:rsidR="00352A4D">
          <w:rPr>
            <w:noProof/>
            <w:webHidden/>
          </w:rPr>
          <w:t>184</w:t>
        </w:r>
        <w:r w:rsidR="00352A4D">
          <w:rPr>
            <w:noProof/>
            <w:webHidden/>
          </w:rPr>
          <w:fldChar w:fldCharType="end"/>
        </w:r>
      </w:hyperlink>
    </w:p>
    <w:p w14:paraId="43A12954" w14:textId="77777777" w:rsidR="00352A4D" w:rsidRDefault="008B5E15">
      <w:pPr>
        <w:pStyle w:val="Tabladeilustraciones"/>
        <w:tabs>
          <w:tab w:val="right" w:leader="dot" w:pos="9394"/>
        </w:tabs>
        <w:rPr>
          <w:rFonts w:eastAsiaTheme="minorEastAsia"/>
          <w:noProof/>
          <w:lang w:val="es-ES" w:eastAsia="es-ES"/>
        </w:rPr>
      </w:pPr>
      <w:hyperlink w:anchor="_Toc525652442" w:history="1">
        <w:r w:rsidR="00352A4D" w:rsidRPr="00781084">
          <w:rPr>
            <w:rStyle w:val="Hipervnculo"/>
            <w:noProof/>
          </w:rPr>
          <w:t>Gráfica 29Informe de SPI de  IPSE a junio de  2018</w:t>
        </w:r>
        <w:r w:rsidR="00352A4D">
          <w:rPr>
            <w:noProof/>
            <w:webHidden/>
          </w:rPr>
          <w:tab/>
        </w:r>
        <w:r w:rsidR="00352A4D">
          <w:rPr>
            <w:noProof/>
            <w:webHidden/>
          </w:rPr>
          <w:fldChar w:fldCharType="begin"/>
        </w:r>
        <w:r w:rsidR="00352A4D">
          <w:rPr>
            <w:noProof/>
            <w:webHidden/>
          </w:rPr>
          <w:instrText xml:space="preserve"> PAGEREF _Toc525652442 \h </w:instrText>
        </w:r>
        <w:r w:rsidR="00352A4D">
          <w:rPr>
            <w:noProof/>
            <w:webHidden/>
          </w:rPr>
        </w:r>
        <w:r w:rsidR="00352A4D">
          <w:rPr>
            <w:noProof/>
            <w:webHidden/>
          </w:rPr>
          <w:fldChar w:fldCharType="separate"/>
        </w:r>
        <w:r w:rsidR="00352A4D">
          <w:rPr>
            <w:noProof/>
            <w:webHidden/>
          </w:rPr>
          <w:t>186</w:t>
        </w:r>
        <w:r w:rsidR="00352A4D">
          <w:rPr>
            <w:noProof/>
            <w:webHidden/>
          </w:rPr>
          <w:fldChar w:fldCharType="end"/>
        </w:r>
      </w:hyperlink>
    </w:p>
    <w:p w14:paraId="18BB5CC6" w14:textId="77777777" w:rsidR="00352A4D" w:rsidRDefault="008B5E15">
      <w:pPr>
        <w:pStyle w:val="Tabladeilustraciones"/>
        <w:tabs>
          <w:tab w:val="right" w:leader="dot" w:pos="9394"/>
        </w:tabs>
        <w:rPr>
          <w:rFonts w:eastAsiaTheme="minorEastAsia"/>
          <w:noProof/>
          <w:lang w:val="es-ES" w:eastAsia="es-ES"/>
        </w:rPr>
      </w:pPr>
      <w:hyperlink w:anchor="_Toc525652443" w:history="1">
        <w:r w:rsidR="00352A4D" w:rsidRPr="00781084">
          <w:rPr>
            <w:rStyle w:val="Hipervnculo"/>
            <w:noProof/>
          </w:rPr>
          <w:t>Gráfica 30Informe de SPI de la CREG  a junio de 201</w:t>
        </w:r>
        <w:r w:rsidR="00352A4D">
          <w:rPr>
            <w:noProof/>
            <w:webHidden/>
          </w:rPr>
          <w:tab/>
        </w:r>
        <w:r w:rsidR="00352A4D">
          <w:rPr>
            <w:noProof/>
            <w:webHidden/>
          </w:rPr>
          <w:fldChar w:fldCharType="begin"/>
        </w:r>
        <w:r w:rsidR="00352A4D">
          <w:rPr>
            <w:noProof/>
            <w:webHidden/>
          </w:rPr>
          <w:instrText xml:space="preserve"> PAGEREF _Toc525652443 \h </w:instrText>
        </w:r>
        <w:r w:rsidR="00352A4D">
          <w:rPr>
            <w:noProof/>
            <w:webHidden/>
          </w:rPr>
        </w:r>
        <w:r w:rsidR="00352A4D">
          <w:rPr>
            <w:noProof/>
            <w:webHidden/>
          </w:rPr>
          <w:fldChar w:fldCharType="separate"/>
        </w:r>
        <w:r w:rsidR="00352A4D">
          <w:rPr>
            <w:noProof/>
            <w:webHidden/>
          </w:rPr>
          <w:t>188</w:t>
        </w:r>
        <w:r w:rsidR="00352A4D">
          <w:rPr>
            <w:noProof/>
            <w:webHidden/>
          </w:rPr>
          <w:fldChar w:fldCharType="end"/>
        </w:r>
      </w:hyperlink>
    </w:p>
    <w:p w14:paraId="66E2E8ED" w14:textId="77777777" w:rsidR="00352A4D" w:rsidRDefault="008B5E15">
      <w:pPr>
        <w:pStyle w:val="Tabladeilustraciones"/>
        <w:tabs>
          <w:tab w:val="right" w:leader="dot" w:pos="9394"/>
        </w:tabs>
        <w:rPr>
          <w:rFonts w:eastAsiaTheme="minorEastAsia"/>
          <w:noProof/>
          <w:lang w:val="es-ES" w:eastAsia="es-ES"/>
        </w:rPr>
      </w:pPr>
      <w:hyperlink w:anchor="_Toc525652444" w:history="1">
        <w:r w:rsidR="00352A4D" w:rsidRPr="00781084">
          <w:rPr>
            <w:rStyle w:val="Hipervnculo"/>
            <w:noProof/>
          </w:rPr>
          <w:t>Gráfica 31Informe de SPI del SGC a junio de 2018</w:t>
        </w:r>
        <w:r w:rsidR="00352A4D">
          <w:rPr>
            <w:noProof/>
            <w:webHidden/>
          </w:rPr>
          <w:tab/>
        </w:r>
        <w:r w:rsidR="00352A4D">
          <w:rPr>
            <w:noProof/>
            <w:webHidden/>
          </w:rPr>
          <w:fldChar w:fldCharType="begin"/>
        </w:r>
        <w:r w:rsidR="00352A4D">
          <w:rPr>
            <w:noProof/>
            <w:webHidden/>
          </w:rPr>
          <w:instrText xml:space="preserve"> PAGEREF _Toc525652444 \h </w:instrText>
        </w:r>
        <w:r w:rsidR="00352A4D">
          <w:rPr>
            <w:noProof/>
            <w:webHidden/>
          </w:rPr>
        </w:r>
        <w:r w:rsidR="00352A4D">
          <w:rPr>
            <w:noProof/>
            <w:webHidden/>
          </w:rPr>
          <w:fldChar w:fldCharType="separate"/>
        </w:r>
        <w:r w:rsidR="00352A4D">
          <w:rPr>
            <w:noProof/>
            <w:webHidden/>
          </w:rPr>
          <w:t>190</w:t>
        </w:r>
        <w:r w:rsidR="00352A4D">
          <w:rPr>
            <w:noProof/>
            <w:webHidden/>
          </w:rPr>
          <w:fldChar w:fldCharType="end"/>
        </w:r>
      </w:hyperlink>
    </w:p>
    <w:p w14:paraId="2A0EB380" w14:textId="77777777" w:rsidR="00352A4D" w:rsidRDefault="008B5E15">
      <w:pPr>
        <w:pStyle w:val="Tabladeilustraciones"/>
        <w:tabs>
          <w:tab w:val="right" w:leader="dot" w:pos="9394"/>
        </w:tabs>
        <w:rPr>
          <w:rFonts w:eastAsiaTheme="minorEastAsia"/>
          <w:noProof/>
          <w:lang w:val="es-ES" w:eastAsia="es-ES"/>
        </w:rPr>
      </w:pPr>
      <w:hyperlink w:anchor="_Toc525652445" w:history="1">
        <w:r w:rsidR="00352A4D" w:rsidRPr="00781084">
          <w:rPr>
            <w:rStyle w:val="Hipervnculo"/>
            <w:noProof/>
          </w:rPr>
          <w:t>Gráfica 32 Informe de SPI de la UPME a junio de 2018</w:t>
        </w:r>
        <w:r w:rsidR="00352A4D">
          <w:rPr>
            <w:noProof/>
            <w:webHidden/>
          </w:rPr>
          <w:tab/>
        </w:r>
        <w:r w:rsidR="00352A4D">
          <w:rPr>
            <w:noProof/>
            <w:webHidden/>
          </w:rPr>
          <w:fldChar w:fldCharType="begin"/>
        </w:r>
        <w:r w:rsidR="00352A4D">
          <w:rPr>
            <w:noProof/>
            <w:webHidden/>
          </w:rPr>
          <w:instrText xml:space="preserve"> PAGEREF _Toc525652445 \h </w:instrText>
        </w:r>
        <w:r w:rsidR="00352A4D">
          <w:rPr>
            <w:noProof/>
            <w:webHidden/>
          </w:rPr>
        </w:r>
        <w:r w:rsidR="00352A4D">
          <w:rPr>
            <w:noProof/>
            <w:webHidden/>
          </w:rPr>
          <w:fldChar w:fldCharType="separate"/>
        </w:r>
        <w:r w:rsidR="00352A4D">
          <w:rPr>
            <w:noProof/>
            <w:webHidden/>
          </w:rPr>
          <w:t>192</w:t>
        </w:r>
        <w:r w:rsidR="00352A4D">
          <w:rPr>
            <w:noProof/>
            <w:webHidden/>
          </w:rPr>
          <w:fldChar w:fldCharType="end"/>
        </w:r>
      </w:hyperlink>
    </w:p>
    <w:p w14:paraId="11090274" w14:textId="77777777" w:rsidR="00352A4D" w:rsidRDefault="008B5E15">
      <w:pPr>
        <w:pStyle w:val="Tabladeilustraciones"/>
        <w:tabs>
          <w:tab w:val="right" w:leader="dot" w:pos="9394"/>
        </w:tabs>
        <w:rPr>
          <w:rFonts w:eastAsiaTheme="minorEastAsia"/>
          <w:noProof/>
          <w:lang w:val="es-ES" w:eastAsia="es-ES"/>
        </w:rPr>
      </w:pPr>
      <w:hyperlink w:anchor="_Toc525652446" w:history="1">
        <w:r w:rsidR="00352A4D" w:rsidRPr="00781084">
          <w:rPr>
            <w:rStyle w:val="Hipervnculo"/>
            <w:noProof/>
          </w:rPr>
          <w:t>Gráfica 33Informe de SPI de la ANM a junio de 2018</w:t>
        </w:r>
        <w:r w:rsidR="00352A4D">
          <w:rPr>
            <w:noProof/>
            <w:webHidden/>
          </w:rPr>
          <w:tab/>
        </w:r>
        <w:r w:rsidR="00352A4D">
          <w:rPr>
            <w:noProof/>
            <w:webHidden/>
          </w:rPr>
          <w:fldChar w:fldCharType="begin"/>
        </w:r>
        <w:r w:rsidR="00352A4D">
          <w:rPr>
            <w:noProof/>
            <w:webHidden/>
          </w:rPr>
          <w:instrText xml:space="preserve"> PAGEREF _Toc525652446 \h </w:instrText>
        </w:r>
        <w:r w:rsidR="00352A4D">
          <w:rPr>
            <w:noProof/>
            <w:webHidden/>
          </w:rPr>
        </w:r>
        <w:r w:rsidR="00352A4D">
          <w:rPr>
            <w:noProof/>
            <w:webHidden/>
          </w:rPr>
          <w:fldChar w:fldCharType="separate"/>
        </w:r>
        <w:r w:rsidR="00352A4D">
          <w:rPr>
            <w:noProof/>
            <w:webHidden/>
          </w:rPr>
          <w:t>194</w:t>
        </w:r>
        <w:r w:rsidR="00352A4D">
          <w:rPr>
            <w:noProof/>
            <w:webHidden/>
          </w:rPr>
          <w:fldChar w:fldCharType="end"/>
        </w:r>
      </w:hyperlink>
    </w:p>
    <w:p w14:paraId="5AB67974" w14:textId="77777777" w:rsidR="00C02282" w:rsidRPr="006B2A9D" w:rsidRDefault="00C02282" w:rsidP="00C02282">
      <w:pPr>
        <w:spacing w:after="0" w:line="240" w:lineRule="auto"/>
        <w:rPr>
          <w:rFonts w:ascii="Arial" w:eastAsia="Arial" w:hAnsi="Arial" w:cs="Arial"/>
          <w:b/>
          <w:sz w:val="20"/>
          <w:szCs w:val="16"/>
        </w:rPr>
      </w:pPr>
      <w:r w:rsidRPr="006B2A9D">
        <w:rPr>
          <w:rFonts w:asciiTheme="majorHAnsi" w:eastAsiaTheme="majorEastAsia" w:hAnsiTheme="majorHAnsi" w:cstheme="majorBidi"/>
          <w:color w:val="365F91" w:themeColor="accent1" w:themeShade="BF"/>
          <w:sz w:val="32"/>
          <w:szCs w:val="32"/>
          <w:lang w:val="es-ES" w:eastAsia="es-CO"/>
        </w:rPr>
        <w:fldChar w:fldCharType="end"/>
      </w:r>
      <w:r w:rsidRPr="006B2A9D">
        <w:rPr>
          <w:rFonts w:ascii="Arial" w:eastAsia="Arial" w:hAnsi="Arial" w:cs="Arial"/>
          <w:b/>
          <w:sz w:val="20"/>
          <w:szCs w:val="16"/>
        </w:rPr>
        <w:t xml:space="preserve"> </w:t>
      </w:r>
    </w:p>
    <w:p w14:paraId="255E4C55" w14:textId="77777777" w:rsidR="00C02282" w:rsidRPr="006B2A9D" w:rsidRDefault="00C02282" w:rsidP="00C02282">
      <w:pPr>
        <w:spacing w:after="0" w:line="240" w:lineRule="auto"/>
        <w:rPr>
          <w:rFonts w:asciiTheme="majorHAnsi" w:eastAsiaTheme="majorEastAsia" w:hAnsiTheme="majorHAnsi" w:cstheme="majorBidi"/>
          <w:color w:val="365F91" w:themeColor="accent1" w:themeShade="BF"/>
          <w:sz w:val="32"/>
          <w:szCs w:val="32"/>
          <w:lang w:val="es-ES" w:eastAsia="es-CO"/>
        </w:rPr>
      </w:pPr>
      <w:r w:rsidRPr="006B2A9D">
        <w:rPr>
          <w:rFonts w:ascii="Arial" w:eastAsia="Arial" w:hAnsi="Arial" w:cs="Arial"/>
          <w:b/>
          <w:sz w:val="20"/>
          <w:szCs w:val="16"/>
        </w:rPr>
        <w:t>Contenido Tablas:</w:t>
      </w:r>
    </w:p>
    <w:p w14:paraId="3B2A1660" w14:textId="77777777" w:rsidR="00352A4D" w:rsidRDefault="00C02282">
      <w:pPr>
        <w:pStyle w:val="Tabladeilustraciones"/>
        <w:tabs>
          <w:tab w:val="right" w:leader="dot" w:pos="9394"/>
        </w:tabs>
        <w:rPr>
          <w:rFonts w:eastAsiaTheme="minorEastAsia"/>
          <w:noProof/>
          <w:lang w:val="es-ES" w:eastAsia="es-ES"/>
        </w:rPr>
      </w:pPr>
      <w:r w:rsidRPr="006B2A9D">
        <w:rPr>
          <w:rFonts w:asciiTheme="majorHAnsi" w:eastAsiaTheme="majorEastAsia" w:hAnsiTheme="majorHAnsi" w:cstheme="majorBidi"/>
          <w:color w:val="365F91" w:themeColor="accent1" w:themeShade="BF"/>
          <w:sz w:val="32"/>
          <w:szCs w:val="32"/>
          <w:lang w:val="es-ES" w:eastAsia="es-CO"/>
        </w:rPr>
        <w:fldChar w:fldCharType="begin"/>
      </w:r>
      <w:r w:rsidRPr="006B2A9D">
        <w:rPr>
          <w:rFonts w:asciiTheme="majorHAnsi" w:eastAsiaTheme="majorEastAsia" w:hAnsiTheme="majorHAnsi" w:cstheme="majorBidi"/>
          <w:color w:val="365F91" w:themeColor="accent1" w:themeShade="BF"/>
          <w:sz w:val="32"/>
          <w:szCs w:val="32"/>
          <w:lang w:val="es-ES" w:eastAsia="es-CO"/>
        </w:rPr>
        <w:instrText xml:space="preserve"> TOC \h \z \c "Tabla" </w:instrText>
      </w:r>
      <w:r w:rsidRPr="006B2A9D">
        <w:rPr>
          <w:rFonts w:asciiTheme="majorHAnsi" w:eastAsiaTheme="majorEastAsia" w:hAnsiTheme="majorHAnsi" w:cstheme="majorBidi"/>
          <w:color w:val="365F91" w:themeColor="accent1" w:themeShade="BF"/>
          <w:sz w:val="32"/>
          <w:szCs w:val="32"/>
          <w:lang w:val="es-ES" w:eastAsia="es-CO"/>
        </w:rPr>
        <w:fldChar w:fldCharType="separate"/>
      </w:r>
      <w:hyperlink w:anchor="_Toc525652447" w:history="1">
        <w:r w:rsidR="00352A4D" w:rsidRPr="0034296F">
          <w:rPr>
            <w:rStyle w:val="Hipervnculo"/>
            <w:noProof/>
          </w:rPr>
          <w:t>Tabla 1Distribución Presupuesto Funcionamiento - vigencia 2018 MME</w:t>
        </w:r>
        <w:r w:rsidR="00352A4D">
          <w:rPr>
            <w:noProof/>
            <w:webHidden/>
          </w:rPr>
          <w:tab/>
        </w:r>
        <w:r w:rsidR="00352A4D">
          <w:rPr>
            <w:noProof/>
            <w:webHidden/>
          </w:rPr>
          <w:fldChar w:fldCharType="begin"/>
        </w:r>
        <w:r w:rsidR="00352A4D">
          <w:rPr>
            <w:noProof/>
            <w:webHidden/>
          </w:rPr>
          <w:instrText xml:space="preserve"> PAGEREF _Toc525652447 \h </w:instrText>
        </w:r>
        <w:r w:rsidR="00352A4D">
          <w:rPr>
            <w:noProof/>
            <w:webHidden/>
          </w:rPr>
        </w:r>
        <w:r w:rsidR="00352A4D">
          <w:rPr>
            <w:noProof/>
            <w:webHidden/>
          </w:rPr>
          <w:fldChar w:fldCharType="separate"/>
        </w:r>
        <w:r w:rsidR="00352A4D">
          <w:rPr>
            <w:noProof/>
            <w:webHidden/>
          </w:rPr>
          <w:t>17</w:t>
        </w:r>
        <w:r w:rsidR="00352A4D">
          <w:rPr>
            <w:noProof/>
            <w:webHidden/>
          </w:rPr>
          <w:fldChar w:fldCharType="end"/>
        </w:r>
      </w:hyperlink>
    </w:p>
    <w:p w14:paraId="58A939AA" w14:textId="77777777" w:rsidR="00352A4D" w:rsidRDefault="008B5E15">
      <w:pPr>
        <w:pStyle w:val="Tabladeilustraciones"/>
        <w:tabs>
          <w:tab w:val="right" w:leader="dot" w:pos="9394"/>
        </w:tabs>
        <w:rPr>
          <w:rFonts w:eastAsiaTheme="minorEastAsia"/>
          <w:noProof/>
          <w:lang w:val="es-ES" w:eastAsia="es-ES"/>
        </w:rPr>
      </w:pPr>
      <w:hyperlink w:anchor="_Toc525652448" w:history="1">
        <w:r w:rsidR="00352A4D" w:rsidRPr="0034296F">
          <w:rPr>
            <w:rStyle w:val="Hipervnculo"/>
            <w:noProof/>
          </w:rPr>
          <w:t>Tabla 2 Distribución Presupuesto de Inversión - vigencia 2018 MME</w:t>
        </w:r>
        <w:r w:rsidR="00352A4D">
          <w:rPr>
            <w:noProof/>
            <w:webHidden/>
          </w:rPr>
          <w:tab/>
        </w:r>
        <w:r w:rsidR="00352A4D">
          <w:rPr>
            <w:noProof/>
            <w:webHidden/>
          </w:rPr>
          <w:fldChar w:fldCharType="begin"/>
        </w:r>
        <w:r w:rsidR="00352A4D">
          <w:rPr>
            <w:noProof/>
            <w:webHidden/>
          </w:rPr>
          <w:instrText xml:space="preserve"> PAGEREF _Toc525652448 \h </w:instrText>
        </w:r>
        <w:r w:rsidR="00352A4D">
          <w:rPr>
            <w:noProof/>
            <w:webHidden/>
          </w:rPr>
        </w:r>
        <w:r w:rsidR="00352A4D">
          <w:rPr>
            <w:noProof/>
            <w:webHidden/>
          </w:rPr>
          <w:fldChar w:fldCharType="separate"/>
        </w:r>
        <w:r w:rsidR="00352A4D">
          <w:rPr>
            <w:noProof/>
            <w:webHidden/>
          </w:rPr>
          <w:t>17</w:t>
        </w:r>
        <w:r w:rsidR="00352A4D">
          <w:rPr>
            <w:noProof/>
            <w:webHidden/>
          </w:rPr>
          <w:fldChar w:fldCharType="end"/>
        </w:r>
      </w:hyperlink>
    </w:p>
    <w:p w14:paraId="6F1611F6" w14:textId="77777777" w:rsidR="00352A4D" w:rsidRDefault="008B5E15">
      <w:pPr>
        <w:pStyle w:val="Tabladeilustraciones"/>
        <w:tabs>
          <w:tab w:val="right" w:leader="dot" w:pos="9394"/>
        </w:tabs>
        <w:rPr>
          <w:rFonts w:eastAsiaTheme="minorEastAsia"/>
          <w:noProof/>
          <w:lang w:val="es-ES" w:eastAsia="es-ES"/>
        </w:rPr>
      </w:pPr>
      <w:hyperlink w:anchor="_Toc525652449" w:history="1">
        <w:r w:rsidR="00352A4D" w:rsidRPr="0034296F">
          <w:rPr>
            <w:rStyle w:val="Hipervnculo"/>
            <w:noProof/>
          </w:rPr>
          <w:t>Tabla 3 Ingresos Ministerio de Minas y Energía – Gestión General</w:t>
        </w:r>
        <w:r w:rsidR="00352A4D">
          <w:rPr>
            <w:noProof/>
            <w:webHidden/>
          </w:rPr>
          <w:tab/>
        </w:r>
        <w:r w:rsidR="00352A4D">
          <w:rPr>
            <w:noProof/>
            <w:webHidden/>
          </w:rPr>
          <w:fldChar w:fldCharType="begin"/>
        </w:r>
        <w:r w:rsidR="00352A4D">
          <w:rPr>
            <w:noProof/>
            <w:webHidden/>
          </w:rPr>
          <w:instrText xml:space="preserve"> PAGEREF _Toc525652449 \h </w:instrText>
        </w:r>
        <w:r w:rsidR="00352A4D">
          <w:rPr>
            <w:noProof/>
            <w:webHidden/>
          </w:rPr>
        </w:r>
        <w:r w:rsidR="00352A4D">
          <w:rPr>
            <w:noProof/>
            <w:webHidden/>
          </w:rPr>
          <w:fldChar w:fldCharType="separate"/>
        </w:r>
        <w:r w:rsidR="00352A4D">
          <w:rPr>
            <w:noProof/>
            <w:webHidden/>
          </w:rPr>
          <w:t>23</w:t>
        </w:r>
        <w:r w:rsidR="00352A4D">
          <w:rPr>
            <w:noProof/>
            <w:webHidden/>
          </w:rPr>
          <w:fldChar w:fldCharType="end"/>
        </w:r>
      </w:hyperlink>
    </w:p>
    <w:p w14:paraId="3CBBF717" w14:textId="77777777" w:rsidR="00352A4D" w:rsidRDefault="008B5E15">
      <w:pPr>
        <w:pStyle w:val="Tabladeilustraciones"/>
        <w:tabs>
          <w:tab w:val="right" w:leader="dot" w:pos="9394"/>
        </w:tabs>
        <w:rPr>
          <w:rFonts w:eastAsiaTheme="minorEastAsia"/>
          <w:noProof/>
          <w:lang w:val="es-ES" w:eastAsia="es-ES"/>
        </w:rPr>
      </w:pPr>
      <w:hyperlink w:anchor="_Toc525652450" w:history="1">
        <w:r w:rsidR="00352A4D" w:rsidRPr="0034296F">
          <w:rPr>
            <w:rStyle w:val="Hipervnculo"/>
            <w:noProof/>
          </w:rPr>
          <w:t>Tabla 4 Ejecición Presupuesto de Gastos de junio 30 de 2018</w:t>
        </w:r>
        <w:r w:rsidR="00352A4D">
          <w:rPr>
            <w:noProof/>
            <w:webHidden/>
          </w:rPr>
          <w:tab/>
        </w:r>
        <w:r w:rsidR="00352A4D">
          <w:rPr>
            <w:noProof/>
            <w:webHidden/>
          </w:rPr>
          <w:fldChar w:fldCharType="begin"/>
        </w:r>
        <w:r w:rsidR="00352A4D">
          <w:rPr>
            <w:noProof/>
            <w:webHidden/>
          </w:rPr>
          <w:instrText xml:space="preserve"> PAGEREF _Toc525652450 \h </w:instrText>
        </w:r>
        <w:r w:rsidR="00352A4D">
          <w:rPr>
            <w:noProof/>
            <w:webHidden/>
          </w:rPr>
        </w:r>
        <w:r w:rsidR="00352A4D">
          <w:rPr>
            <w:noProof/>
            <w:webHidden/>
          </w:rPr>
          <w:fldChar w:fldCharType="separate"/>
        </w:r>
        <w:r w:rsidR="00352A4D">
          <w:rPr>
            <w:noProof/>
            <w:webHidden/>
          </w:rPr>
          <w:t>24</w:t>
        </w:r>
        <w:r w:rsidR="00352A4D">
          <w:rPr>
            <w:noProof/>
            <w:webHidden/>
          </w:rPr>
          <w:fldChar w:fldCharType="end"/>
        </w:r>
      </w:hyperlink>
    </w:p>
    <w:p w14:paraId="1202F66A" w14:textId="77777777" w:rsidR="00352A4D" w:rsidRDefault="008B5E15">
      <w:pPr>
        <w:pStyle w:val="Tabladeilustraciones"/>
        <w:tabs>
          <w:tab w:val="right" w:leader="dot" w:pos="9394"/>
        </w:tabs>
        <w:rPr>
          <w:rFonts w:eastAsiaTheme="minorEastAsia"/>
          <w:noProof/>
          <w:lang w:val="es-ES" w:eastAsia="es-ES"/>
        </w:rPr>
      </w:pPr>
      <w:hyperlink w:anchor="_Toc525652451" w:history="1">
        <w:r w:rsidR="00352A4D" w:rsidRPr="0034296F">
          <w:rPr>
            <w:rStyle w:val="Hipervnculo"/>
            <w:noProof/>
          </w:rPr>
          <w:t>Tabla 5 Ejecución desagregada de Gastos de Personal – Unidad Gestión General MME</w:t>
        </w:r>
        <w:r w:rsidR="00352A4D">
          <w:rPr>
            <w:noProof/>
            <w:webHidden/>
          </w:rPr>
          <w:tab/>
        </w:r>
        <w:r w:rsidR="00352A4D">
          <w:rPr>
            <w:noProof/>
            <w:webHidden/>
          </w:rPr>
          <w:fldChar w:fldCharType="begin"/>
        </w:r>
        <w:r w:rsidR="00352A4D">
          <w:rPr>
            <w:noProof/>
            <w:webHidden/>
          </w:rPr>
          <w:instrText xml:space="preserve"> PAGEREF _Toc525652451 \h </w:instrText>
        </w:r>
        <w:r w:rsidR="00352A4D">
          <w:rPr>
            <w:noProof/>
            <w:webHidden/>
          </w:rPr>
        </w:r>
        <w:r w:rsidR="00352A4D">
          <w:rPr>
            <w:noProof/>
            <w:webHidden/>
          </w:rPr>
          <w:fldChar w:fldCharType="separate"/>
        </w:r>
        <w:r w:rsidR="00352A4D">
          <w:rPr>
            <w:noProof/>
            <w:webHidden/>
          </w:rPr>
          <w:t>26</w:t>
        </w:r>
        <w:r w:rsidR="00352A4D">
          <w:rPr>
            <w:noProof/>
            <w:webHidden/>
          </w:rPr>
          <w:fldChar w:fldCharType="end"/>
        </w:r>
      </w:hyperlink>
    </w:p>
    <w:p w14:paraId="16B3F7CF" w14:textId="77777777" w:rsidR="00352A4D" w:rsidRDefault="008B5E15">
      <w:pPr>
        <w:pStyle w:val="Tabladeilustraciones"/>
        <w:tabs>
          <w:tab w:val="right" w:leader="dot" w:pos="9394"/>
        </w:tabs>
        <w:rPr>
          <w:rFonts w:eastAsiaTheme="minorEastAsia"/>
          <w:noProof/>
          <w:lang w:val="es-ES" w:eastAsia="es-ES"/>
        </w:rPr>
      </w:pPr>
      <w:hyperlink w:anchor="_Toc525652452" w:history="1">
        <w:r w:rsidR="00352A4D" w:rsidRPr="0034296F">
          <w:rPr>
            <w:rStyle w:val="Hipervnculo"/>
            <w:noProof/>
          </w:rPr>
          <w:t>Tabla 6 Ejecución de Transferencias Corrientes – Unidad Gestión General MME</w:t>
        </w:r>
        <w:r w:rsidR="00352A4D">
          <w:rPr>
            <w:noProof/>
            <w:webHidden/>
          </w:rPr>
          <w:tab/>
        </w:r>
        <w:r w:rsidR="00352A4D">
          <w:rPr>
            <w:noProof/>
            <w:webHidden/>
          </w:rPr>
          <w:fldChar w:fldCharType="begin"/>
        </w:r>
        <w:r w:rsidR="00352A4D">
          <w:rPr>
            <w:noProof/>
            <w:webHidden/>
          </w:rPr>
          <w:instrText xml:space="preserve"> PAGEREF _Toc525652452 \h </w:instrText>
        </w:r>
        <w:r w:rsidR="00352A4D">
          <w:rPr>
            <w:noProof/>
            <w:webHidden/>
          </w:rPr>
        </w:r>
        <w:r w:rsidR="00352A4D">
          <w:rPr>
            <w:noProof/>
            <w:webHidden/>
          </w:rPr>
          <w:fldChar w:fldCharType="separate"/>
        </w:r>
        <w:r w:rsidR="00352A4D">
          <w:rPr>
            <w:noProof/>
            <w:webHidden/>
          </w:rPr>
          <w:t>27</w:t>
        </w:r>
        <w:r w:rsidR="00352A4D">
          <w:rPr>
            <w:noProof/>
            <w:webHidden/>
          </w:rPr>
          <w:fldChar w:fldCharType="end"/>
        </w:r>
      </w:hyperlink>
    </w:p>
    <w:p w14:paraId="113675A0" w14:textId="77777777" w:rsidR="00352A4D" w:rsidRDefault="008B5E15">
      <w:pPr>
        <w:pStyle w:val="Tabladeilustraciones"/>
        <w:tabs>
          <w:tab w:val="right" w:leader="dot" w:pos="9394"/>
        </w:tabs>
        <w:rPr>
          <w:rFonts w:eastAsiaTheme="minorEastAsia"/>
          <w:noProof/>
          <w:lang w:val="es-ES" w:eastAsia="es-ES"/>
        </w:rPr>
      </w:pPr>
      <w:hyperlink w:anchor="_Toc525652453" w:history="1">
        <w:r w:rsidR="00352A4D" w:rsidRPr="0034296F">
          <w:rPr>
            <w:rStyle w:val="Hipervnculo"/>
            <w:noProof/>
          </w:rPr>
          <w:t>Tabla 7Ejecución Presupuestal Gastos de Inversión MME</w:t>
        </w:r>
        <w:r w:rsidR="00352A4D">
          <w:rPr>
            <w:noProof/>
            <w:webHidden/>
          </w:rPr>
          <w:tab/>
        </w:r>
        <w:r w:rsidR="00352A4D">
          <w:rPr>
            <w:noProof/>
            <w:webHidden/>
          </w:rPr>
          <w:fldChar w:fldCharType="begin"/>
        </w:r>
        <w:r w:rsidR="00352A4D">
          <w:rPr>
            <w:noProof/>
            <w:webHidden/>
          </w:rPr>
          <w:instrText xml:space="preserve"> PAGEREF _Toc525652453 \h </w:instrText>
        </w:r>
        <w:r w:rsidR="00352A4D">
          <w:rPr>
            <w:noProof/>
            <w:webHidden/>
          </w:rPr>
        </w:r>
        <w:r w:rsidR="00352A4D">
          <w:rPr>
            <w:noProof/>
            <w:webHidden/>
          </w:rPr>
          <w:fldChar w:fldCharType="separate"/>
        </w:r>
        <w:r w:rsidR="00352A4D">
          <w:rPr>
            <w:noProof/>
            <w:webHidden/>
          </w:rPr>
          <w:t>28</w:t>
        </w:r>
        <w:r w:rsidR="00352A4D">
          <w:rPr>
            <w:noProof/>
            <w:webHidden/>
          </w:rPr>
          <w:fldChar w:fldCharType="end"/>
        </w:r>
      </w:hyperlink>
    </w:p>
    <w:p w14:paraId="714B4228" w14:textId="77777777" w:rsidR="00352A4D" w:rsidRDefault="008B5E15">
      <w:pPr>
        <w:pStyle w:val="Tabladeilustraciones"/>
        <w:tabs>
          <w:tab w:val="right" w:leader="dot" w:pos="9394"/>
        </w:tabs>
        <w:rPr>
          <w:rFonts w:eastAsiaTheme="minorEastAsia"/>
          <w:noProof/>
          <w:lang w:val="es-ES" w:eastAsia="es-ES"/>
        </w:rPr>
      </w:pPr>
      <w:hyperlink w:anchor="_Toc525652454" w:history="1">
        <w:r w:rsidR="00352A4D" w:rsidRPr="0034296F">
          <w:rPr>
            <w:rStyle w:val="Hipervnculo"/>
            <w:noProof/>
          </w:rPr>
          <w:t>Tabla 8 Segundo Trimestre Distribución de recursos para pagos por menores tarifas sector Gas  Compromisos MME</w:t>
        </w:r>
        <w:r w:rsidR="00352A4D">
          <w:rPr>
            <w:noProof/>
            <w:webHidden/>
          </w:rPr>
          <w:tab/>
        </w:r>
        <w:r w:rsidR="00352A4D">
          <w:rPr>
            <w:noProof/>
            <w:webHidden/>
          </w:rPr>
          <w:fldChar w:fldCharType="begin"/>
        </w:r>
        <w:r w:rsidR="00352A4D">
          <w:rPr>
            <w:noProof/>
            <w:webHidden/>
          </w:rPr>
          <w:instrText xml:space="preserve"> PAGEREF _Toc525652454 \h </w:instrText>
        </w:r>
        <w:r w:rsidR="00352A4D">
          <w:rPr>
            <w:noProof/>
            <w:webHidden/>
          </w:rPr>
        </w:r>
        <w:r w:rsidR="00352A4D">
          <w:rPr>
            <w:noProof/>
            <w:webHidden/>
          </w:rPr>
          <w:fldChar w:fldCharType="separate"/>
        </w:r>
        <w:r w:rsidR="00352A4D">
          <w:rPr>
            <w:noProof/>
            <w:webHidden/>
          </w:rPr>
          <w:t>36</w:t>
        </w:r>
        <w:r w:rsidR="00352A4D">
          <w:rPr>
            <w:noProof/>
            <w:webHidden/>
          </w:rPr>
          <w:fldChar w:fldCharType="end"/>
        </w:r>
      </w:hyperlink>
    </w:p>
    <w:p w14:paraId="6F35D9DC" w14:textId="77777777" w:rsidR="00352A4D" w:rsidRDefault="008B5E15">
      <w:pPr>
        <w:pStyle w:val="Tabladeilustraciones"/>
        <w:tabs>
          <w:tab w:val="right" w:leader="dot" w:pos="9394"/>
        </w:tabs>
        <w:rPr>
          <w:rFonts w:eastAsiaTheme="minorEastAsia"/>
          <w:noProof/>
          <w:lang w:val="es-ES" w:eastAsia="es-ES"/>
        </w:rPr>
      </w:pPr>
      <w:hyperlink w:anchor="_Toc525652455" w:history="1">
        <w:r w:rsidR="00352A4D" w:rsidRPr="0034296F">
          <w:rPr>
            <w:rStyle w:val="Hipervnculo"/>
            <w:noProof/>
          </w:rPr>
          <w:t>Tabla 9 Segundo Trimestre Distribución de recursos para pagos por menores tarifas sector Gas  Obligaciones  MME</w:t>
        </w:r>
        <w:r w:rsidR="00352A4D">
          <w:rPr>
            <w:noProof/>
            <w:webHidden/>
          </w:rPr>
          <w:tab/>
        </w:r>
        <w:r w:rsidR="00352A4D">
          <w:rPr>
            <w:noProof/>
            <w:webHidden/>
          </w:rPr>
          <w:fldChar w:fldCharType="begin"/>
        </w:r>
        <w:r w:rsidR="00352A4D">
          <w:rPr>
            <w:noProof/>
            <w:webHidden/>
          </w:rPr>
          <w:instrText xml:space="preserve"> PAGEREF _Toc525652455 \h </w:instrText>
        </w:r>
        <w:r w:rsidR="00352A4D">
          <w:rPr>
            <w:noProof/>
            <w:webHidden/>
          </w:rPr>
        </w:r>
        <w:r w:rsidR="00352A4D">
          <w:rPr>
            <w:noProof/>
            <w:webHidden/>
          </w:rPr>
          <w:fldChar w:fldCharType="separate"/>
        </w:r>
        <w:r w:rsidR="00352A4D">
          <w:rPr>
            <w:noProof/>
            <w:webHidden/>
          </w:rPr>
          <w:t>36</w:t>
        </w:r>
        <w:r w:rsidR="00352A4D">
          <w:rPr>
            <w:noProof/>
            <w:webHidden/>
          </w:rPr>
          <w:fldChar w:fldCharType="end"/>
        </w:r>
      </w:hyperlink>
    </w:p>
    <w:p w14:paraId="7FF3CB53" w14:textId="77777777" w:rsidR="00352A4D" w:rsidRDefault="008B5E15">
      <w:pPr>
        <w:pStyle w:val="Tabladeilustraciones"/>
        <w:tabs>
          <w:tab w:val="right" w:leader="dot" w:pos="9394"/>
        </w:tabs>
        <w:rPr>
          <w:rFonts w:eastAsiaTheme="minorEastAsia"/>
          <w:noProof/>
          <w:lang w:val="es-ES" w:eastAsia="es-ES"/>
        </w:rPr>
      </w:pPr>
      <w:hyperlink w:anchor="_Toc525652456" w:history="1">
        <w:r w:rsidR="00352A4D" w:rsidRPr="0034296F">
          <w:rPr>
            <w:rStyle w:val="Hipervnculo"/>
            <w:noProof/>
          </w:rPr>
          <w:t>Tabla 10 Segundo Trimestre Distribución Recursos para pagos por menores tarifas sector GLP/ Compromisos MME</w:t>
        </w:r>
        <w:r w:rsidR="00352A4D">
          <w:rPr>
            <w:noProof/>
            <w:webHidden/>
          </w:rPr>
          <w:tab/>
        </w:r>
        <w:r w:rsidR="00352A4D">
          <w:rPr>
            <w:noProof/>
            <w:webHidden/>
          </w:rPr>
          <w:fldChar w:fldCharType="begin"/>
        </w:r>
        <w:r w:rsidR="00352A4D">
          <w:rPr>
            <w:noProof/>
            <w:webHidden/>
          </w:rPr>
          <w:instrText xml:space="preserve"> PAGEREF _Toc525652456 \h </w:instrText>
        </w:r>
        <w:r w:rsidR="00352A4D">
          <w:rPr>
            <w:noProof/>
            <w:webHidden/>
          </w:rPr>
        </w:r>
        <w:r w:rsidR="00352A4D">
          <w:rPr>
            <w:noProof/>
            <w:webHidden/>
          </w:rPr>
          <w:fldChar w:fldCharType="separate"/>
        </w:r>
        <w:r w:rsidR="00352A4D">
          <w:rPr>
            <w:noProof/>
            <w:webHidden/>
          </w:rPr>
          <w:t>37</w:t>
        </w:r>
        <w:r w:rsidR="00352A4D">
          <w:rPr>
            <w:noProof/>
            <w:webHidden/>
          </w:rPr>
          <w:fldChar w:fldCharType="end"/>
        </w:r>
      </w:hyperlink>
    </w:p>
    <w:p w14:paraId="46CC197A" w14:textId="77777777" w:rsidR="00352A4D" w:rsidRDefault="008B5E15">
      <w:pPr>
        <w:pStyle w:val="Tabladeilustraciones"/>
        <w:tabs>
          <w:tab w:val="right" w:leader="dot" w:pos="9394"/>
        </w:tabs>
        <w:rPr>
          <w:rFonts w:eastAsiaTheme="minorEastAsia"/>
          <w:noProof/>
          <w:lang w:val="es-ES" w:eastAsia="es-ES"/>
        </w:rPr>
      </w:pPr>
      <w:hyperlink w:anchor="_Toc525652457" w:history="1">
        <w:r w:rsidR="00352A4D" w:rsidRPr="0034296F">
          <w:rPr>
            <w:rStyle w:val="Hipervnculo"/>
            <w:noProof/>
          </w:rPr>
          <w:t>Tabla 11 Segundo Trimestre Distribución Recursos para pagos por menores tarifas sector GLP/ Obligaciones  MME</w:t>
        </w:r>
        <w:r w:rsidR="00352A4D">
          <w:rPr>
            <w:noProof/>
            <w:webHidden/>
          </w:rPr>
          <w:tab/>
        </w:r>
        <w:r w:rsidR="00352A4D">
          <w:rPr>
            <w:noProof/>
            <w:webHidden/>
          </w:rPr>
          <w:fldChar w:fldCharType="begin"/>
        </w:r>
        <w:r w:rsidR="00352A4D">
          <w:rPr>
            <w:noProof/>
            <w:webHidden/>
          </w:rPr>
          <w:instrText xml:space="preserve"> PAGEREF _Toc525652457 \h </w:instrText>
        </w:r>
        <w:r w:rsidR="00352A4D">
          <w:rPr>
            <w:noProof/>
            <w:webHidden/>
          </w:rPr>
        </w:r>
        <w:r w:rsidR="00352A4D">
          <w:rPr>
            <w:noProof/>
            <w:webHidden/>
          </w:rPr>
          <w:fldChar w:fldCharType="separate"/>
        </w:r>
        <w:r w:rsidR="00352A4D">
          <w:rPr>
            <w:noProof/>
            <w:webHidden/>
          </w:rPr>
          <w:t>37</w:t>
        </w:r>
        <w:r w:rsidR="00352A4D">
          <w:rPr>
            <w:noProof/>
            <w:webHidden/>
          </w:rPr>
          <w:fldChar w:fldCharType="end"/>
        </w:r>
      </w:hyperlink>
    </w:p>
    <w:p w14:paraId="1EFA2D92" w14:textId="77777777" w:rsidR="00352A4D" w:rsidRDefault="008B5E15">
      <w:pPr>
        <w:pStyle w:val="Tabladeilustraciones"/>
        <w:tabs>
          <w:tab w:val="right" w:leader="dot" w:pos="9394"/>
        </w:tabs>
        <w:rPr>
          <w:rFonts w:eastAsiaTheme="minorEastAsia"/>
          <w:noProof/>
          <w:lang w:val="es-ES" w:eastAsia="es-ES"/>
        </w:rPr>
      </w:pPr>
      <w:hyperlink w:anchor="_Toc525652458" w:history="1">
        <w:r w:rsidR="00352A4D" w:rsidRPr="0034296F">
          <w:rPr>
            <w:rStyle w:val="Hipervnculo"/>
            <w:noProof/>
          </w:rPr>
          <w:t>Tabla 12 Segundo Trimestre Yumbo Pasto / Compromisos MME</w:t>
        </w:r>
        <w:r w:rsidR="00352A4D">
          <w:rPr>
            <w:noProof/>
            <w:webHidden/>
          </w:rPr>
          <w:tab/>
        </w:r>
        <w:r w:rsidR="00352A4D">
          <w:rPr>
            <w:noProof/>
            <w:webHidden/>
          </w:rPr>
          <w:fldChar w:fldCharType="begin"/>
        </w:r>
        <w:r w:rsidR="00352A4D">
          <w:rPr>
            <w:noProof/>
            <w:webHidden/>
          </w:rPr>
          <w:instrText xml:space="preserve"> PAGEREF _Toc525652458 \h </w:instrText>
        </w:r>
        <w:r w:rsidR="00352A4D">
          <w:rPr>
            <w:noProof/>
            <w:webHidden/>
          </w:rPr>
        </w:r>
        <w:r w:rsidR="00352A4D">
          <w:rPr>
            <w:noProof/>
            <w:webHidden/>
          </w:rPr>
          <w:fldChar w:fldCharType="separate"/>
        </w:r>
        <w:r w:rsidR="00352A4D">
          <w:rPr>
            <w:noProof/>
            <w:webHidden/>
          </w:rPr>
          <w:t>38</w:t>
        </w:r>
        <w:r w:rsidR="00352A4D">
          <w:rPr>
            <w:noProof/>
            <w:webHidden/>
          </w:rPr>
          <w:fldChar w:fldCharType="end"/>
        </w:r>
      </w:hyperlink>
    </w:p>
    <w:p w14:paraId="7EB3021E" w14:textId="77777777" w:rsidR="00352A4D" w:rsidRDefault="008B5E15">
      <w:pPr>
        <w:pStyle w:val="Tabladeilustraciones"/>
        <w:tabs>
          <w:tab w:val="right" w:leader="dot" w:pos="9394"/>
        </w:tabs>
        <w:rPr>
          <w:rFonts w:eastAsiaTheme="minorEastAsia"/>
          <w:noProof/>
          <w:lang w:val="es-ES" w:eastAsia="es-ES"/>
        </w:rPr>
      </w:pPr>
      <w:hyperlink w:anchor="_Toc525652459" w:history="1">
        <w:r w:rsidR="00352A4D" w:rsidRPr="0034296F">
          <w:rPr>
            <w:rStyle w:val="Hipervnculo"/>
            <w:noProof/>
          </w:rPr>
          <w:t>Tabla 13 Segundo  Trimestre Yumbo Pasto / Obligaciones MME</w:t>
        </w:r>
        <w:r w:rsidR="00352A4D">
          <w:rPr>
            <w:noProof/>
            <w:webHidden/>
          </w:rPr>
          <w:tab/>
        </w:r>
        <w:r w:rsidR="00352A4D">
          <w:rPr>
            <w:noProof/>
            <w:webHidden/>
          </w:rPr>
          <w:fldChar w:fldCharType="begin"/>
        </w:r>
        <w:r w:rsidR="00352A4D">
          <w:rPr>
            <w:noProof/>
            <w:webHidden/>
          </w:rPr>
          <w:instrText xml:space="preserve"> PAGEREF _Toc525652459 \h </w:instrText>
        </w:r>
        <w:r w:rsidR="00352A4D">
          <w:rPr>
            <w:noProof/>
            <w:webHidden/>
          </w:rPr>
        </w:r>
        <w:r w:rsidR="00352A4D">
          <w:rPr>
            <w:noProof/>
            <w:webHidden/>
          </w:rPr>
          <w:fldChar w:fldCharType="separate"/>
        </w:r>
        <w:r w:rsidR="00352A4D">
          <w:rPr>
            <w:noProof/>
            <w:webHidden/>
          </w:rPr>
          <w:t>39</w:t>
        </w:r>
        <w:r w:rsidR="00352A4D">
          <w:rPr>
            <w:noProof/>
            <w:webHidden/>
          </w:rPr>
          <w:fldChar w:fldCharType="end"/>
        </w:r>
      </w:hyperlink>
    </w:p>
    <w:p w14:paraId="34652F10" w14:textId="77777777" w:rsidR="00352A4D" w:rsidRDefault="008B5E15">
      <w:pPr>
        <w:pStyle w:val="Tabladeilustraciones"/>
        <w:tabs>
          <w:tab w:val="right" w:leader="dot" w:pos="9394"/>
        </w:tabs>
        <w:rPr>
          <w:rFonts w:eastAsiaTheme="minorEastAsia"/>
          <w:noProof/>
          <w:lang w:val="es-ES" w:eastAsia="es-ES"/>
        </w:rPr>
      </w:pPr>
      <w:hyperlink w:anchor="_Toc525652460" w:history="1">
        <w:r w:rsidR="00352A4D" w:rsidRPr="008A4B8C">
          <w:rPr>
            <w:rStyle w:val="Hipervnculo"/>
            <w:noProof/>
          </w:rPr>
          <w:t xml:space="preserve">Tabla 14 Segundo Trimestre </w:t>
        </w:r>
        <w:r w:rsidR="00352A4D" w:rsidRPr="008A4B8C">
          <w:rPr>
            <w:rStyle w:val="Hipervnculo"/>
            <w:noProof/>
          </w:rPr>
          <w:t>I</w:t>
        </w:r>
        <w:r w:rsidR="00352A4D" w:rsidRPr="008A4B8C">
          <w:rPr>
            <w:rStyle w:val="Hipervnculo"/>
            <w:noProof/>
          </w:rPr>
          <w:t>nfraestructura y Transporte/ Compromisos MME</w:t>
        </w:r>
        <w:r w:rsidR="00352A4D">
          <w:rPr>
            <w:noProof/>
            <w:webHidden/>
          </w:rPr>
          <w:tab/>
        </w:r>
        <w:r w:rsidR="00352A4D">
          <w:rPr>
            <w:noProof/>
            <w:webHidden/>
          </w:rPr>
          <w:fldChar w:fldCharType="begin"/>
        </w:r>
        <w:r w:rsidR="00352A4D">
          <w:rPr>
            <w:noProof/>
            <w:webHidden/>
          </w:rPr>
          <w:instrText xml:space="preserve"> PAGEREF _Toc525652460 \h </w:instrText>
        </w:r>
        <w:r w:rsidR="00352A4D">
          <w:rPr>
            <w:noProof/>
            <w:webHidden/>
          </w:rPr>
        </w:r>
        <w:r w:rsidR="00352A4D">
          <w:rPr>
            <w:noProof/>
            <w:webHidden/>
          </w:rPr>
          <w:fldChar w:fldCharType="separate"/>
        </w:r>
        <w:r w:rsidR="00352A4D">
          <w:rPr>
            <w:noProof/>
            <w:webHidden/>
          </w:rPr>
          <w:t>40</w:t>
        </w:r>
        <w:r w:rsidR="00352A4D">
          <w:rPr>
            <w:noProof/>
            <w:webHidden/>
          </w:rPr>
          <w:fldChar w:fldCharType="end"/>
        </w:r>
      </w:hyperlink>
    </w:p>
    <w:p w14:paraId="28CB3D86" w14:textId="77777777" w:rsidR="00352A4D" w:rsidRDefault="008B5E15">
      <w:pPr>
        <w:pStyle w:val="Tabladeilustraciones"/>
        <w:tabs>
          <w:tab w:val="right" w:leader="dot" w:pos="9394"/>
        </w:tabs>
        <w:rPr>
          <w:rFonts w:eastAsiaTheme="minorEastAsia"/>
          <w:noProof/>
          <w:lang w:val="es-ES" w:eastAsia="es-ES"/>
        </w:rPr>
      </w:pPr>
      <w:hyperlink w:anchor="_Toc525652461" w:history="1">
        <w:r w:rsidR="00352A4D" w:rsidRPr="0034296F">
          <w:rPr>
            <w:rStyle w:val="Hipervnculo"/>
            <w:noProof/>
          </w:rPr>
          <w:t>Tabla 15 Segundo Trimestre Infraestructura y Transporte / Obligaciones MME</w:t>
        </w:r>
        <w:r w:rsidR="00352A4D">
          <w:rPr>
            <w:noProof/>
            <w:webHidden/>
          </w:rPr>
          <w:tab/>
        </w:r>
        <w:r w:rsidR="00352A4D">
          <w:rPr>
            <w:noProof/>
            <w:webHidden/>
          </w:rPr>
          <w:fldChar w:fldCharType="begin"/>
        </w:r>
        <w:r w:rsidR="00352A4D">
          <w:rPr>
            <w:noProof/>
            <w:webHidden/>
          </w:rPr>
          <w:instrText xml:space="preserve"> PAGEREF _Toc525652461 \h </w:instrText>
        </w:r>
        <w:r w:rsidR="00352A4D">
          <w:rPr>
            <w:noProof/>
            <w:webHidden/>
          </w:rPr>
        </w:r>
        <w:r w:rsidR="00352A4D">
          <w:rPr>
            <w:noProof/>
            <w:webHidden/>
          </w:rPr>
          <w:fldChar w:fldCharType="separate"/>
        </w:r>
        <w:r w:rsidR="00352A4D">
          <w:rPr>
            <w:noProof/>
            <w:webHidden/>
          </w:rPr>
          <w:t>41</w:t>
        </w:r>
        <w:r w:rsidR="00352A4D">
          <w:rPr>
            <w:noProof/>
            <w:webHidden/>
          </w:rPr>
          <w:fldChar w:fldCharType="end"/>
        </w:r>
      </w:hyperlink>
    </w:p>
    <w:p w14:paraId="180406D0" w14:textId="77777777" w:rsidR="00352A4D" w:rsidRDefault="008B5E15">
      <w:pPr>
        <w:pStyle w:val="Tabladeilustraciones"/>
        <w:tabs>
          <w:tab w:val="right" w:leader="dot" w:pos="9394"/>
        </w:tabs>
        <w:rPr>
          <w:rFonts w:eastAsiaTheme="minorEastAsia"/>
          <w:noProof/>
          <w:lang w:val="es-ES" w:eastAsia="es-ES"/>
        </w:rPr>
      </w:pPr>
      <w:hyperlink w:anchor="_Toc525652462" w:history="1">
        <w:r w:rsidR="00352A4D" w:rsidRPr="0034296F">
          <w:rPr>
            <w:rStyle w:val="Hipervnculo"/>
            <w:noProof/>
          </w:rPr>
          <w:t>Tabla 16 Segundo Trimestre Zonas de Frontera / Obligaciones MME</w:t>
        </w:r>
        <w:r w:rsidR="00352A4D">
          <w:rPr>
            <w:noProof/>
            <w:webHidden/>
          </w:rPr>
          <w:tab/>
        </w:r>
        <w:r w:rsidR="00352A4D">
          <w:rPr>
            <w:noProof/>
            <w:webHidden/>
          </w:rPr>
          <w:fldChar w:fldCharType="begin"/>
        </w:r>
        <w:r w:rsidR="00352A4D">
          <w:rPr>
            <w:noProof/>
            <w:webHidden/>
          </w:rPr>
          <w:instrText xml:space="preserve"> PAGEREF _Toc525652462 \h </w:instrText>
        </w:r>
        <w:r w:rsidR="00352A4D">
          <w:rPr>
            <w:noProof/>
            <w:webHidden/>
          </w:rPr>
        </w:r>
        <w:r w:rsidR="00352A4D">
          <w:rPr>
            <w:noProof/>
            <w:webHidden/>
          </w:rPr>
          <w:fldChar w:fldCharType="separate"/>
        </w:r>
        <w:r w:rsidR="00352A4D">
          <w:rPr>
            <w:noProof/>
            <w:webHidden/>
          </w:rPr>
          <w:t>42</w:t>
        </w:r>
        <w:r w:rsidR="00352A4D">
          <w:rPr>
            <w:noProof/>
            <w:webHidden/>
          </w:rPr>
          <w:fldChar w:fldCharType="end"/>
        </w:r>
      </w:hyperlink>
    </w:p>
    <w:p w14:paraId="6D8617D3" w14:textId="77777777" w:rsidR="00352A4D" w:rsidRDefault="008B5E15">
      <w:pPr>
        <w:pStyle w:val="Tabladeilustraciones"/>
        <w:tabs>
          <w:tab w:val="right" w:leader="dot" w:pos="9394"/>
        </w:tabs>
        <w:rPr>
          <w:rFonts w:eastAsiaTheme="minorEastAsia"/>
          <w:noProof/>
          <w:lang w:val="es-ES" w:eastAsia="es-ES"/>
        </w:rPr>
      </w:pPr>
      <w:hyperlink w:anchor="_Toc525652463" w:history="1">
        <w:r w:rsidR="00352A4D" w:rsidRPr="0034296F">
          <w:rPr>
            <w:rStyle w:val="Hipervnculo"/>
            <w:noProof/>
          </w:rPr>
          <w:t>Tabla 17 Segundo Trimestre Subsidios Eléctricos SIN / Compromisos MMW</w:t>
        </w:r>
        <w:r w:rsidR="00352A4D">
          <w:rPr>
            <w:noProof/>
            <w:webHidden/>
          </w:rPr>
          <w:tab/>
        </w:r>
        <w:r w:rsidR="00352A4D">
          <w:rPr>
            <w:noProof/>
            <w:webHidden/>
          </w:rPr>
          <w:fldChar w:fldCharType="begin"/>
        </w:r>
        <w:r w:rsidR="00352A4D">
          <w:rPr>
            <w:noProof/>
            <w:webHidden/>
          </w:rPr>
          <w:instrText xml:space="preserve"> PAGEREF _Toc525652463 \h </w:instrText>
        </w:r>
        <w:r w:rsidR="00352A4D">
          <w:rPr>
            <w:noProof/>
            <w:webHidden/>
          </w:rPr>
        </w:r>
        <w:r w:rsidR="00352A4D">
          <w:rPr>
            <w:noProof/>
            <w:webHidden/>
          </w:rPr>
          <w:fldChar w:fldCharType="separate"/>
        </w:r>
        <w:r w:rsidR="00352A4D">
          <w:rPr>
            <w:noProof/>
            <w:webHidden/>
          </w:rPr>
          <w:t>44</w:t>
        </w:r>
        <w:r w:rsidR="00352A4D">
          <w:rPr>
            <w:noProof/>
            <w:webHidden/>
          </w:rPr>
          <w:fldChar w:fldCharType="end"/>
        </w:r>
      </w:hyperlink>
    </w:p>
    <w:p w14:paraId="4C4CF7AE" w14:textId="77777777" w:rsidR="00352A4D" w:rsidRDefault="008B5E15">
      <w:pPr>
        <w:pStyle w:val="Tabladeilustraciones"/>
        <w:tabs>
          <w:tab w:val="right" w:leader="dot" w:pos="9394"/>
        </w:tabs>
        <w:rPr>
          <w:rFonts w:eastAsiaTheme="minorEastAsia"/>
          <w:noProof/>
          <w:lang w:val="es-ES" w:eastAsia="es-ES"/>
        </w:rPr>
      </w:pPr>
      <w:hyperlink w:anchor="_Toc525652464" w:history="1">
        <w:r w:rsidR="00352A4D" w:rsidRPr="0034296F">
          <w:rPr>
            <w:rStyle w:val="Hipervnculo"/>
            <w:noProof/>
          </w:rPr>
          <w:t>Tabla 18 Segundo  Trimestre  Subsidios Eléctricos ZIN / Compromisos MME</w:t>
        </w:r>
        <w:r w:rsidR="00352A4D">
          <w:rPr>
            <w:noProof/>
            <w:webHidden/>
          </w:rPr>
          <w:tab/>
        </w:r>
        <w:r w:rsidR="00352A4D">
          <w:rPr>
            <w:noProof/>
            <w:webHidden/>
          </w:rPr>
          <w:fldChar w:fldCharType="begin"/>
        </w:r>
        <w:r w:rsidR="00352A4D">
          <w:rPr>
            <w:noProof/>
            <w:webHidden/>
          </w:rPr>
          <w:instrText xml:space="preserve"> PAGEREF _Toc525652464 \h </w:instrText>
        </w:r>
        <w:r w:rsidR="00352A4D">
          <w:rPr>
            <w:noProof/>
            <w:webHidden/>
          </w:rPr>
        </w:r>
        <w:r w:rsidR="00352A4D">
          <w:rPr>
            <w:noProof/>
            <w:webHidden/>
          </w:rPr>
          <w:fldChar w:fldCharType="separate"/>
        </w:r>
        <w:r w:rsidR="00352A4D">
          <w:rPr>
            <w:noProof/>
            <w:webHidden/>
          </w:rPr>
          <w:t>45</w:t>
        </w:r>
        <w:r w:rsidR="00352A4D">
          <w:rPr>
            <w:noProof/>
            <w:webHidden/>
          </w:rPr>
          <w:fldChar w:fldCharType="end"/>
        </w:r>
      </w:hyperlink>
    </w:p>
    <w:p w14:paraId="3FC6BC22" w14:textId="77777777" w:rsidR="00352A4D" w:rsidRDefault="008B5E15">
      <w:pPr>
        <w:pStyle w:val="Tabladeilustraciones"/>
        <w:tabs>
          <w:tab w:val="right" w:leader="dot" w:pos="9394"/>
        </w:tabs>
        <w:rPr>
          <w:rFonts w:eastAsiaTheme="minorEastAsia"/>
          <w:noProof/>
          <w:lang w:val="es-ES" w:eastAsia="es-ES"/>
        </w:rPr>
      </w:pPr>
      <w:hyperlink w:anchor="_Toc525652465" w:history="1">
        <w:r w:rsidR="00352A4D" w:rsidRPr="0034296F">
          <w:rPr>
            <w:rStyle w:val="Hipervnculo"/>
            <w:noProof/>
          </w:rPr>
          <w:t>Tabla 19 Segundo  Trimestre Subsidios Eléctricos SIN / Obligaciones  MME</w:t>
        </w:r>
        <w:r w:rsidR="00352A4D">
          <w:rPr>
            <w:noProof/>
            <w:webHidden/>
          </w:rPr>
          <w:tab/>
        </w:r>
        <w:r w:rsidR="00352A4D">
          <w:rPr>
            <w:noProof/>
            <w:webHidden/>
          </w:rPr>
          <w:fldChar w:fldCharType="begin"/>
        </w:r>
        <w:r w:rsidR="00352A4D">
          <w:rPr>
            <w:noProof/>
            <w:webHidden/>
          </w:rPr>
          <w:instrText xml:space="preserve"> PAGEREF _Toc525652465 \h </w:instrText>
        </w:r>
        <w:r w:rsidR="00352A4D">
          <w:rPr>
            <w:noProof/>
            <w:webHidden/>
          </w:rPr>
        </w:r>
        <w:r w:rsidR="00352A4D">
          <w:rPr>
            <w:noProof/>
            <w:webHidden/>
          </w:rPr>
          <w:fldChar w:fldCharType="separate"/>
        </w:r>
        <w:r w:rsidR="00352A4D">
          <w:rPr>
            <w:noProof/>
            <w:webHidden/>
          </w:rPr>
          <w:t>45</w:t>
        </w:r>
        <w:r w:rsidR="00352A4D">
          <w:rPr>
            <w:noProof/>
            <w:webHidden/>
          </w:rPr>
          <w:fldChar w:fldCharType="end"/>
        </w:r>
      </w:hyperlink>
    </w:p>
    <w:p w14:paraId="462C29BC" w14:textId="77777777" w:rsidR="00352A4D" w:rsidRDefault="008B5E15">
      <w:pPr>
        <w:pStyle w:val="Tabladeilustraciones"/>
        <w:tabs>
          <w:tab w:val="right" w:leader="dot" w:pos="9394"/>
        </w:tabs>
        <w:rPr>
          <w:rFonts w:eastAsiaTheme="minorEastAsia"/>
          <w:noProof/>
          <w:lang w:val="es-ES" w:eastAsia="es-ES"/>
        </w:rPr>
      </w:pPr>
      <w:hyperlink w:anchor="_Toc525652466" w:history="1">
        <w:r w:rsidR="00352A4D" w:rsidRPr="0034296F">
          <w:rPr>
            <w:rStyle w:val="Hipervnculo"/>
            <w:noProof/>
          </w:rPr>
          <w:t>Tabla 20 Segundo Trimestre Subsidios Eléctricos ZIN  / Obligaciones MME</w:t>
        </w:r>
        <w:r w:rsidR="00352A4D">
          <w:rPr>
            <w:noProof/>
            <w:webHidden/>
          </w:rPr>
          <w:tab/>
        </w:r>
        <w:r w:rsidR="00352A4D">
          <w:rPr>
            <w:noProof/>
            <w:webHidden/>
          </w:rPr>
          <w:fldChar w:fldCharType="begin"/>
        </w:r>
        <w:r w:rsidR="00352A4D">
          <w:rPr>
            <w:noProof/>
            <w:webHidden/>
          </w:rPr>
          <w:instrText xml:space="preserve"> PAGEREF _Toc525652466 \h </w:instrText>
        </w:r>
        <w:r w:rsidR="00352A4D">
          <w:rPr>
            <w:noProof/>
            <w:webHidden/>
          </w:rPr>
        </w:r>
        <w:r w:rsidR="00352A4D">
          <w:rPr>
            <w:noProof/>
            <w:webHidden/>
          </w:rPr>
          <w:fldChar w:fldCharType="separate"/>
        </w:r>
        <w:r w:rsidR="00352A4D">
          <w:rPr>
            <w:noProof/>
            <w:webHidden/>
          </w:rPr>
          <w:t>46</w:t>
        </w:r>
        <w:r w:rsidR="00352A4D">
          <w:rPr>
            <w:noProof/>
            <w:webHidden/>
          </w:rPr>
          <w:fldChar w:fldCharType="end"/>
        </w:r>
      </w:hyperlink>
    </w:p>
    <w:p w14:paraId="2749F2C8" w14:textId="77777777" w:rsidR="00352A4D" w:rsidRDefault="008B5E15">
      <w:pPr>
        <w:pStyle w:val="Tabladeilustraciones"/>
        <w:tabs>
          <w:tab w:val="right" w:leader="dot" w:pos="9394"/>
        </w:tabs>
        <w:rPr>
          <w:rFonts w:eastAsiaTheme="minorEastAsia"/>
          <w:noProof/>
          <w:lang w:val="es-ES" w:eastAsia="es-ES"/>
        </w:rPr>
      </w:pPr>
      <w:hyperlink w:anchor="_Toc525652467" w:history="1">
        <w:r w:rsidR="00352A4D" w:rsidRPr="0034296F">
          <w:rPr>
            <w:rStyle w:val="Hipervnculo"/>
            <w:noProof/>
          </w:rPr>
          <w:t>Tabla 21 Segundo  Trimestre FOES / Compromisos MME</w:t>
        </w:r>
        <w:r w:rsidR="00352A4D">
          <w:rPr>
            <w:noProof/>
            <w:webHidden/>
          </w:rPr>
          <w:tab/>
        </w:r>
        <w:r w:rsidR="00352A4D">
          <w:rPr>
            <w:noProof/>
            <w:webHidden/>
          </w:rPr>
          <w:fldChar w:fldCharType="begin"/>
        </w:r>
        <w:r w:rsidR="00352A4D">
          <w:rPr>
            <w:noProof/>
            <w:webHidden/>
          </w:rPr>
          <w:instrText xml:space="preserve"> PAGEREF _Toc525652467 \h </w:instrText>
        </w:r>
        <w:r w:rsidR="00352A4D">
          <w:rPr>
            <w:noProof/>
            <w:webHidden/>
          </w:rPr>
        </w:r>
        <w:r w:rsidR="00352A4D">
          <w:rPr>
            <w:noProof/>
            <w:webHidden/>
          </w:rPr>
          <w:fldChar w:fldCharType="separate"/>
        </w:r>
        <w:r w:rsidR="00352A4D">
          <w:rPr>
            <w:noProof/>
            <w:webHidden/>
          </w:rPr>
          <w:t>47</w:t>
        </w:r>
        <w:r w:rsidR="00352A4D">
          <w:rPr>
            <w:noProof/>
            <w:webHidden/>
          </w:rPr>
          <w:fldChar w:fldCharType="end"/>
        </w:r>
      </w:hyperlink>
    </w:p>
    <w:p w14:paraId="5AF3A232" w14:textId="77777777" w:rsidR="00352A4D" w:rsidRDefault="008B5E15">
      <w:pPr>
        <w:pStyle w:val="Tabladeilustraciones"/>
        <w:tabs>
          <w:tab w:val="right" w:leader="dot" w:pos="9394"/>
        </w:tabs>
        <w:rPr>
          <w:rFonts w:eastAsiaTheme="minorEastAsia"/>
          <w:noProof/>
          <w:lang w:val="es-ES" w:eastAsia="es-ES"/>
        </w:rPr>
      </w:pPr>
      <w:hyperlink w:anchor="_Toc525652468" w:history="1">
        <w:r w:rsidR="00352A4D" w:rsidRPr="0034296F">
          <w:rPr>
            <w:rStyle w:val="Hipervnculo"/>
            <w:noProof/>
          </w:rPr>
          <w:t>Tabla 22 Segundo  Trimestre FOES / Obligaciones MME</w:t>
        </w:r>
        <w:r w:rsidR="00352A4D">
          <w:rPr>
            <w:noProof/>
            <w:webHidden/>
          </w:rPr>
          <w:tab/>
        </w:r>
        <w:r w:rsidR="00352A4D">
          <w:rPr>
            <w:noProof/>
            <w:webHidden/>
          </w:rPr>
          <w:fldChar w:fldCharType="begin"/>
        </w:r>
        <w:r w:rsidR="00352A4D">
          <w:rPr>
            <w:noProof/>
            <w:webHidden/>
          </w:rPr>
          <w:instrText xml:space="preserve"> PAGEREF _Toc525652468 \h </w:instrText>
        </w:r>
        <w:r w:rsidR="00352A4D">
          <w:rPr>
            <w:noProof/>
            <w:webHidden/>
          </w:rPr>
        </w:r>
        <w:r w:rsidR="00352A4D">
          <w:rPr>
            <w:noProof/>
            <w:webHidden/>
          </w:rPr>
          <w:fldChar w:fldCharType="separate"/>
        </w:r>
        <w:r w:rsidR="00352A4D">
          <w:rPr>
            <w:noProof/>
            <w:webHidden/>
          </w:rPr>
          <w:t>47</w:t>
        </w:r>
        <w:r w:rsidR="00352A4D">
          <w:rPr>
            <w:noProof/>
            <w:webHidden/>
          </w:rPr>
          <w:fldChar w:fldCharType="end"/>
        </w:r>
      </w:hyperlink>
    </w:p>
    <w:p w14:paraId="4FA23334" w14:textId="77777777" w:rsidR="00352A4D" w:rsidRDefault="008B5E15">
      <w:pPr>
        <w:pStyle w:val="Tabladeilustraciones"/>
        <w:tabs>
          <w:tab w:val="right" w:leader="dot" w:pos="9394"/>
        </w:tabs>
        <w:rPr>
          <w:rFonts w:eastAsiaTheme="minorEastAsia"/>
          <w:noProof/>
          <w:lang w:val="es-ES" w:eastAsia="es-ES"/>
        </w:rPr>
      </w:pPr>
      <w:hyperlink w:anchor="_Toc525652469" w:history="1">
        <w:r w:rsidR="00352A4D" w:rsidRPr="0034296F">
          <w:rPr>
            <w:rStyle w:val="Hipervnculo"/>
            <w:noProof/>
          </w:rPr>
          <w:t>Tabla 23 Segundo Trimestre FAZNI / Obligaciones  MME</w:t>
        </w:r>
        <w:r w:rsidR="00352A4D">
          <w:rPr>
            <w:noProof/>
            <w:webHidden/>
          </w:rPr>
          <w:tab/>
        </w:r>
        <w:r w:rsidR="00352A4D">
          <w:rPr>
            <w:noProof/>
            <w:webHidden/>
          </w:rPr>
          <w:fldChar w:fldCharType="begin"/>
        </w:r>
        <w:r w:rsidR="00352A4D">
          <w:rPr>
            <w:noProof/>
            <w:webHidden/>
          </w:rPr>
          <w:instrText xml:space="preserve"> PAGEREF _Toc525652469 \h </w:instrText>
        </w:r>
        <w:r w:rsidR="00352A4D">
          <w:rPr>
            <w:noProof/>
            <w:webHidden/>
          </w:rPr>
        </w:r>
        <w:r w:rsidR="00352A4D">
          <w:rPr>
            <w:noProof/>
            <w:webHidden/>
          </w:rPr>
          <w:fldChar w:fldCharType="separate"/>
        </w:r>
        <w:r w:rsidR="00352A4D">
          <w:rPr>
            <w:noProof/>
            <w:webHidden/>
          </w:rPr>
          <w:t>48</w:t>
        </w:r>
        <w:r w:rsidR="00352A4D">
          <w:rPr>
            <w:noProof/>
            <w:webHidden/>
          </w:rPr>
          <w:fldChar w:fldCharType="end"/>
        </w:r>
      </w:hyperlink>
    </w:p>
    <w:p w14:paraId="1C931FF8" w14:textId="77777777" w:rsidR="00352A4D" w:rsidRDefault="008B5E15">
      <w:pPr>
        <w:pStyle w:val="Tabladeilustraciones"/>
        <w:tabs>
          <w:tab w:val="right" w:leader="dot" w:pos="9394"/>
        </w:tabs>
        <w:rPr>
          <w:rFonts w:eastAsiaTheme="minorEastAsia"/>
          <w:noProof/>
          <w:lang w:val="es-ES" w:eastAsia="es-ES"/>
        </w:rPr>
      </w:pPr>
      <w:hyperlink w:anchor="_Toc525652470" w:history="1">
        <w:r w:rsidR="00352A4D" w:rsidRPr="0034296F">
          <w:rPr>
            <w:rStyle w:val="Hipervnculo"/>
            <w:noProof/>
          </w:rPr>
          <w:t>Tabla 24 Segundo Trimestre FAER / Compromisos MME</w:t>
        </w:r>
        <w:r w:rsidR="00352A4D">
          <w:rPr>
            <w:noProof/>
            <w:webHidden/>
          </w:rPr>
          <w:tab/>
        </w:r>
        <w:r w:rsidR="00352A4D">
          <w:rPr>
            <w:noProof/>
            <w:webHidden/>
          </w:rPr>
          <w:fldChar w:fldCharType="begin"/>
        </w:r>
        <w:r w:rsidR="00352A4D">
          <w:rPr>
            <w:noProof/>
            <w:webHidden/>
          </w:rPr>
          <w:instrText xml:space="preserve"> PAGEREF _Toc525652470 \h </w:instrText>
        </w:r>
        <w:r w:rsidR="00352A4D">
          <w:rPr>
            <w:noProof/>
            <w:webHidden/>
          </w:rPr>
        </w:r>
        <w:r w:rsidR="00352A4D">
          <w:rPr>
            <w:noProof/>
            <w:webHidden/>
          </w:rPr>
          <w:fldChar w:fldCharType="separate"/>
        </w:r>
        <w:r w:rsidR="00352A4D">
          <w:rPr>
            <w:noProof/>
            <w:webHidden/>
          </w:rPr>
          <w:t>49</w:t>
        </w:r>
        <w:r w:rsidR="00352A4D">
          <w:rPr>
            <w:noProof/>
            <w:webHidden/>
          </w:rPr>
          <w:fldChar w:fldCharType="end"/>
        </w:r>
      </w:hyperlink>
    </w:p>
    <w:p w14:paraId="533E2AE9" w14:textId="77777777" w:rsidR="00352A4D" w:rsidRDefault="008B5E15">
      <w:pPr>
        <w:pStyle w:val="Tabladeilustraciones"/>
        <w:tabs>
          <w:tab w:val="right" w:leader="dot" w:pos="9394"/>
        </w:tabs>
        <w:rPr>
          <w:rFonts w:eastAsiaTheme="minorEastAsia"/>
          <w:noProof/>
          <w:lang w:val="es-ES" w:eastAsia="es-ES"/>
        </w:rPr>
      </w:pPr>
      <w:hyperlink w:anchor="_Toc525652471" w:history="1">
        <w:r w:rsidR="00352A4D" w:rsidRPr="0034296F">
          <w:rPr>
            <w:rStyle w:val="Hipervnculo"/>
            <w:noProof/>
          </w:rPr>
          <w:t>Tabla 25 Segundo Trimestre FAER / Obligaciones MME</w:t>
        </w:r>
        <w:r w:rsidR="00352A4D">
          <w:rPr>
            <w:noProof/>
            <w:webHidden/>
          </w:rPr>
          <w:tab/>
        </w:r>
        <w:r w:rsidR="00352A4D">
          <w:rPr>
            <w:noProof/>
            <w:webHidden/>
          </w:rPr>
          <w:fldChar w:fldCharType="begin"/>
        </w:r>
        <w:r w:rsidR="00352A4D">
          <w:rPr>
            <w:noProof/>
            <w:webHidden/>
          </w:rPr>
          <w:instrText xml:space="preserve"> PAGEREF _Toc525652471 \h </w:instrText>
        </w:r>
        <w:r w:rsidR="00352A4D">
          <w:rPr>
            <w:noProof/>
            <w:webHidden/>
          </w:rPr>
        </w:r>
        <w:r w:rsidR="00352A4D">
          <w:rPr>
            <w:noProof/>
            <w:webHidden/>
          </w:rPr>
          <w:fldChar w:fldCharType="separate"/>
        </w:r>
        <w:r w:rsidR="00352A4D">
          <w:rPr>
            <w:noProof/>
            <w:webHidden/>
          </w:rPr>
          <w:t>49</w:t>
        </w:r>
        <w:r w:rsidR="00352A4D">
          <w:rPr>
            <w:noProof/>
            <w:webHidden/>
          </w:rPr>
          <w:fldChar w:fldCharType="end"/>
        </w:r>
      </w:hyperlink>
    </w:p>
    <w:p w14:paraId="130100DE" w14:textId="77777777" w:rsidR="00352A4D" w:rsidRDefault="008B5E15">
      <w:pPr>
        <w:pStyle w:val="Tabladeilustraciones"/>
        <w:tabs>
          <w:tab w:val="right" w:leader="dot" w:pos="9394"/>
        </w:tabs>
        <w:rPr>
          <w:rFonts w:eastAsiaTheme="minorEastAsia"/>
          <w:noProof/>
          <w:lang w:val="es-ES" w:eastAsia="es-ES"/>
        </w:rPr>
      </w:pPr>
      <w:hyperlink w:anchor="_Toc525652472" w:history="1">
        <w:r w:rsidR="00352A4D" w:rsidRPr="0034296F">
          <w:rPr>
            <w:rStyle w:val="Hipervnculo"/>
            <w:noProof/>
          </w:rPr>
          <w:t>Tabla 26 Segundo Trimestre PRONE / Obligaciones MME</w:t>
        </w:r>
        <w:r w:rsidR="00352A4D">
          <w:rPr>
            <w:noProof/>
            <w:webHidden/>
          </w:rPr>
          <w:tab/>
        </w:r>
        <w:r w:rsidR="00352A4D">
          <w:rPr>
            <w:noProof/>
            <w:webHidden/>
          </w:rPr>
          <w:fldChar w:fldCharType="begin"/>
        </w:r>
        <w:r w:rsidR="00352A4D">
          <w:rPr>
            <w:noProof/>
            <w:webHidden/>
          </w:rPr>
          <w:instrText xml:space="preserve"> PAGEREF _Toc525652472 \h </w:instrText>
        </w:r>
        <w:r w:rsidR="00352A4D">
          <w:rPr>
            <w:noProof/>
            <w:webHidden/>
          </w:rPr>
        </w:r>
        <w:r w:rsidR="00352A4D">
          <w:rPr>
            <w:noProof/>
            <w:webHidden/>
          </w:rPr>
          <w:fldChar w:fldCharType="separate"/>
        </w:r>
        <w:r w:rsidR="00352A4D">
          <w:rPr>
            <w:noProof/>
            <w:webHidden/>
          </w:rPr>
          <w:t>50</w:t>
        </w:r>
        <w:r w:rsidR="00352A4D">
          <w:rPr>
            <w:noProof/>
            <w:webHidden/>
          </w:rPr>
          <w:fldChar w:fldCharType="end"/>
        </w:r>
      </w:hyperlink>
    </w:p>
    <w:p w14:paraId="288AFE6B" w14:textId="77777777" w:rsidR="00352A4D" w:rsidRDefault="008B5E15">
      <w:pPr>
        <w:pStyle w:val="Tabladeilustraciones"/>
        <w:tabs>
          <w:tab w:val="right" w:leader="dot" w:pos="9394"/>
        </w:tabs>
        <w:rPr>
          <w:rFonts w:eastAsiaTheme="minorEastAsia"/>
          <w:noProof/>
          <w:lang w:val="es-ES" w:eastAsia="es-ES"/>
        </w:rPr>
      </w:pPr>
      <w:hyperlink w:anchor="_Toc525652473" w:history="1">
        <w:r w:rsidR="00352A4D" w:rsidRPr="0034296F">
          <w:rPr>
            <w:rStyle w:val="Hipervnculo"/>
            <w:noProof/>
          </w:rPr>
          <w:t>Tabla 27 Ejecución Reservas Presupuestales 2018</w:t>
        </w:r>
        <w:r w:rsidR="00352A4D" w:rsidRPr="0034296F">
          <w:rPr>
            <w:rStyle w:val="Hipervnculo"/>
            <w:rFonts w:eastAsia="Times New Roman" w:cs="Arial"/>
            <w:noProof/>
            <w:lang w:eastAsia="es-CO"/>
          </w:rPr>
          <w:t xml:space="preserve"> Cifras en millones de pesos</w:t>
        </w:r>
        <w:r w:rsidR="00352A4D">
          <w:rPr>
            <w:noProof/>
            <w:webHidden/>
          </w:rPr>
          <w:tab/>
        </w:r>
        <w:r w:rsidR="00352A4D">
          <w:rPr>
            <w:noProof/>
            <w:webHidden/>
          </w:rPr>
          <w:fldChar w:fldCharType="begin"/>
        </w:r>
        <w:r w:rsidR="00352A4D">
          <w:rPr>
            <w:noProof/>
            <w:webHidden/>
          </w:rPr>
          <w:instrText xml:space="preserve"> PAGEREF _Toc525652473 \h </w:instrText>
        </w:r>
        <w:r w:rsidR="00352A4D">
          <w:rPr>
            <w:noProof/>
            <w:webHidden/>
          </w:rPr>
        </w:r>
        <w:r w:rsidR="00352A4D">
          <w:rPr>
            <w:noProof/>
            <w:webHidden/>
          </w:rPr>
          <w:fldChar w:fldCharType="separate"/>
        </w:r>
        <w:r w:rsidR="00352A4D">
          <w:rPr>
            <w:noProof/>
            <w:webHidden/>
          </w:rPr>
          <w:t>58</w:t>
        </w:r>
        <w:r w:rsidR="00352A4D">
          <w:rPr>
            <w:noProof/>
            <w:webHidden/>
          </w:rPr>
          <w:fldChar w:fldCharType="end"/>
        </w:r>
      </w:hyperlink>
    </w:p>
    <w:p w14:paraId="774F2A6E" w14:textId="77777777" w:rsidR="00352A4D" w:rsidRDefault="008B5E15">
      <w:pPr>
        <w:pStyle w:val="Tabladeilustraciones"/>
        <w:tabs>
          <w:tab w:val="right" w:leader="dot" w:pos="9394"/>
        </w:tabs>
        <w:rPr>
          <w:rFonts w:eastAsiaTheme="minorEastAsia"/>
          <w:noProof/>
          <w:lang w:val="es-ES" w:eastAsia="es-ES"/>
        </w:rPr>
      </w:pPr>
      <w:hyperlink w:anchor="_Toc525652474" w:history="1">
        <w:r w:rsidR="00352A4D" w:rsidRPr="0034296F">
          <w:rPr>
            <w:rStyle w:val="Hipervnculo"/>
            <w:noProof/>
          </w:rPr>
          <w:t>Tabla 28 Ejecución Reservas Presupuestales Oficina de Asuntos Ambientales y Sociales MME</w:t>
        </w:r>
        <w:r w:rsidR="00352A4D">
          <w:rPr>
            <w:noProof/>
            <w:webHidden/>
          </w:rPr>
          <w:tab/>
        </w:r>
        <w:r w:rsidR="00352A4D">
          <w:rPr>
            <w:noProof/>
            <w:webHidden/>
          </w:rPr>
          <w:fldChar w:fldCharType="begin"/>
        </w:r>
        <w:r w:rsidR="00352A4D">
          <w:rPr>
            <w:noProof/>
            <w:webHidden/>
          </w:rPr>
          <w:instrText xml:space="preserve"> PAGEREF _Toc525652474 \h </w:instrText>
        </w:r>
        <w:r w:rsidR="00352A4D">
          <w:rPr>
            <w:noProof/>
            <w:webHidden/>
          </w:rPr>
        </w:r>
        <w:r w:rsidR="00352A4D">
          <w:rPr>
            <w:noProof/>
            <w:webHidden/>
          </w:rPr>
          <w:fldChar w:fldCharType="separate"/>
        </w:r>
        <w:r w:rsidR="00352A4D">
          <w:rPr>
            <w:noProof/>
            <w:webHidden/>
          </w:rPr>
          <w:t>60</w:t>
        </w:r>
        <w:r w:rsidR="00352A4D">
          <w:rPr>
            <w:noProof/>
            <w:webHidden/>
          </w:rPr>
          <w:fldChar w:fldCharType="end"/>
        </w:r>
      </w:hyperlink>
    </w:p>
    <w:p w14:paraId="331BBCD1" w14:textId="77777777" w:rsidR="00352A4D" w:rsidRDefault="008B5E15">
      <w:pPr>
        <w:pStyle w:val="Tabladeilustraciones"/>
        <w:tabs>
          <w:tab w:val="right" w:leader="dot" w:pos="9394"/>
        </w:tabs>
        <w:rPr>
          <w:rFonts w:eastAsiaTheme="minorEastAsia"/>
          <w:noProof/>
          <w:lang w:val="es-ES" w:eastAsia="es-ES"/>
        </w:rPr>
      </w:pPr>
      <w:hyperlink w:anchor="_Toc525652475" w:history="1">
        <w:r w:rsidR="00352A4D" w:rsidRPr="0034296F">
          <w:rPr>
            <w:rStyle w:val="Hipervnculo"/>
            <w:noProof/>
          </w:rPr>
          <w:t>Tabla 29 Ejecución de Reservas Presupuestales Dirección de Energía Eléctrica MME</w:t>
        </w:r>
        <w:r w:rsidR="00352A4D">
          <w:rPr>
            <w:noProof/>
            <w:webHidden/>
          </w:rPr>
          <w:tab/>
        </w:r>
        <w:r w:rsidR="00352A4D">
          <w:rPr>
            <w:noProof/>
            <w:webHidden/>
          </w:rPr>
          <w:fldChar w:fldCharType="begin"/>
        </w:r>
        <w:r w:rsidR="00352A4D">
          <w:rPr>
            <w:noProof/>
            <w:webHidden/>
          </w:rPr>
          <w:instrText xml:space="preserve"> PAGEREF _Toc525652475 \h </w:instrText>
        </w:r>
        <w:r w:rsidR="00352A4D">
          <w:rPr>
            <w:noProof/>
            <w:webHidden/>
          </w:rPr>
        </w:r>
        <w:r w:rsidR="00352A4D">
          <w:rPr>
            <w:noProof/>
            <w:webHidden/>
          </w:rPr>
          <w:fldChar w:fldCharType="separate"/>
        </w:r>
        <w:r w:rsidR="00352A4D">
          <w:rPr>
            <w:noProof/>
            <w:webHidden/>
          </w:rPr>
          <w:t>61</w:t>
        </w:r>
        <w:r w:rsidR="00352A4D">
          <w:rPr>
            <w:noProof/>
            <w:webHidden/>
          </w:rPr>
          <w:fldChar w:fldCharType="end"/>
        </w:r>
      </w:hyperlink>
    </w:p>
    <w:p w14:paraId="4A276555" w14:textId="77777777" w:rsidR="00352A4D" w:rsidRDefault="008B5E15">
      <w:pPr>
        <w:pStyle w:val="Tabladeilustraciones"/>
        <w:tabs>
          <w:tab w:val="right" w:leader="dot" w:pos="9394"/>
        </w:tabs>
        <w:rPr>
          <w:rFonts w:eastAsiaTheme="minorEastAsia"/>
          <w:noProof/>
          <w:lang w:val="es-ES" w:eastAsia="es-ES"/>
        </w:rPr>
      </w:pPr>
      <w:hyperlink w:anchor="_Toc525652476" w:history="1">
        <w:r w:rsidR="00352A4D" w:rsidRPr="0034296F">
          <w:rPr>
            <w:rStyle w:val="Hipervnculo"/>
            <w:noProof/>
          </w:rPr>
          <w:t>Tabla 30 Ejecución de Reservas Presupuestales Dirección de Hidrocarburos MME</w:t>
        </w:r>
        <w:r w:rsidR="00352A4D">
          <w:rPr>
            <w:noProof/>
            <w:webHidden/>
          </w:rPr>
          <w:tab/>
        </w:r>
        <w:r w:rsidR="00352A4D">
          <w:rPr>
            <w:noProof/>
            <w:webHidden/>
          </w:rPr>
          <w:fldChar w:fldCharType="begin"/>
        </w:r>
        <w:r w:rsidR="00352A4D">
          <w:rPr>
            <w:noProof/>
            <w:webHidden/>
          </w:rPr>
          <w:instrText xml:space="preserve"> PAGEREF _Toc525652476 \h </w:instrText>
        </w:r>
        <w:r w:rsidR="00352A4D">
          <w:rPr>
            <w:noProof/>
            <w:webHidden/>
          </w:rPr>
        </w:r>
        <w:r w:rsidR="00352A4D">
          <w:rPr>
            <w:noProof/>
            <w:webHidden/>
          </w:rPr>
          <w:fldChar w:fldCharType="separate"/>
        </w:r>
        <w:r w:rsidR="00352A4D">
          <w:rPr>
            <w:noProof/>
            <w:webHidden/>
          </w:rPr>
          <w:t>62</w:t>
        </w:r>
        <w:r w:rsidR="00352A4D">
          <w:rPr>
            <w:noProof/>
            <w:webHidden/>
          </w:rPr>
          <w:fldChar w:fldCharType="end"/>
        </w:r>
      </w:hyperlink>
    </w:p>
    <w:p w14:paraId="64674BB0" w14:textId="77777777" w:rsidR="00352A4D" w:rsidRDefault="008B5E15">
      <w:pPr>
        <w:pStyle w:val="Tabladeilustraciones"/>
        <w:tabs>
          <w:tab w:val="right" w:leader="dot" w:pos="9394"/>
        </w:tabs>
        <w:rPr>
          <w:rFonts w:eastAsiaTheme="minorEastAsia"/>
          <w:noProof/>
          <w:lang w:val="es-ES" w:eastAsia="es-ES"/>
        </w:rPr>
      </w:pPr>
      <w:hyperlink w:anchor="_Toc525652477" w:history="1">
        <w:r w:rsidR="00352A4D" w:rsidRPr="0034296F">
          <w:rPr>
            <w:rStyle w:val="Hipervnculo"/>
            <w:noProof/>
          </w:rPr>
          <w:t>Tabla 31 Ejecución de Reservas Presupuestales Dirección de Formalización Minera MME</w:t>
        </w:r>
        <w:r w:rsidR="00352A4D">
          <w:rPr>
            <w:noProof/>
            <w:webHidden/>
          </w:rPr>
          <w:tab/>
        </w:r>
        <w:r w:rsidR="00352A4D">
          <w:rPr>
            <w:noProof/>
            <w:webHidden/>
          </w:rPr>
          <w:fldChar w:fldCharType="begin"/>
        </w:r>
        <w:r w:rsidR="00352A4D">
          <w:rPr>
            <w:noProof/>
            <w:webHidden/>
          </w:rPr>
          <w:instrText xml:space="preserve"> PAGEREF _Toc525652477 \h </w:instrText>
        </w:r>
        <w:r w:rsidR="00352A4D">
          <w:rPr>
            <w:noProof/>
            <w:webHidden/>
          </w:rPr>
        </w:r>
        <w:r w:rsidR="00352A4D">
          <w:rPr>
            <w:noProof/>
            <w:webHidden/>
          </w:rPr>
          <w:fldChar w:fldCharType="separate"/>
        </w:r>
        <w:r w:rsidR="00352A4D">
          <w:rPr>
            <w:noProof/>
            <w:webHidden/>
          </w:rPr>
          <w:t>63</w:t>
        </w:r>
        <w:r w:rsidR="00352A4D">
          <w:rPr>
            <w:noProof/>
            <w:webHidden/>
          </w:rPr>
          <w:fldChar w:fldCharType="end"/>
        </w:r>
      </w:hyperlink>
    </w:p>
    <w:p w14:paraId="69CF88A9" w14:textId="77777777" w:rsidR="00352A4D" w:rsidRDefault="008B5E15">
      <w:pPr>
        <w:pStyle w:val="Tabladeilustraciones"/>
        <w:tabs>
          <w:tab w:val="right" w:leader="dot" w:pos="9394"/>
        </w:tabs>
        <w:rPr>
          <w:rFonts w:eastAsiaTheme="minorEastAsia"/>
          <w:noProof/>
          <w:lang w:val="es-ES" w:eastAsia="es-ES"/>
        </w:rPr>
      </w:pPr>
      <w:hyperlink w:anchor="_Toc525652478" w:history="1">
        <w:r w:rsidR="00352A4D" w:rsidRPr="0034296F">
          <w:rPr>
            <w:rStyle w:val="Hipervnculo"/>
            <w:noProof/>
          </w:rPr>
          <w:t>Tabla 32 Ejecución de Reservas Presupuestales Dirección de  Minera Empresarial MME</w:t>
        </w:r>
        <w:r w:rsidR="00352A4D">
          <w:rPr>
            <w:noProof/>
            <w:webHidden/>
          </w:rPr>
          <w:tab/>
        </w:r>
        <w:r w:rsidR="00352A4D">
          <w:rPr>
            <w:noProof/>
            <w:webHidden/>
          </w:rPr>
          <w:fldChar w:fldCharType="begin"/>
        </w:r>
        <w:r w:rsidR="00352A4D">
          <w:rPr>
            <w:noProof/>
            <w:webHidden/>
          </w:rPr>
          <w:instrText xml:space="preserve"> PAGEREF _Toc525652478 \h </w:instrText>
        </w:r>
        <w:r w:rsidR="00352A4D">
          <w:rPr>
            <w:noProof/>
            <w:webHidden/>
          </w:rPr>
        </w:r>
        <w:r w:rsidR="00352A4D">
          <w:rPr>
            <w:noProof/>
            <w:webHidden/>
          </w:rPr>
          <w:fldChar w:fldCharType="separate"/>
        </w:r>
        <w:r w:rsidR="00352A4D">
          <w:rPr>
            <w:noProof/>
            <w:webHidden/>
          </w:rPr>
          <w:t>63</w:t>
        </w:r>
        <w:r w:rsidR="00352A4D">
          <w:rPr>
            <w:noProof/>
            <w:webHidden/>
          </w:rPr>
          <w:fldChar w:fldCharType="end"/>
        </w:r>
      </w:hyperlink>
    </w:p>
    <w:p w14:paraId="59BAA08C" w14:textId="77777777" w:rsidR="00352A4D" w:rsidRDefault="008B5E15">
      <w:pPr>
        <w:pStyle w:val="Tabladeilustraciones"/>
        <w:tabs>
          <w:tab w:val="right" w:leader="dot" w:pos="9394"/>
        </w:tabs>
        <w:rPr>
          <w:rFonts w:eastAsiaTheme="minorEastAsia"/>
          <w:noProof/>
          <w:lang w:val="es-ES" w:eastAsia="es-ES"/>
        </w:rPr>
      </w:pPr>
      <w:hyperlink w:anchor="_Toc525652479" w:history="1">
        <w:r w:rsidR="00352A4D" w:rsidRPr="0034296F">
          <w:rPr>
            <w:rStyle w:val="Hipervnculo"/>
            <w:noProof/>
          </w:rPr>
          <w:t>Tabla 33 Ejecución Cuentas por Pagar constituidas a 31 de diciembre de 2017 MME</w:t>
        </w:r>
        <w:r w:rsidR="00352A4D">
          <w:rPr>
            <w:noProof/>
            <w:webHidden/>
          </w:rPr>
          <w:tab/>
        </w:r>
        <w:r w:rsidR="00352A4D">
          <w:rPr>
            <w:noProof/>
            <w:webHidden/>
          </w:rPr>
          <w:fldChar w:fldCharType="begin"/>
        </w:r>
        <w:r w:rsidR="00352A4D">
          <w:rPr>
            <w:noProof/>
            <w:webHidden/>
          </w:rPr>
          <w:instrText xml:space="preserve"> PAGEREF _Toc525652479 \h </w:instrText>
        </w:r>
        <w:r w:rsidR="00352A4D">
          <w:rPr>
            <w:noProof/>
            <w:webHidden/>
          </w:rPr>
        </w:r>
        <w:r w:rsidR="00352A4D">
          <w:rPr>
            <w:noProof/>
            <w:webHidden/>
          </w:rPr>
          <w:fldChar w:fldCharType="separate"/>
        </w:r>
        <w:r w:rsidR="00352A4D">
          <w:rPr>
            <w:noProof/>
            <w:webHidden/>
          </w:rPr>
          <w:t>64</w:t>
        </w:r>
        <w:r w:rsidR="00352A4D">
          <w:rPr>
            <w:noProof/>
            <w:webHidden/>
          </w:rPr>
          <w:fldChar w:fldCharType="end"/>
        </w:r>
      </w:hyperlink>
    </w:p>
    <w:p w14:paraId="67ADFCF0" w14:textId="77777777" w:rsidR="00352A4D" w:rsidRDefault="008B5E15">
      <w:pPr>
        <w:pStyle w:val="Tabladeilustraciones"/>
        <w:tabs>
          <w:tab w:val="right" w:leader="dot" w:pos="9394"/>
        </w:tabs>
        <w:rPr>
          <w:rFonts w:eastAsiaTheme="minorEastAsia"/>
          <w:noProof/>
          <w:lang w:val="es-ES" w:eastAsia="es-ES"/>
        </w:rPr>
      </w:pPr>
      <w:hyperlink w:anchor="_Toc525652480" w:history="1">
        <w:r w:rsidR="00352A4D" w:rsidRPr="0034296F">
          <w:rPr>
            <w:rStyle w:val="Hipervnculo"/>
            <w:noProof/>
          </w:rPr>
          <w:t>Tabla 35Distribución Presupuesto Funcionamiento - vigencia 2018 IPSE</w:t>
        </w:r>
        <w:r w:rsidR="00352A4D">
          <w:rPr>
            <w:noProof/>
            <w:webHidden/>
          </w:rPr>
          <w:tab/>
        </w:r>
        <w:r w:rsidR="00352A4D">
          <w:rPr>
            <w:noProof/>
            <w:webHidden/>
          </w:rPr>
          <w:fldChar w:fldCharType="begin"/>
        </w:r>
        <w:r w:rsidR="00352A4D">
          <w:rPr>
            <w:noProof/>
            <w:webHidden/>
          </w:rPr>
          <w:instrText xml:space="preserve"> PAGEREF _Toc525652480 \h </w:instrText>
        </w:r>
        <w:r w:rsidR="00352A4D">
          <w:rPr>
            <w:noProof/>
            <w:webHidden/>
          </w:rPr>
        </w:r>
        <w:r w:rsidR="00352A4D">
          <w:rPr>
            <w:noProof/>
            <w:webHidden/>
          </w:rPr>
          <w:fldChar w:fldCharType="separate"/>
        </w:r>
        <w:r w:rsidR="00352A4D">
          <w:rPr>
            <w:noProof/>
            <w:webHidden/>
          </w:rPr>
          <w:t>66</w:t>
        </w:r>
        <w:r w:rsidR="00352A4D">
          <w:rPr>
            <w:noProof/>
            <w:webHidden/>
          </w:rPr>
          <w:fldChar w:fldCharType="end"/>
        </w:r>
      </w:hyperlink>
    </w:p>
    <w:p w14:paraId="18CD7A7A" w14:textId="77777777" w:rsidR="00352A4D" w:rsidRDefault="008B5E15">
      <w:pPr>
        <w:pStyle w:val="Tabladeilustraciones"/>
        <w:tabs>
          <w:tab w:val="right" w:leader="dot" w:pos="9394"/>
        </w:tabs>
        <w:rPr>
          <w:rFonts w:eastAsiaTheme="minorEastAsia"/>
          <w:noProof/>
          <w:lang w:val="es-ES" w:eastAsia="es-ES"/>
        </w:rPr>
      </w:pPr>
      <w:hyperlink w:anchor="_Toc525652481" w:history="1">
        <w:r w:rsidR="00352A4D" w:rsidRPr="0034296F">
          <w:rPr>
            <w:rStyle w:val="Hipervnculo"/>
            <w:noProof/>
          </w:rPr>
          <w:t>Tabla 36Distribución Presupuesto de Inversión - vigencia 2018 IPSE</w:t>
        </w:r>
        <w:r w:rsidR="00352A4D">
          <w:rPr>
            <w:noProof/>
            <w:webHidden/>
          </w:rPr>
          <w:tab/>
        </w:r>
        <w:r w:rsidR="00352A4D">
          <w:rPr>
            <w:noProof/>
            <w:webHidden/>
          </w:rPr>
          <w:fldChar w:fldCharType="begin"/>
        </w:r>
        <w:r w:rsidR="00352A4D">
          <w:rPr>
            <w:noProof/>
            <w:webHidden/>
          </w:rPr>
          <w:instrText xml:space="preserve"> PAGEREF _Toc525652481 \h </w:instrText>
        </w:r>
        <w:r w:rsidR="00352A4D">
          <w:rPr>
            <w:noProof/>
            <w:webHidden/>
          </w:rPr>
        </w:r>
        <w:r w:rsidR="00352A4D">
          <w:rPr>
            <w:noProof/>
            <w:webHidden/>
          </w:rPr>
          <w:fldChar w:fldCharType="separate"/>
        </w:r>
        <w:r w:rsidR="00352A4D">
          <w:rPr>
            <w:noProof/>
            <w:webHidden/>
          </w:rPr>
          <w:t>66</w:t>
        </w:r>
        <w:r w:rsidR="00352A4D">
          <w:rPr>
            <w:noProof/>
            <w:webHidden/>
          </w:rPr>
          <w:fldChar w:fldCharType="end"/>
        </w:r>
      </w:hyperlink>
    </w:p>
    <w:p w14:paraId="1DE05464" w14:textId="77777777" w:rsidR="00352A4D" w:rsidRDefault="008B5E15">
      <w:pPr>
        <w:pStyle w:val="Tabladeilustraciones"/>
        <w:tabs>
          <w:tab w:val="right" w:leader="dot" w:pos="9394"/>
        </w:tabs>
        <w:rPr>
          <w:rFonts w:eastAsiaTheme="minorEastAsia"/>
          <w:noProof/>
          <w:lang w:val="es-ES" w:eastAsia="es-ES"/>
        </w:rPr>
      </w:pPr>
      <w:hyperlink w:anchor="_Toc525652482" w:history="1">
        <w:r w:rsidR="00352A4D" w:rsidRPr="0034296F">
          <w:rPr>
            <w:rStyle w:val="Hipervnculo"/>
            <w:noProof/>
          </w:rPr>
          <w:t>Tabla 37Recaudo por fuentes propias IPSE</w:t>
        </w:r>
        <w:r w:rsidR="00352A4D">
          <w:rPr>
            <w:noProof/>
            <w:webHidden/>
          </w:rPr>
          <w:tab/>
        </w:r>
        <w:r w:rsidR="00352A4D">
          <w:rPr>
            <w:noProof/>
            <w:webHidden/>
          </w:rPr>
          <w:fldChar w:fldCharType="begin"/>
        </w:r>
        <w:r w:rsidR="00352A4D">
          <w:rPr>
            <w:noProof/>
            <w:webHidden/>
          </w:rPr>
          <w:instrText xml:space="preserve"> PAGEREF _Toc525652482 \h </w:instrText>
        </w:r>
        <w:r w:rsidR="00352A4D">
          <w:rPr>
            <w:noProof/>
            <w:webHidden/>
          </w:rPr>
        </w:r>
        <w:r w:rsidR="00352A4D">
          <w:rPr>
            <w:noProof/>
            <w:webHidden/>
          </w:rPr>
          <w:fldChar w:fldCharType="separate"/>
        </w:r>
        <w:r w:rsidR="00352A4D">
          <w:rPr>
            <w:noProof/>
            <w:webHidden/>
          </w:rPr>
          <w:t>67</w:t>
        </w:r>
        <w:r w:rsidR="00352A4D">
          <w:rPr>
            <w:noProof/>
            <w:webHidden/>
          </w:rPr>
          <w:fldChar w:fldCharType="end"/>
        </w:r>
      </w:hyperlink>
    </w:p>
    <w:p w14:paraId="42125167" w14:textId="77777777" w:rsidR="00352A4D" w:rsidRDefault="008B5E15">
      <w:pPr>
        <w:pStyle w:val="Tabladeilustraciones"/>
        <w:tabs>
          <w:tab w:val="right" w:leader="dot" w:pos="9394"/>
        </w:tabs>
        <w:rPr>
          <w:rFonts w:eastAsiaTheme="minorEastAsia"/>
          <w:noProof/>
          <w:lang w:val="es-ES" w:eastAsia="es-ES"/>
        </w:rPr>
      </w:pPr>
      <w:hyperlink w:anchor="_Toc525652483" w:history="1">
        <w:r w:rsidR="00352A4D" w:rsidRPr="0034296F">
          <w:rPr>
            <w:rStyle w:val="Hipervnculo"/>
            <w:noProof/>
          </w:rPr>
          <w:t>Tabla 38Comportamiento de la Ejecución Presupuestal, Gastos de Funcionamiento 2018 IPSE</w:t>
        </w:r>
        <w:r w:rsidR="00352A4D">
          <w:rPr>
            <w:noProof/>
            <w:webHidden/>
          </w:rPr>
          <w:tab/>
        </w:r>
        <w:r w:rsidR="00352A4D">
          <w:rPr>
            <w:noProof/>
            <w:webHidden/>
          </w:rPr>
          <w:fldChar w:fldCharType="begin"/>
        </w:r>
        <w:r w:rsidR="00352A4D">
          <w:rPr>
            <w:noProof/>
            <w:webHidden/>
          </w:rPr>
          <w:instrText xml:space="preserve"> PAGEREF _Toc525652483 \h </w:instrText>
        </w:r>
        <w:r w:rsidR="00352A4D">
          <w:rPr>
            <w:noProof/>
            <w:webHidden/>
          </w:rPr>
        </w:r>
        <w:r w:rsidR="00352A4D">
          <w:rPr>
            <w:noProof/>
            <w:webHidden/>
          </w:rPr>
          <w:fldChar w:fldCharType="separate"/>
        </w:r>
        <w:r w:rsidR="00352A4D">
          <w:rPr>
            <w:noProof/>
            <w:webHidden/>
          </w:rPr>
          <w:t>68</w:t>
        </w:r>
        <w:r w:rsidR="00352A4D">
          <w:rPr>
            <w:noProof/>
            <w:webHidden/>
          </w:rPr>
          <w:fldChar w:fldCharType="end"/>
        </w:r>
      </w:hyperlink>
    </w:p>
    <w:p w14:paraId="53C9A46C" w14:textId="77777777" w:rsidR="00352A4D" w:rsidRDefault="008B5E15">
      <w:pPr>
        <w:pStyle w:val="Tabladeilustraciones"/>
        <w:tabs>
          <w:tab w:val="right" w:leader="dot" w:pos="9394"/>
        </w:tabs>
        <w:rPr>
          <w:rFonts w:eastAsiaTheme="minorEastAsia"/>
          <w:noProof/>
          <w:lang w:val="es-ES" w:eastAsia="es-ES"/>
        </w:rPr>
      </w:pPr>
      <w:hyperlink w:anchor="_Toc525652484" w:history="1">
        <w:r w:rsidR="00352A4D" w:rsidRPr="0034296F">
          <w:rPr>
            <w:rStyle w:val="Hipervnculo"/>
            <w:noProof/>
          </w:rPr>
          <w:t>Tabla 39Comportamiento de la Ejecución Presupuestal, Gastos de Inversión 2018 IPSE</w:t>
        </w:r>
        <w:r w:rsidR="00352A4D">
          <w:rPr>
            <w:noProof/>
            <w:webHidden/>
          </w:rPr>
          <w:tab/>
        </w:r>
        <w:r w:rsidR="00352A4D">
          <w:rPr>
            <w:noProof/>
            <w:webHidden/>
          </w:rPr>
          <w:fldChar w:fldCharType="begin"/>
        </w:r>
        <w:r w:rsidR="00352A4D">
          <w:rPr>
            <w:noProof/>
            <w:webHidden/>
          </w:rPr>
          <w:instrText xml:space="preserve"> PAGEREF _Toc525652484 \h </w:instrText>
        </w:r>
        <w:r w:rsidR="00352A4D">
          <w:rPr>
            <w:noProof/>
            <w:webHidden/>
          </w:rPr>
        </w:r>
        <w:r w:rsidR="00352A4D">
          <w:rPr>
            <w:noProof/>
            <w:webHidden/>
          </w:rPr>
          <w:fldChar w:fldCharType="separate"/>
        </w:r>
        <w:r w:rsidR="00352A4D">
          <w:rPr>
            <w:noProof/>
            <w:webHidden/>
          </w:rPr>
          <w:t>69</w:t>
        </w:r>
        <w:r w:rsidR="00352A4D">
          <w:rPr>
            <w:noProof/>
            <w:webHidden/>
          </w:rPr>
          <w:fldChar w:fldCharType="end"/>
        </w:r>
      </w:hyperlink>
    </w:p>
    <w:p w14:paraId="79B5B26D" w14:textId="77777777" w:rsidR="00352A4D" w:rsidRDefault="008B5E15">
      <w:pPr>
        <w:pStyle w:val="Tabladeilustraciones"/>
        <w:tabs>
          <w:tab w:val="right" w:leader="dot" w:pos="9394"/>
        </w:tabs>
        <w:rPr>
          <w:rFonts w:eastAsiaTheme="minorEastAsia"/>
          <w:noProof/>
          <w:lang w:val="es-ES" w:eastAsia="es-ES"/>
        </w:rPr>
      </w:pPr>
      <w:hyperlink w:anchor="_Toc525652485" w:history="1">
        <w:r w:rsidR="00352A4D" w:rsidRPr="0034296F">
          <w:rPr>
            <w:rStyle w:val="Hipervnculo"/>
            <w:noProof/>
          </w:rPr>
          <w:t>Tabla 40 Ejecución  reservas presupuestales, 2018 IPSE</w:t>
        </w:r>
        <w:r w:rsidR="00352A4D">
          <w:rPr>
            <w:noProof/>
            <w:webHidden/>
          </w:rPr>
          <w:tab/>
        </w:r>
        <w:r w:rsidR="00352A4D">
          <w:rPr>
            <w:noProof/>
            <w:webHidden/>
          </w:rPr>
          <w:fldChar w:fldCharType="begin"/>
        </w:r>
        <w:r w:rsidR="00352A4D">
          <w:rPr>
            <w:noProof/>
            <w:webHidden/>
          </w:rPr>
          <w:instrText xml:space="preserve"> PAGEREF _Toc525652485 \h </w:instrText>
        </w:r>
        <w:r w:rsidR="00352A4D">
          <w:rPr>
            <w:noProof/>
            <w:webHidden/>
          </w:rPr>
        </w:r>
        <w:r w:rsidR="00352A4D">
          <w:rPr>
            <w:noProof/>
            <w:webHidden/>
          </w:rPr>
          <w:fldChar w:fldCharType="separate"/>
        </w:r>
        <w:r w:rsidR="00352A4D">
          <w:rPr>
            <w:noProof/>
            <w:webHidden/>
          </w:rPr>
          <w:t>70</w:t>
        </w:r>
        <w:r w:rsidR="00352A4D">
          <w:rPr>
            <w:noProof/>
            <w:webHidden/>
          </w:rPr>
          <w:fldChar w:fldCharType="end"/>
        </w:r>
      </w:hyperlink>
    </w:p>
    <w:p w14:paraId="4A8AEEB7" w14:textId="77777777" w:rsidR="00352A4D" w:rsidRDefault="008B5E15">
      <w:pPr>
        <w:pStyle w:val="Tabladeilustraciones"/>
        <w:tabs>
          <w:tab w:val="right" w:leader="dot" w:pos="9394"/>
        </w:tabs>
        <w:rPr>
          <w:rFonts w:eastAsiaTheme="minorEastAsia"/>
          <w:noProof/>
          <w:lang w:val="es-ES" w:eastAsia="es-ES"/>
        </w:rPr>
      </w:pPr>
      <w:hyperlink w:anchor="_Toc525652486" w:history="1">
        <w:r w:rsidR="00352A4D" w:rsidRPr="0034296F">
          <w:rPr>
            <w:rStyle w:val="Hipervnculo"/>
            <w:noProof/>
          </w:rPr>
          <w:t>Tabla 41Ejecución presupuestal cuentas por pagar 2018 IPSE</w:t>
        </w:r>
        <w:r w:rsidR="00352A4D">
          <w:rPr>
            <w:noProof/>
            <w:webHidden/>
          </w:rPr>
          <w:tab/>
        </w:r>
        <w:r w:rsidR="00352A4D">
          <w:rPr>
            <w:noProof/>
            <w:webHidden/>
          </w:rPr>
          <w:fldChar w:fldCharType="begin"/>
        </w:r>
        <w:r w:rsidR="00352A4D">
          <w:rPr>
            <w:noProof/>
            <w:webHidden/>
          </w:rPr>
          <w:instrText xml:space="preserve"> PAGEREF _Toc525652486 \h </w:instrText>
        </w:r>
        <w:r w:rsidR="00352A4D">
          <w:rPr>
            <w:noProof/>
            <w:webHidden/>
          </w:rPr>
        </w:r>
        <w:r w:rsidR="00352A4D">
          <w:rPr>
            <w:noProof/>
            <w:webHidden/>
          </w:rPr>
          <w:fldChar w:fldCharType="separate"/>
        </w:r>
        <w:r w:rsidR="00352A4D">
          <w:rPr>
            <w:noProof/>
            <w:webHidden/>
          </w:rPr>
          <w:t>71</w:t>
        </w:r>
        <w:r w:rsidR="00352A4D">
          <w:rPr>
            <w:noProof/>
            <w:webHidden/>
          </w:rPr>
          <w:fldChar w:fldCharType="end"/>
        </w:r>
      </w:hyperlink>
    </w:p>
    <w:p w14:paraId="4EF4CAB5" w14:textId="77777777" w:rsidR="00352A4D" w:rsidRDefault="008B5E15">
      <w:pPr>
        <w:pStyle w:val="Tabladeilustraciones"/>
        <w:tabs>
          <w:tab w:val="right" w:leader="dot" w:pos="9394"/>
        </w:tabs>
        <w:rPr>
          <w:rFonts w:eastAsiaTheme="minorEastAsia"/>
          <w:noProof/>
          <w:lang w:val="es-ES" w:eastAsia="es-ES"/>
        </w:rPr>
      </w:pPr>
      <w:hyperlink w:anchor="_Toc525652487" w:history="1">
        <w:r w:rsidR="00352A4D" w:rsidRPr="0034296F">
          <w:rPr>
            <w:rStyle w:val="Hipervnculo"/>
            <w:noProof/>
          </w:rPr>
          <w:t>Tabla 42 Distribución Presupuesto Funcionamiento ANH – Vigencia 2018 ANH</w:t>
        </w:r>
        <w:r w:rsidR="00352A4D">
          <w:rPr>
            <w:noProof/>
            <w:webHidden/>
          </w:rPr>
          <w:tab/>
        </w:r>
        <w:r w:rsidR="00352A4D">
          <w:rPr>
            <w:noProof/>
            <w:webHidden/>
          </w:rPr>
          <w:fldChar w:fldCharType="begin"/>
        </w:r>
        <w:r w:rsidR="00352A4D">
          <w:rPr>
            <w:noProof/>
            <w:webHidden/>
          </w:rPr>
          <w:instrText xml:space="preserve"> PAGEREF _Toc525652487 \h </w:instrText>
        </w:r>
        <w:r w:rsidR="00352A4D">
          <w:rPr>
            <w:noProof/>
            <w:webHidden/>
          </w:rPr>
        </w:r>
        <w:r w:rsidR="00352A4D">
          <w:rPr>
            <w:noProof/>
            <w:webHidden/>
          </w:rPr>
          <w:fldChar w:fldCharType="separate"/>
        </w:r>
        <w:r w:rsidR="00352A4D">
          <w:rPr>
            <w:noProof/>
            <w:webHidden/>
          </w:rPr>
          <w:t>75</w:t>
        </w:r>
        <w:r w:rsidR="00352A4D">
          <w:rPr>
            <w:noProof/>
            <w:webHidden/>
          </w:rPr>
          <w:fldChar w:fldCharType="end"/>
        </w:r>
      </w:hyperlink>
    </w:p>
    <w:p w14:paraId="20114EA2" w14:textId="77777777" w:rsidR="00352A4D" w:rsidRDefault="008B5E15">
      <w:pPr>
        <w:pStyle w:val="Tabladeilustraciones"/>
        <w:tabs>
          <w:tab w:val="right" w:leader="dot" w:pos="9394"/>
        </w:tabs>
        <w:rPr>
          <w:rFonts w:eastAsiaTheme="minorEastAsia"/>
          <w:noProof/>
          <w:lang w:val="es-ES" w:eastAsia="es-ES"/>
        </w:rPr>
      </w:pPr>
      <w:hyperlink w:anchor="_Toc525652488" w:history="1">
        <w:r w:rsidR="00352A4D" w:rsidRPr="0034296F">
          <w:rPr>
            <w:rStyle w:val="Hipervnculo"/>
            <w:rFonts w:ascii="Times New Roman" w:eastAsia="Times New Roman" w:hAnsi="Times New Roman" w:cs="Times New Roman"/>
            <w:i/>
            <w:iCs/>
            <w:noProof/>
            <w:lang w:val="es-ES" w:eastAsia="es-ES"/>
          </w:rPr>
          <w:t>Tabla 43Distribución Presupuesto Inversión ANH  – Vigencia 2018 ANH</w:t>
        </w:r>
        <w:r w:rsidR="00352A4D">
          <w:rPr>
            <w:noProof/>
            <w:webHidden/>
          </w:rPr>
          <w:tab/>
        </w:r>
        <w:r w:rsidR="00352A4D">
          <w:rPr>
            <w:noProof/>
            <w:webHidden/>
          </w:rPr>
          <w:fldChar w:fldCharType="begin"/>
        </w:r>
        <w:r w:rsidR="00352A4D">
          <w:rPr>
            <w:noProof/>
            <w:webHidden/>
          </w:rPr>
          <w:instrText xml:space="preserve"> PAGEREF _Toc525652488 \h </w:instrText>
        </w:r>
        <w:r w:rsidR="00352A4D">
          <w:rPr>
            <w:noProof/>
            <w:webHidden/>
          </w:rPr>
        </w:r>
        <w:r w:rsidR="00352A4D">
          <w:rPr>
            <w:noProof/>
            <w:webHidden/>
          </w:rPr>
          <w:fldChar w:fldCharType="separate"/>
        </w:r>
        <w:r w:rsidR="00352A4D">
          <w:rPr>
            <w:noProof/>
            <w:webHidden/>
          </w:rPr>
          <w:t>75</w:t>
        </w:r>
        <w:r w:rsidR="00352A4D">
          <w:rPr>
            <w:noProof/>
            <w:webHidden/>
          </w:rPr>
          <w:fldChar w:fldCharType="end"/>
        </w:r>
      </w:hyperlink>
    </w:p>
    <w:p w14:paraId="53025E43" w14:textId="77777777" w:rsidR="00352A4D" w:rsidRDefault="008B5E15">
      <w:pPr>
        <w:pStyle w:val="Tabladeilustraciones"/>
        <w:tabs>
          <w:tab w:val="right" w:leader="dot" w:pos="9394"/>
        </w:tabs>
        <w:rPr>
          <w:rFonts w:eastAsiaTheme="minorEastAsia"/>
          <w:noProof/>
          <w:lang w:val="es-ES" w:eastAsia="es-ES"/>
        </w:rPr>
      </w:pPr>
      <w:hyperlink w:anchor="_Toc525652489" w:history="1">
        <w:r w:rsidR="00352A4D" w:rsidRPr="0034296F">
          <w:rPr>
            <w:rStyle w:val="Hipervnculo"/>
            <w:noProof/>
          </w:rPr>
          <w:t>Tabla 44Ejecución Ingresos Segundo Trimestre ANH  – Vigencia 2018 ANH</w:t>
        </w:r>
        <w:r w:rsidR="00352A4D">
          <w:rPr>
            <w:noProof/>
            <w:webHidden/>
          </w:rPr>
          <w:tab/>
        </w:r>
        <w:r w:rsidR="00352A4D">
          <w:rPr>
            <w:noProof/>
            <w:webHidden/>
          </w:rPr>
          <w:fldChar w:fldCharType="begin"/>
        </w:r>
        <w:r w:rsidR="00352A4D">
          <w:rPr>
            <w:noProof/>
            <w:webHidden/>
          </w:rPr>
          <w:instrText xml:space="preserve"> PAGEREF _Toc525652489 \h </w:instrText>
        </w:r>
        <w:r w:rsidR="00352A4D">
          <w:rPr>
            <w:noProof/>
            <w:webHidden/>
          </w:rPr>
        </w:r>
        <w:r w:rsidR="00352A4D">
          <w:rPr>
            <w:noProof/>
            <w:webHidden/>
          </w:rPr>
          <w:fldChar w:fldCharType="separate"/>
        </w:r>
        <w:r w:rsidR="00352A4D">
          <w:rPr>
            <w:noProof/>
            <w:webHidden/>
          </w:rPr>
          <w:t>76</w:t>
        </w:r>
        <w:r w:rsidR="00352A4D">
          <w:rPr>
            <w:noProof/>
            <w:webHidden/>
          </w:rPr>
          <w:fldChar w:fldCharType="end"/>
        </w:r>
      </w:hyperlink>
    </w:p>
    <w:p w14:paraId="1CE72023" w14:textId="77777777" w:rsidR="00352A4D" w:rsidRDefault="008B5E15">
      <w:pPr>
        <w:pStyle w:val="Tabladeilustraciones"/>
        <w:tabs>
          <w:tab w:val="right" w:leader="dot" w:pos="9394"/>
        </w:tabs>
        <w:rPr>
          <w:rFonts w:eastAsiaTheme="minorEastAsia"/>
          <w:noProof/>
          <w:lang w:val="es-ES" w:eastAsia="es-ES"/>
        </w:rPr>
      </w:pPr>
      <w:hyperlink w:anchor="_Toc525652490" w:history="1">
        <w:r w:rsidR="00352A4D" w:rsidRPr="0034296F">
          <w:rPr>
            <w:rStyle w:val="Hipervnculo"/>
            <w:noProof/>
          </w:rPr>
          <w:t>Tabla 45Venta de Información Segundo Trimestre ANH</w:t>
        </w:r>
        <w:r w:rsidR="00352A4D">
          <w:rPr>
            <w:noProof/>
            <w:webHidden/>
          </w:rPr>
          <w:tab/>
        </w:r>
        <w:r w:rsidR="00352A4D">
          <w:rPr>
            <w:noProof/>
            <w:webHidden/>
          </w:rPr>
          <w:fldChar w:fldCharType="begin"/>
        </w:r>
        <w:r w:rsidR="00352A4D">
          <w:rPr>
            <w:noProof/>
            <w:webHidden/>
          </w:rPr>
          <w:instrText xml:space="preserve"> PAGEREF _Toc525652490 \h </w:instrText>
        </w:r>
        <w:r w:rsidR="00352A4D">
          <w:rPr>
            <w:noProof/>
            <w:webHidden/>
          </w:rPr>
        </w:r>
        <w:r w:rsidR="00352A4D">
          <w:rPr>
            <w:noProof/>
            <w:webHidden/>
          </w:rPr>
          <w:fldChar w:fldCharType="separate"/>
        </w:r>
        <w:r w:rsidR="00352A4D">
          <w:rPr>
            <w:noProof/>
            <w:webHidden/>
          </w:rPr>
          <w:t>78</w:t>
        </w:r>
        <w:r w:rsidR="00352A4D">
          <w:rPr>
            <w:noProof/>
            <w:webHidden/>
          </w:rPr>
          <w:fldChar w:fldCharType="end"/>
        </w:r>
      </w:hyperlink>
    </w:p>
    <w:p w14:paraId="69C8927D" w14:textId="77777777" w:rsidR="00352A4D" w:rsidRDefault="008B5E15">
      <w:pPr>
        <w:pStyle w:val="Tabladeilustraciones"/>
        <w:tabs>
          <w:tab w:val="right" w:leader="dot" w:pos="9394"/>
        </w:tabs>
        <w:rPr>
          <w:rFonts w:eastAsiaTheme="minorEastAsia"/>
          <w:noProof/>
          <w:lang w:val="es-ES" w:eastAsia="es-ES"/>
        </w:rPr>
      </w:pPr>
      <w:hyperlink w:anchor="_Toc525652491" w:history="1">
        <w:r w:rsidR="00352A4D" w:rsidRPr="0034296F">
          <w:rPr>
            <w:rStyle w:val="Hipervnculo"/>
            <w:noProof/>
          </w:rPr>
          <w:t>Tabla 46 Derechos Económicos Segundo  Trimestre ANH</w:t>
        </w:r>
        <w:r w:rsidR="00352A4D">
          <w:rPr>
            <w:noProof/>
            <w:webHidden/>
          </w:rPr>
          <w:tab/>
        </w:r>
        <w:r w:rsidR="00352A4D">
          <w:rPr>
            <w:noProof/>
            <w:webHidden/>
          </w:rPr>
          <w:fldChar w:fldCharType="begin"/>
        </w:r>
        <w:r w:rsidR="00352A4D">
          <w:rPr>
            <w:noProof/>
            <w:webHidden/>
          </w:rPr>
          <w:instrText xml:space="preserve"> PAGEREF _Toc525652491 \h </w:instrText>
        </w:r>
        <w:r w:rsidR="00352A4D">
          <w:rPr>
            <w:noProof/>
            <w:webHidden/>
          </w:rPr>
        </w:r>
        <w:r w:rsidR="00352A4D">
          <w:rPr>
            <w:noProof/>
            <w:webHidden/>
          </w:rPr>
          <w:fldChar w:fldCharType="separate"/>
        </w:r>
        <w:r w:rsidR="00352A4D">
          <w:rPr>
            <w:noProof/>
            <w:webHidden/>
          </w:rPr>
          <w:t>79</w:t>
        </w:r>
        <w:r w:rsidR="00352A4D">
          <w:rPr>
            <w:noProof/>
            <w:webHidden/>
          </w:rPr>
          <w:fldChar w:fldCharType="end"/>
        </w:r>
      </w:hyperlink>
    </w:p>
    <w:p w14:paraId="4EA8B2F4" w14:textId="77777777" w:rsidR="00352A4D" w:rsidRDefault="008B5E15">
      <w:pPr>
        <w:pStyle w:val="Tabladeilustraciones"/>
        <w:tabs>
          <w:tab w:val="right" w:leader="dot" w:pos="9394"/>
        </w:tabs>
        <w:rPr>
          <w:rFonts w:eastAsiaTheme="minorEastAsia"/>
          <w:noProof/>
          <w:lang w:val="es-ES" w:eastAsia="es-ES"/>
        </w:rPr>
      </w:pPr>
      <w:hyperlink w:anchor="_Toc525652492" w:history="1">
        <w:r w:rsidR="00352A4D" w:rsidRPr="0034296F">
          <w:rPr>
            <w:rStyle w:val="Hipervnculo"/>
            <w:noProof/>
          </w:rPr>
          <w:t>Tabla 47Excedentes Financieros ANH</w:t>
        </w:r>
        <w:r w:rsidR="00352A4D">
          <w:rPr>
            <w:noProof/>
            <w:webHidden/>
          </w:rPr>
          <w:tab/>
        </w:r>
        <w:r w:rsidR="00352A4D">
          <w:rPr>
            <w:noProof/>
            <w:webHidden/>
          </w:rPr>
          <w:fldChar w:fldCharType="begin"/>
        </w:r>
        <w:r w:rsidR="00352A4D">
          <w:rPr>
            <w:noProof/>
            <w:webHidden/>
          </w:rPr>
          <w:instrText xml:space="preserve"> PAGEREF _Toc525652492 \h </w:instrText>
        </w:r>
        <w:r w:rsidR="00352A4D">
          <w:rPr>
            <w:noProof/>
            <w:webHidden/>
          </w:rPr>
        </w:r>
        <w:r w:rsidR="00352A4D">
          <w:rPr>
            <w:noProof/>
            <w:webHidden/>
          </w:rPr>
          <w:fldChar w:fldCharType="separate"/>
        </w:r>
        <w:r w:rsidR="00352A4D">
          <w:rPr>
            <w:noProof/>
            <w:webHidden/>
          </w:rPr>
          <w:t>80</w:t>
        </w:r>
        <w:r w:rsidR="00352A4D">
          <w:rPr>
            <w:noProof/>
            <w:webHidden/>
          </w:rPr>
          <w:fldChar w:fldCharType="end"/>
        </w:r>
      </w:hyperlink>
    </w:p>
    <w:p w14:paraId="38E629E9" w14:textId="77777777" w:rsidR="00352A4D" w:rsidRDefault="008B5E15">
      <w:pPr>
        <w:pStyle w:val="Tabladeilustraciones"/>
        <w:tabs>
          <w:tab w:val="right" w:leader="dot" w:pos="9394"/>
        </w:tabs>
        <w:rPr>
          <w:rFonts w:eastAsiaTheme="minorEastAsia"/>
          <w:noProof/>
          <w:lang w:val="es-ES" w:eastAsia="es-ES"/>
        </w:rPr>
      </w:pPr>
      <w:hyperlink w:anchor="_Toc525652493" w:history="1">
        <w:r w:rsidR="00352A4D" w:rsidRPr="0034296F">
          <w:rPr>
            <w:rStyle w:val="Hipervnculo"/>
            <w:noProof/>
          </w:rPr>
          <w:t>Tabla 48 Ejecución Presupuestal Gastos – Vigencia 2018 ANH</w:t>
        </w:r>
        <w:r w:rsidR="00352A4D">
          <w:rPr>
            <w:noProof/>
            <w:webHidden/>
          </w:rPr>
          <w:tab/>
        </w:r>
        <w:r w:rsidR="00352A4D">
          <w:rPr>
            <w:noProof/>
            <w:webHidden/>
          </w:rPr>
          <w:fldChar w:fldCharType="begin"/>
        </w:r>
        <w:r w:rsidR="00352A4D">
          <w:rPr>
            <w:noProof/>
            <w:webHidden/>
          </w:rPr>
          <w:instrText xml:space="preserve"> PAGEREF _Toc525652493 \h </w:instrText>
        </w:r>
        <w:r w:rsidR="00352A4D">
          <w:rPr>
            <w:noProof/>
            <w:webHidden/>
          </w:rPr>
        </w:r>
        <w:r w:rsidR="00352A4D">
          <w:rPr>
            <w:noProof/>
            <w:webHidden/>
          </w:rPr>
          <w:fldChar w:fldCharType="separate"/>
        </w:r>
        <w:r w:rsidR="00352A4D">
          <w:rPr>
            <w:noProof/>
            <w:webHidden/>
          </w:rPr>
          <w:t>80</w:t>
        </w:r>
        <w:r w:rsidR="00352A4D">
          <w:rPr>
            <w:noProof/>
            <w:webHidden/>
          </w:rPr>
          <w:fldChar w:fldCharType="end"/>
        </w:r>
      </w:hyperlink>
    </w:p>
    <w:p w14:paraId="70E29F5E" w14:textId="77777777" w:rsidR="00352A4D" w:rsidRDefault="008B5E15">
      <w:pPr>
        <w:pStyle w:val="Tabladeilustraciones"/>
        <w:tabs>
          <w:tab w:val="right" w:leader="dot" w:pos="9394"/>
        </w:tabs>
        <w:rPr>
          <w:rFonts w:eastAsiaTheme="minorEastAsia"/>
          <w:noProof/>
          <w:lang w:val="es-ES" w:eastAsia="es-ES"/>
        </w:rPr>
      </w:pPr>
      <w:hyperlink w:anchor="_Toc525652494" w:history="1">
        <w:r w:rsidR="00352A4D" w:rsidRPr="0034296F">
          <w:rPr>
            <w:rStyle w:val="Hipervnculo"/>
            <w:noProof/>
          </w:rPr>
          <w:t>Tabla 49 Ejecución Presupuestal Gastos en porcentaje– Vigencia 2018 ANH</w:t>
        </w:r>
        <w:r w:rsidR="00352A4D">
          <w:rPr>
            <w:noProof/>
            <w:webHidden/>
          </w:rPr>
          <w:tab/>
        </w:r>
        <w:r w:rsidR="00352A4D">
          <w:rPr>
            <w:noProof/>
            <w:webHidden/>
          </w:rPr>
          <w:fldChar w:fldCharType="begin"/>
        </w:r>
        <w:r w:rsidR="00352A4D">
          <w:rPr>
            <w:noProof/>
            <w:webHidden/>
          </w:rPr>
          <w:instrText xml:space="preserve"> PAGEREF _Toc525652494 \h </w:instrText>
        </w:r>
        <w:r w:rsidR="00352A4D">
          <w:rPr>
            <w:noProof/>
            <w:webHidden/>
          </w:rPr>
        </w:r>
        <w:r w:rsidR="00352A4D">
          <w:rPr>
            <w:noProof/>
            <w:webHidden/>
          </w:rPr>
          <w:fldChar w:fldCharType="separate"/>
        </w:r>
        <w:r w:rsidR="00352A4D">
          <w:rPr>
            <w:noProof/>
            <w:webHidden/>
          </w:rPr>
          <w:t>81</w:t>
        </w:r>
        <w:r w:rsidR="00352A4D">
          <w:rPr>
            <w:noProof/>
            <w:webHidden/>
          </w:rPr>
          <w:fldChar w:fldCharType="end"/>
        </w:r>
      </w:hyperlink>
    </w:p>
    <w:p w14:paraId="4108BD2E" w14:textId="77777777" w:rsidR="00352A4D" w:rsidRDefault="008B5E15">
      <w:pPr>
        <w:pStyle w:val="Tabladeilustraciones"/>
        <w:tabs>
          <w:tab w:val="right" w:leader="dot" w:pos="9394"/>
        </w:tabs>
        <w:rPr>
          <w:rFonts w:eastAsiaTheme="minorEastAsia"/>
          <w:noProof/>
          <w:lang w:val="es-ES" w:eastAsia="es-ES"/>
        </w:rPr>
      </w:pPr>
      <w:hyperlink w:anchor="_Toc525652495" w:history="1">
        <w:r w:rsidR="00352A4D" w:rsidRPr="0034296F">
          <w:rPr>
            <w:rStyle w:val="Hipervnculo"/>
            <w:noProof/>
          </w:rPr>
          <w:t>Tabla 50 Numero De Cargos Asignados A 30 de junio de 2018 ANH</w:t>
        </w:r>
        <w:r w:rsidR="00352A4D">
          <w:rPr>
            <w:noProof/>
            <w:webHidden/>
          </w:rPr>
          <w:tab/>
        </w:r>
        <w:r w:rsidR="00352A4D">
          <w:rPr>
            <w:noProof/>
            <w:webHidden/>
          </w:rPr>
          <w:fldChar w:fldCharType="begin"/>
        </w:r>
        <w:r w:rsidR="00352A4D">
          <w:rPr>
            <w:noProof/>
            <w:webHidden/>
          </w:rPr>
          <w:instrText xml:space="preserve"> PAGEREF _Toc525652495 \h </w:instrText>
        </w:r>
        <w:r w:rsidR="00352A4D">
          <w:rPr>
            <w:noProof/>
            <w:webHidden/>
          </w:rPr>
        </w:r>
        <w:r w:rsidR="00352A4D">
          <w:rPr>
            <w:noProof/>
            <w:webHidden/>
          </w:rPr>
          <w:fldChar w:fldCharType="separate"/>
        </w:r>
        <w:r w:rsidR="00352A4D">
          <w:rPr>
            <w:noProof/>
            <w:webHidden/>
          </w:rPr>
          <w:t>82</w:t>
        </w:r>
        <w:r w:rsidR="00352A4D">
          <w:rPr>
            <w:noProof/>
            <w:webHidden/>
          </w:rPr>
          <w:fldChar w:fldCharType="end"/>
        </w:r>
      </w:hyperlink>
    </w:p>
    <w:p w14:paraId="074E5413" w14:textId="77777777" w:rsidR="00352A4D" w:rsidRDefault="008B5E15">
      <w:pPr>
        <w:pStyle w:val="Tabladeilustraciones"/>
        <w:tabs>
          <w:tab w:val="right" w:leader="dot" w:pos="9394"/>
        </w:tabs>
        <w:rPr>
          <w:rFonts w:eastAsiaTheme="minorEastAsia"/>
          <w:noProof/>
          <w:lang w:val="es-ES" w:eastAsia="es-ES"/>
        </w:rPr>
      </w:pPr>
      <w:hyperlink w:anchor="_Toc525652496" w:history="1">
        <w:r w:rsidR="00352A4D" w:rsidRPr="0034296F">
          <w:rPr>
            <w:rStyle w:val="Hipervnculo"/>
            <w:noProof/>
          </w:rPr>
          <w:t>Tabla 51Ejecución Gastos de Personal A 30 de junio e 2018 ANH</w:t>
        </w:r>
        <w:r w:rsidR="00352A4D">
          <w:rPr>
            <w:noProof/>
            <w:webHidden/>
          </w:rPr>
          <w:tab/>
        </w:r>
        <w:r w:rsidR="00352A4D">
          <w:rPr>
            <w:noProof/>
            <w:webHidden/>
          </w:rPr>
          <w:fldChar w:fldCharType="begin"/>
        </w:r>
        <w:r w:rsidR="00352A4D">
          <w:rPr>
            <w:noProof/>
            <w:webHidden/>
          </w:rPr>
          <w:instrText xml:space="preserve"> PAGEREF _Toc525652496 \h </w:instrText>
        </w:r>
        <w:r w:rsidR="00352A4D">
          <w:rPr>
            <w:noProof/>
            <w:webHidden/>
          </w:rPr>
        </w:r>
        <w:r w:rsidR="00352A4D">
          <w:rPr>
            <w:noProof/>
            <w:webHidden/>
          </w:rPr>
          <w:fldChar w:fldCharType="separate"/>
        </w:r>
        <w:r w:rsidR="00352A4D">
          <w:rPr>
            <w:noProof/>
            <w:webHidden/>
          </w:rPr>
          <w:t>83</w:t>
        </w:r>
        <w:r w:rsidR="00352A4D">
          <w:rPr>
            <w:noProof/>
            <w:webHidden/>
          </w:rPr>
          <w:fldChar w:fldCharType="end"/>
        </w:r>
      </w:hyperlink>
    </w:p>
    <w:p w14:paraId="62FBFF84" w14:textId="77777777" w:rsidR="00352A4D" w:rsidRDefault="008B5E15">
      <w:pPr>
        <w:pStyle w:val="Tabladeilustraciones"/>
        <w:tabs>
          <w:tab w:val="right" w:leader="dot" w:pos="9394"/>
        </w:tabs>
        <w:rPr>
          <w:rFonts w:eastAsiaTheme="minorEastAsia"/>
          <w:noProof/>
          <w:lang w:val="es-ES" w:eastAsia="es-ES"/>
        </w:rPr>
      </w:pPr>
      <w:hyperlink w:anchor="_Toc525652497" w:history="1">
        <w:r w:rsidR="00352A4D" w:rsidRPr="0034296F">
          <w:rPr>
            <w:rStyle w:val="Hipervnculo"/>
            <w:noProof/>
          </w:rPr>
          <w:t>Tabla 52Ejecución Gastos de Personal OAJ – Servicios Indirectos A 30 de junio de 2018 ANH</w:t>
        </w:r>
        <w:r w:rsidR="00352A4D">
          <w:rPr>
            <w:noProof/>
            <w:webHidden/>
          </w:rPr>
          <w:tab/>
        </w:r>
        <w:r w:rsidR="00352A4D">
          <w:rPr>
            <w:noProof/>
            <w:webHidden/>
          </w:rPr>
          <w:fldChar w:fldCharType="begin"/>
        </w:r>
        <w:r w:rsidR="00352A4D">
          <w:rPr>
            <w:noProof/>
            <w:webHidden/>
          </w:rPr>
          <w:instrText xml:space="preserve"> PAGEREF _Toc525652497 \h </w:instrText>
        </w:r>
        <w:r w:rsidR="00352A4D">
          <w:rPr>
            <w:noProof/>
            <w:webHidden/>
          </w:rPr>
        </w:r>
        <w:r w:rsidR="00352A4D">
          <w:rPr>
            <w:noProof/>
            <w:webHidden/>
          </w:rPr>
          <w:fldChar w:fldCharType="separate"/>
        </w:r>
        <w:r w:rsidR="00352A4D">
          <w:rPr>
            <w:noProof/>
            <w:webHidden/>
          </w:rPr>
          <w:t>85</w:t>
        </w:r>
        <w:r w:rsidR="00352A4D">
          <w:rPr>
            <w:noProof/>
            <w:webHidden/>
          </w:rPr>
          <w:fldChar w:fldCharType="end"/>
        </w:r>
      </w:hyperlink>
    </w:p>
    <w:p w14:paraId="78866801" w14:textId="77777777" w:rsidR="00352A4D" w:rsidRDefault="008B5E15">
      <w:pPr>
        <w:pStyle w:val="Tabladeilustraciones"/>
        <w:tabs>
          <w:tab w:val="right" w:leader="dot" w:pos="9394"/>
        </w:tabs>
        <w:rPr>
          <w:rFonts w:eastAsiaTheme="minorEastAsia"/>
          <w:noProof/>
          <w:lang w:val="es-ES" w:eastAsia="es-ES"/>
        </w:rPr>
      </w:pPr>
      <w:hyperlink w:anchor="_Toc525652498" w:history="1">
        <w:r w:rsidR="00352A4D" w:rsidRPr="0034296F">
          <w:rPr>
            <w:rStyle w:val="Hipervnculo"/>
            <w:noProof/>
          </w:rPr>
          <w:t>Tabla 53Ejecución Gastos de Personal – Administrativa Servicios Indirectos A 30 de junio de 2018 ANH</w:t>
        </w:r>
        <w:r w:rsidR="00352A4D">
          <w:rPr>
            <w:noProof/>
            <w:webHidden/>
          </w:rPr>
          <w:tab/>
        </w:r>
        <w:r w:rsidR="00352A4D">
          <w:rPr>
            <w:noProof/>
            <w:webHidden/>
          </w:rPr>
          <w:fldChar w:fldCharType="begin"/>
        </w:r>
        <w:r w:rsidR="00352A4D">
          <w:rPr>
            <w:noProof/>
            <w:webHidden/>
          </w:rPr>
          <w:instrText xml:space="preserve"> PAGEREF _Toc525652498 \h </w:instrText>
        </w:r>
        <w:r w:rsidR="00352A4D">
          <w:rPr>
            <w:noProof/>
            <w:webHidden/>
          </w:rPr>
        </w:r>
        <w:r w:rsidR="00352A4D">
          <w:rPr>
            <w:noProof/>
            <w:webHidden/>
          </w:rPr>
          <w:fldChar w:fldCharType="separate"/>
        </w:r>
        <w:r w:rsidR="00352A4D">
          <w:rPr>
            <w:noProof/>
            <w:webHidden/>
          </w:rPr>
          <w:t>86</w:t>
        </w:r>
        <w:r w:rsidR="00352A4D">
          <w:rPr>
            <w:noProof/>
            <w:webHidden/>
          </w:rPr>
          <w:fldChar w:fldCharType="end"/>
        </w:r>
      </w:hyperlink>
    </w:p>
    <w:p w14:paraId="5750F4A2" w14:textId="77777777" w:rsidR="00352A4D" w:rsidRDefault="008B5E15">
      <w:pPr>
        <w:pStyle w:val="Tabladeilustraciones"/>
        <w:tabs>
          <w:tab w:val="right" w:leader="dot" w:pos="9394"/>
        </w:tabs>
        <w:rPr>
          <w:rFonts w:eastAsiaTheme="minorEastAsia"/>
          <w:noProof/>
          <w:lang w:val="es-ES" w:eastAsia="es-ES"/>
        </w:rPr>
      </w:pPr>
      <w:hyperlink w:anchor="_Toc525652499" w:history="1">
        <w:r w:rsidR="00352A4D" w:rsidRPr="0034296F">
          <w:rPr>
            <w:rStyle w:val="Hipervnculo"/>
            <w:noProof/>
          </w:rPr>
          <w:t>Tabla 54 Ejecución Gastos de Personal – Talento Humano Servicios Indirectos A 30 de junio de 2018 ANH</w:t>
        </w:r>
        <w:r w:rsidR="00352A4D">
          <w:rPr>
            <w:noProof/>
            <w:webHidden/>
          </w:rPr>
          <w:tab/>
        </w:r>
        <w:r w:rsidR="00352A4D">
          <w:rPr>
            <w:noProof/>
            <w:webHidden/>
          </w:rPr>
          <w:fldChar w:fldCharType="begin"/>
        </w:r>
        <w:r w:rsidR="00352A4D">
          <w:rPr>
            <w:noProof/>
            <w:webHidden/>
          </w:rPr>
          <w:instrText xml:space="preserve"> PAGEREF _Toc525652499 \h </w:instrText>
        </w:r>
        <w:r w:rsidR="00352A4D">
          <w:rPr>
            <w:noProof/>
            <w:webHidden/>
          </w:rPr>
        </w:r>
        <w:r w:rsidR="00352A4D">
          <w:rPr>
            <w:noProof/>
            <w:webHidden/>
          </w:rPr>
          <w:fldChar w:fldCharType="separate"/>
        </w:r>
        <w:r w:rsidR="00352A4D">
          <w:rPr>
            <w:noProof/>
            <w:webHidden/>
          </w:rPr>
          <w:t>86</w:t>
        </w:r>
        <w:r w:rsidR="00352A4D">
          <w:rPr>
            <w:noProof/>
            <w:webHidden/>
          </w:rPr>
          <w:fldChar w:fldCharType="end"/>
        </w:r>
      </w:hyperlink>
    </w:p>
    <w:p w14:paraId="57C5D7DF" w14:textId="77777777" w:rsidR="00352A4D" w:rsidRDefault="008B5E15">
      <w:pPr>
        <w:pStyle w:val="Tabladeilustraciones"/>
        <w:tabs>
          <w:tab w:val="right" w:leader="dot" w:pos="9394"/>
        </w:tabs>
        <w:rPr>
          <w:rFonts w:eastAsiaTheme="minorEastAsia"/>
          <w:noProof/>
          <w:lang w:val="es-ES" w:eastAsia="es-ES"/>
        </w:rPr>
      </w:pPr>
      <w:hyperlink w:anchor="_Toc525652500" w:history="1">
        <w:r w:rsidR="00352A4D" w:rsidRPr="0034296F">
          <w:rPr>
            <w:rStyle w:val="Hipervnculo"/>
            <w:noProof/>
          </w:rPr>
          <w:t>Tabla 55 Ejecución Gastos de Personal – Participación Ciudadana Servicios Indirectos A 30 de junio de  2018 ANH</w:t>
        </w:r>
        <w:r w:rsidR="00352A4D">
          <w:rPr>
            <w:noProof/>
            <w:webHidden/>
          </w:rPr>
          <w:tab/>
        </w:r>
        <w:r w:rsidR="00352A4D">
          <w:rPr>
            <w:noProof/>
            <w:webHidden/>
          </w:rPr>
          <w:fldChar w:fldCharType="begin"/>
        </w:r>
        <w:r w:rsidR="00352A4D">
          <w:rPr>
            <w:noProof/>
            <w:webHidden/>
          </w:rPr>
          <w:instrText xml:space="preserve"> PAGEREF _Toc525652500 \h </w:instrText>
        </w:r>
        <w:r w:rsidR="00352A4D">
          <w:rPr>
            <w:noProof/>
            <w:webHidden/>
          </w:rPr>
        </w:r>
        <w:r w:rsidR="00352A4D">
          <w:rPr>
            <w:noProof/>
            <w:webHidden/>
          </w:rPr>
          <w:fldChar w:fldCharType="separate"/>
        </w:r>
        <w:r w:rsidR="00352A4D">
          <w:rPr>
            <w:noProof/>
            <w:webHidden/>
          </w:rPr>
          <w:t>87</w:t>
        </w:r>
        <w:r w:rsidR="00352A4D">
          <w:rPr>
            <w:noProof/>
            <w:webHidden/>
          </w:rPr>
          <w:fldChar w:fldCharType="end"/>
        </w:r>
      </w:hyperlink>
    </w:p>
    <w:p w14:paraId="5BF76ADD" w14:textId="77777777" w:rsidR="00352A4D" w:rsidRDefault="008B5E15">
      <w:pPr>
        <w:pStyle w:val="Tabladeilustraciones"/>
        <w:tabs>
          <w:tab w:val="right" w:leader="dot" w:pos="9394"/>
        </w:tabs>
        <w:rPr>
          <w:rFonts w:eastAsiaTheme="minorEastAsia"/>
          <w:noProof/>
          <w:lang w:val="es-ES" w:eastAsia="es-ES"/>
        </w:rPr>
      </w:pPr>
      <w:hyperlink w:anchor="_Toc525652501" w:history="1">
        <w:r w:rsidR="00352A4D" w:rsidRPr="0034296F">
          <w:rPr>
            <w:rStyle w:val="Hipervnculo"/>
            <w:noProof/>
          </w:rPr>
          <w:t>Tabla 56Ejecución Gastos de Personal – Financiera Servicios Indirectos A 30 de junio de 2018 ANH</w:t>
        </w:r>
        <w:r w:rsidR="00352A4D">
          <w:rPr>
            <w:noProof/>
            <w:webHidden/>
          </w:rPr>
          <w:tab/>
        </w:r>
        <w:r w:rsidR="00352A4D">
          <w:rPr>
            <w:noProof/>
            <w:webHidden/>
          </w:rPr>
          <w:fldChar w:fldCharType="begin"/>
        </w:r>
        <w:r w:rsidR="00352A4D">
          <w:rPr>
            <w:noProof/>
            <w:webHidden/>
          </w:rPr>
          <w:instrText xml:space="preserve"> PAGEREF _Toc525652501 \h </w:instrText>
        </w:r>
        <w:r w:rsidR="00352A4D">
          <w:rPr>
            <w:noProof/>
            <w:webHidden/>
          </w:rPr>
        </w:r>
        <w:r w:rsidR="00352A4D">
          <w:rPr>
            <w:noProof/>
            <w:webHidden/>
          </w:rPr>
          <w:fldChar w:fldCharType="separate"/>
        </w:r>
        <w:r w:rsidR="00352A4D">
          <w:rPr>
            <w:noProof/>
            <w:webHidden/>
          </w:rPr>
          <w:t>87</w:t>
        </w:r>
        <w:r w:rsidR="00352A4D">
          <w:rPr>
            <w:noProof/>
            <w:webHidden/>
          </w:rPr>
          <w:fldChar w:fldCharType="end"/>
        </w:r>
      </w:hyperlink>
    </w:p>
    <w:p w14:paraId="3DCB8CDB" w14:textId="77777777" w:rsidR="00352A4D" w:rsidRDefault="008B5E15">
      <w:pPr>
        <w:pStyle w:val="Tabladeilustraciones"/>
        <w:tabs>
          <w:tab w:val="right" w:leader="dot" w:pos="9394"/>
        </w:tabs>
        <w:rPr>
          <w:rFonts w:eastAsiaTheme="minorEastAsia"/>
          <w:noProof/>
          <w:lang w:val="es-ES" w:eastAsia="es-ES"/>
        </w:rPr>
      </w:pPr>
      <w:hyperlink w:anchor="_Toc525652502" w:history="1">
        <w:r w:rsidR="00352A4D" w:rsidRPr="0034296F">
          <w:rPr>
            <w:rStyle w:val="Hipervnculo"/>
            <w:noProof/>
          </w:rPr>
          <w:t>Tabla 57 Ejecución Gastos Generales –A 30 de junio de  2018 ANH</w:t>
        </w:r>
        <w:r w:rsidR="00352A4D">
          <w:rPr>
            <w:noProof/>
            <w:webHidden/>
          </w:rPr>
          <w:tab/>
        </w:r>
        <w:r w:rsidR="00352A4D">
          <w:rPr>
            <w:noProof/>
            <w:webHidden/>
          </w:rPr>
          <w:fldChar w:fldCharType="begin"/>
        </w:r>
        <w:r w:rsidR="00352A4D">
          <w:rPr>
            <w:noProof/>
            <w:webHidden/>
          </w:rPr>
          <w:instrText xml:space="preserve"> PAGEREF _Toc525652502 \h </w:instrText>
        </w:r>
        <w:r w:rsidR="00352A4D">
          <w:rPr>
            <w:noProof/>
            <w:webHidden/>
          </w:rPr>
        </w:r>
        <w:r w:rsidR="00352A4D">
          <w:rPr>
            <w:noProof/>
            <w:webHidden/>
          </w:rPr>
          <w:fldChar w:fldCharType="separate"/>
        </w:r>
        <w:r w:rsidR="00352A4D">
          <w:rPr>
            <w:noProof/>
            <w:webHidden/>
          </w:rPr>
          <w:t>88</w:t>
        </w:r>
        <w:r w:rsidR="00352A4D">
          <w:rPr>
            <w:noProof/>
            <w:webHidden/>
          </w:rPr>
          <w:fldChar w:fldCharType="end"/>
        </w:r>
      </w:hyperlink>
    </w:p>
    <w:p w14:paraId="44E78EF7" w14:textId="77777777" w:rsidR="00352A4D" w:rsidRDefault="008B5E15">
      <w:pPr>
        <w:pStyle w:val="Tabladeilustraciones"/>
        <w:tabs>
          <w:tab w:val="right" w:leader="dot" w:pos="9394"/>
        </w:tabs>
        <w:rPr>
          <w:rFonts w:eastAsiaTheme="minorEastAsia"/>
          <w:noProof/>
          <w:lang w:val="es-ES" w:eastAsia="es-ES"/>
        </w:rPr>
      </w:pPr>
      <w:hyperlink w:anchor="_Toc525652503" w:history="1">
        <w:r w:rsidR="00352A4D" w:rsidRPr="0034296F">
          <w:rPr>
            <w:rStyle w:val="Hipervnculo"/>
            <w:noProof/>
          </w:rPr>
          <w:t>Tabla 58 Ejecución Gastos Generales –Adquisición de bienes y Servicios 30 de junio de  2018 ANH</w:t>
        </w:r>
        <w:r w:rsidR="00352A4D">
          <w:rPr>
            <w:noProof/>
            <w:webHidden/>
          </w:rPr>
          <w:tab/>
        </w:r>
        <w:r w:rsidR="00352A4D">
          <w:rPr>
            <w:noProof/>
            <w:webHidden/>
          </w:rPr>
          <w:fldChar w:fldCharType="begin"/>
        </w:r>
        <w:r w:rsidR="00352A4D">
          <w:rPr>
            <w:noProof/>
            <w:webHidden/>
          </w:rPr>
          <w:instrText xml:space="preserve"> PAGEREF _Toc525652503 \h </w:instrText>
        </w:r>
        <w:r w:rsidR="00352A4D">
          <w:rPr>
            <w:noProof/>
            <w:webHidden/>
          </w:rPr>
        </w:r>
        <w:r w:rsidR="00352A4D">
          <w:rPr>
            <w:noProof/>
            <w:webHidden/>
          </w:rPr>
          <w:fldChar w:fldCharType="separate"/>
        </w:r>
        <w:r w:rsidR="00352A4D">
          <w:rPr>
            <w:noProof/>
            <w:webHidden/>
          </w:rPr>
          <w:t>88</w:t>
        </w:r>
        <w:r w:rsidR="00352A4D">
          <w:rPr>
            <w:noProof/>
            <w:webHidden/>
          </w:rPr>
          <w:fldChar w:fldCharType="end"/>
        </w:r>
      </w:hyperlink>
    </w:p>
    <w:p w14:paraId="026478AB" w14:textId="77777777" w:rsidR="00352A4D" w:rsidRDefault="008B5E15">
      <w:pPr>
        <w:pStyle w:val="Tabladeilustraciones"/>
        <w:tabs>
          <w:tab w:val="right" w:leader="dot" w:pos="9394"/>
        </w:tabs>
        <w:rPr>
          <w:rFonts w:eastAsiaTheme="minorEastAsia"/>
          <w:noProof/>
          <w:lang w:val="es-ES" w:eastAsia="es-ES"/>
        </w:rPr>
      </w:pPr>
      <w:hyperlink w:anchor="_Toc525652504" w:history="1">
        <w:r w:rsidR="00352A4D" w:rsidRPr="0034296F">
          <w:rPr>
            <w:rStyle w:val="Hipervnculo"/>
            <w:noProof/>
          </w:rPr>
          <w:t>Tabla 59Ejecución Gastos Generales –Oficina Asesora Jurídica- 30 de junio de  2018 ANH</w:t>
        </w:r>
        <w:r w:rsidR="00352A4D">
          <w:rPr>
            <w:noProof/>
            <w:webHidden/>
          </w:rPr>
          <w:tab/>
        </w:r>
        <w:r w:rsidR="00352A4D">
          <w:rPr>
            <w:noProof/>
            <w:webHidden/>
          </w:rPr>
          <w:fldChar w:fldCharType="begin"/>
        </w:r>
        <w:r w:rsidR="00352A4D">
          <w:rPr>
            <w:noProof/>
            <w:webHidden/>
          </w:rPr>
          <w:instrText xml:space="preserve"> PAGEREF _Toc525652504 \h </w:instrText>
        </w:r>
        <w:r w:rsidR="00352A4D">
          <w:rPr>
            <w:noProof/>
            <w:webHidden/>
          </w:rPr>
        </w:r>
        <w:r w:rsidR="00352A4D">
          <w:rPr>
            <w:noProof/>
            <w:webHidden/>
          </w:rPr>
          <w:fldChar w:fldCharType="separate"/>
        </w:r>
        <w:r w:rsidR="00352A4D">
          <w:rPr>
            <w:noProof/>
            <w:webHidden/>
          </w:rPr>
          <w:t>89</w:t>
        </w:r>
        <w:r w:rsidR="00352A4D">
          <w:rPr>
            <w:noProof/>
            <w:webHidden/>
          </w:rPr>
          <w:fldChar w:fldCharType="end"/>
        </w:r>
      </w:hyperlink>
    </w:p>
    <w:p w14:paraId="6375F0EA" w14:textId="77777777" w:rsidR="00352A4D" w:rsidRDefault="008B5E15">
      <w:pPr>
        <w:pStyle w:val="Tabladeilustraciones"/>
        <w:tabs>
          <w:tab w:val="right" w:leader="dot" w:pos="9394"/>
        </w:tabs>
        <w:rPr>
          <w:rFonts w:eastAsiaTheme="minorEastAsia"/>
          <w:noProof/>
          <w:lang w:val="es-ES" w:eastAsia="es-ES"/>
        </w:rPr>
      </w:pPr>
      <w:hyperlink w:anchor="_Toc525652505" w:history="1">
        <w:r w:rsidR="00352A4D" w:rsidRPr="0034296F">
          <w:rPr>
            <w:rStyle w:val="Hipervnculo"/>
            <w:noProof/>
          </w:rPr>
          <w:t>Tabla 60 Ejecución Gastos Generales –Administrativa- 30 de junio de  2018 ANH</w:t>
        </w:r>
        <w:r w:rsidR="00352A4D">
          <w:rPr>
            <w:noProof/>
            <w:webHidden/>
          </w:rPr>
          <w:tab/>
        </w:r>
        <w:r w:rsidR="00352A4D">
          <w:rPr>
            <w:noProof/>
            <w:webHidden/>
          </w:rPr>
          <w:fldChar w:fldCharType="begin"/>
        </w:r>
        <w:r w:rsidR="00352A4D">
          <w:rPr>
            <w:noProof/>
            <w:webHidden/>
          </w:rPr>
          <w:instrText xml:space="preserve"> PAGEREF _Toc525652505 \h </w:instrText>
        </w:r>
        <w:r w:rsidR="00352A4D">
          <w:rPr>
            <w:noProof/>
            <w:webHidden/>
          </w:rPr>
        </w:r>
        <w:r w:rsidR="00352A4D">
          <w:rPr>
            <w:noProof/>
            <w:webHidden/>
          </w:rPr>
          <w:fldChar w:fldCharType="separate"/>
        </w:r>
        <w:r w:rsidR="00352A4D">
          <w:rPr>
            <w:noProof/>
            <w:webHidden/>
          </w:rPr>
          <w:t>91</w:t>
        </w:r>
        <w:r w:rsidR="00352A4D">
          <w:rPr>
            <w:noProof/>
            <w:webHidden/>
          </w:rPr>
          <w:fldChar w:fldCharType="end"/>
        </w:r>
      </w:hyperlink>
    </w:p>
    <w:p w14:paraId="3EA83513" w14:textId="77777777" w:rsidR="00352A4D" w:rsidRDefault="008B5E15">
      <w:pPr>
        <w:pStyle w:val="Tabladeilustraciones"/>
        <w:tabs>
          <w:tab w:val="right" w:leader="dot" w:pos="9394"/>
        </w:tabs>
        <w:rPr>
          <w:rFonts w:eastAsiaTheme="minorEastAsia"/>
          <w:noProof/>
          <w:lang w:val="es-ES" w:eastAsia="es-ES"/>
        </w:rPr>
      </w:pPr>
      <w:hyperlink w:anchor="_Toc525652506" w:history="1">
        <w:r w:rsidR="00352A4D" w:rsidRPr="0034296F">
          <w:rPr>
            <w:rStyle w:val="Hipervnculo"/>
            <w:noProof/>
          </w:rPr>
          <w:t>Tabla 61Ejecución Gastos Generales – Talento Humano- 30 de junio de  2018 ANH</w:t>
        </w:r>
        <w:r w:rsidR="00352A4D">
          <w:rPr>
            <w:noProof/>
            <w:webHidden/>
          </w:rPr>
          <w:tab/>
        </w:r>
        <w:r w:rsidR="00352A4D">
          <w:rPr>
            <w:noProof/>
            <w:webHidden/>
          </w:rPr>
          <w:fldChar w:fldCharType="begin"/>
        </w:r>
        <w:r w:rsidR="00352A4D">
          <w:rPr>
            <w:noProof/>
            <w:webHidden/>
          </w:rPr>
          <w:instrText xml:space="preserve"> PAGEREF _Toc525652506 \h </w:instrText>
        </w:r>
        <w:r w:rsidR="00352A4D">
          <w:rPr>
            <w:noProof/>
            <w:webHidden/>
          </w:rPr>
        </w:r>
        <w:r w:rsidR="00352A4D">
          <w:rPr>
            <w:noProof/>
            <w:webHidden/>
          </w:rPr>
          <w:fldChar w:fldCharType="separate"/>
        </w:r>
        <w:r w:rsidR="00352A4D">
          <w:rPr>
            <w:noProof/>
            <w:webHidden/>
          </w:rPr>
          <w:t>91</w:t>
        </w:r>
        <w:r w:rsidR="00352A4D">
          <w:rPr>
            <w:noProof/>
            <w:webHidden/>
          </w:rPr>
          <w:fldChar w:fldCharType="end"/>
        </w:r>
      </w:hyperlink>
    </w:p>
    <w:p w14:paraId="5608F23E" w14:textId="77777777" w:rsidR="00352A4D" w:rsidRDefault="008B5E15">
      <w:pPr>
        <w:pStyle w:val="Tabladeilustraciones"/>
        <w:tabs>
          <w:tab w:val="right" w:leader="dot" w:pos="9394"/>
        </w:tabs>
        <w:rPr>
          <w:rFonts w:eastAsiaTheme="minorEastAsia"/>
          <w:noProof/>
          <w:lang w:val="es-ES" w:eastAsia="es-ES"/>
        </w:rPr>
      </w:pPr>
      <w:hyperlink w:anchor="_Toc525652507" w:history="1">
        <w:r w:rsidR="00352A4D" w:rsidRPr="0034296F">
          <w:rPr>
            <w:rStyle w:val="Hipervnculo"/>
            <w:noProof/>
          </w:rPr>
          <w:t>Tabla 62Ejecución Gastos Generales – Financiera- 3 de junio de  2018 ANH</w:t>
        </w:r>
        <w:r w:rsidR="00352A4D">
          <w:rPr>
            <w:noProof/>
            <w:webHidden/>
          </w:rPr>
          <w:tab/>
        </w:r>
        <w:r w:rsidR="00352A4D">
          <w:rPr>
            <w:noProof/>
            <w:webHidden/>
          </w:rPr>
          <w:fldChar w:fldCharType="begin"/>
        </w:r>
        <w:r w:rsidR="00352A4D">
          <w:rPr>
            <w:noProof/>
            <w:webHidden/>
          </w:rPr>
          <w:instrText xml:space="preserve"> PAGEREF _Toc525652507 \h </w:instrText>
        </w:r>
        <w:r w:rsidR="00352A4D">
          <w:rPr>
            <w:noProof/>
            <w:webHidden/>
          </w:rPr>
        </w:r>
        <w:r w:rsidR="00352A4D">
          <w:rPr>
            <w:noProof/>
            <w:webHidden/>
          </w:rPr>
          <w:fldChar w:fldCharType="separate"/>
        </w:r>
        <w:r w:rsidR="00352A4D">
          <w:rPr>
            <w:noProof/>
            <w:webHidden/>
          </w:rPr>
          <w:t>92</w:t>
        </w:r>
        <w:r w:rsidR="00352A4D">
          <w:rPr>
            <w:noProof/>
            <w:webHidden/>
          </w:rPr>
          <w:fldChar w:fldCharType="end"/>
        </w:r>
      </w:hyperlink>
    </w:p>
    <w:p w14:paraId="30421448" w14:textId="77777777" w:rsidR="00352A4D" w:rsidRDefault="008B5E15">
      <w:pPr>
        <w:pStyle w:val="Tabladeilustraciones"/>
        <w:tabs>
          <w:tab w:val="right" w:leader="dot" w:pos="9394"/>
        </w:tabs>
        <w:rPr>
          <w:rFonts w:eastAsiaTheme="minorEastAsia"/>
          <w:noProof/>
          <w:lang w:val="es-ES" w:eastAsia="es-ES"/>
        </w:rPr>
      </w:pPr>
      <w:hyperlink w:anchor="_Toc525652508" w:history="1">
        <w:r w:rsidR="00352A4D" w:rsidRPr="0034296F">
          <w:rPr>
            <w:rStyle w:val="Hipervnculo"/>
            <w:noProof/>
          </w:rPr>
          <w:t>Tabla 63Ejecución Gastos Generales – Transferencia Corrientes – 30 de junio de  2018 ANH</w:t>
        </w:r>
        <w:r w:rsidR="00352A4D">
          <w:rPr>
            <w:noProof/>
            <w:webHidden/>
          </w:rPr>
          <w:tab/>
        </w:r>
        <w:r w:rsidR="00352A4D">
          <w:rPr>
            <w:noProof/>
            <w:webHidden/>
          </w:rPr>
          <w:fldChar w:fldCharType="begin"/>
        </w:r>
        <w:r w:rsidR="00352A4D">
          <w:rPr>
            <w:noProof/>
            <w:webHidden/>
          </w:rPr>
          <w:instrText xml:space="preserve"> PAGEREF _Toc525652508 \h </w:instrText>
        </w:r>
        <w:r w:rsidR="00352A4D">
          <w:rPr>
            <w:noProof/>
            <w:webHidden/>
          </w:rPr>
        </w:r>
        <w:r w:rsidR="00352A4D">
          <w:rPr>
            <w:noProof/>
            <w:webHidden/>
          </w:rPr>
          <w:fldChar w:fldCharType="separate"/>
        </w:r>
        <w:r w:rsidR="00352A4D">
          <w:rPr>
            <w:noProof/>
            <w:webHidden/>
          </w:rPr>
          <w:t>93</w:t>
        </w:r>
        <w:r w:rsidR="00352A4D">
          <w:rPr>
            <w:noProof/>
            <w:webHidden/>
          </w:rPr>
          <w:fldChar w:fldCharType="end"/>
        </w:r>
      </w:hyperlink>
    </w:p>
    <w:p w14:paraId="7210ED3D" w14:textId="77777777" w:rsidR="00352A4D" w:rsidRDefault="008B5E15">
      <w:pPr>
        <w:pStyle w:val="Tabladeilustraciones"/>
        <w:tabs>
          <w:tab w:val="right" w:leader="dot" w:pos="9394"/>
        </w:tabs>
        <w:rPr>
          <w:rFonts w:eastAsiaTheme="minorEastAsia"/>
          <w:noProof/>
          <w:lang w:val="es-ES" w:eastAsia="es-ES"/>
        </w:rPr>
      </w:pPr>
      <w:hyperlink w:anchor="_Toc525652509" w:history="1">
        <w:r w:rsidR="00352A4D" w:rsidRPr="0034296F">
          <w:rPr>
            <w:rStyle w:val="Hipervnculo"/>
            <w:noProof/>
          </w:rPr>
          <w:t>Tabla 64Ejecución Gastos de Comercialización y Producción – 30 de junio de  2018 ANH</w:t>
        </w:r>
        <w:r w:rsidR="00352A4D">
          <w:rPr>
            <w:noProof/>
            <w:webHidden/>
          </w:rPr>
          <w:tab/>
        </w:r>
        <w:r w:rsidR="00352A4D">
          <w:rPr>
            <w:noProof/>
            <w:webHidden/>
          </w:rPr>
          <w:fldChar w:fldCharType="begin"/>
        </w:r>
        <w:r w:rsidR="00352A4D">
          <w:rPr>
            <w:noProof/>
            <w:webHidden/>
          </w:rPr>
          <w:instrText xml:space="preserve"> PAGEREF _Toc525652509 \h </w:instrText>
        </w:r>
        <w:r w:rsidR="00352A4D">
          <w:rPr>
            <w:noProof/>
            <w:webHidden/>
          </w:rPr>
        </w:r>
        <w:r w:rsidR="00352A4D">
          <w:rPr>
            <w:noProof/>
            <w:webHidden/>
          </w:rPr>
          <w:fldChar w:fldCharType="separate"/>
        </w:r>
        <w:r w:rsidR="00352A4D">
          <w:rPr>
            <w:noProof/>
            <w:webHidden/>
          </w:rPr>
          <w:t>93</w:t>
        </w:r>
        <w:r w:rsidR="00352A4D">
          <w:rPr>
            <w:noProof/>
            <w:webHidden/>
          </w:rPr>
          <w:fldChar w:fldCharType="end"/>
        </w:r>
      </w:hyperlink>
    </w:p>
    <w:p w14:paraId="0E6A2A42" w14:textId="77777777" w:rsidR="00352A4D" w:rsidRDefault="008B5E15">
      <w:pPr>
        <w:pStyle w:val="Tabladeilustraciones"/>
        <w:tabs>
          <w:tab w:val="right" w:leader="dot" w:pos="9394"/>
        </w:tabs>
        <w:rPr>
          <w:rFonts w:eastAsiaTheme="minorEastAsia"/>
          <w:noProof/>
          <w:lang w:val="es-ES" w:eastAsia="es-ES"/>
        </w:rPr>
      </w:pPr>
      <w:hyperlink w:anchor="_Toc525652510" w:history="1">
        <w:r w:rsidR="00352A4D" w:rsidRPr="0034296F">
          <w:rPr>
            <w:rStyle w:val="Hipervnculo"/>
            <w:noProof/>
          </w:rPr>
          <w:t>Tabla 65 Ejecución Gastos de Comercialización y Producción – Por Conceptos 30 de junio de  2018 ANH</w:t>
        </w:r>
        <w:r w:rsidR="00352A4D">
          <w:rPr>
            <w:noProof/>
            <w:webHidden/>
          </w:rPr>
          <w:tab/>
        </w:r>
        <w:r w:rsidR="00352A4D">
          <w:rPr>
            <w:noProof/>
            <w:webHidden/>
          </w:rPr>
          <w:fldChar w:fldCharType="begin"/>
        </w:r>
        <w:r w:rsidR="00352A4D">
          <w:rPr>
            <w:noProof/>
            <w:webHidden/>
          </w:rPr>
          <w:instrText xml:space="preserve"> PAGEREF _Toc525652510 \h </w:instrText>
        </w:r>
        <w:r w:rsidR="00352A4D">
          <w:rPr>
            <w:noProof/>
            <w:webHidden/>
          </w:rPr>
        </w:r>
        <w:r w:rsidR="00352A4D">
          <w:rPr>
            <w:noProof/>
            <w:webHidden/>
          </w:rPr>
          <w:fldChar w:fldCharType="separate"/>
        </w:r>
        <w:r w:rsidR="00352A4D">
          <w:rPr>
            <w:noProof/>
            <w:webHidden/>
          </w:rPr>
          <w:t>94</w:t>
        </w:r>
        <w:r w:rsidR="00352A4D">
          <w:rPr>
            <w:noProof/>
            <w:webHidden/>
          </w:rPr>
          <w:fldChar w:fldCharType="end"/>
        </w:r>
      </w:hyperlink>
    </w:p>
    <w:p w14:paraId="19E3EB70" w14:textId="77777777" w:rsidR="00352A4D" w:rsidRDefault="008B5E15">
      <w:pPr>
        <w:pStyle w:val="Tabladeilustraciones"/>
        <w:tabs>
          <w:tab w:val="right" w:leader="dot" w:pos="9394"/>
        </w:tabs>
        <w:rPr>
          <w:rFonts w:eastAsiaTheme="minorEastAsia"/>
          <w:noProof/>
          <w:lang w:val="es-ES" w:eastAsia="es-ES"/>
        </w:rPr>
      </w:pPr>
      <w:hyperlink w:anchor="_Toc525652511" w:history="1">
        <w:r w:rsidR="00352A4D" w:rsidRPr="0034296F">
          <w:rPr>
            <w:rStyle w:val="Hipervnculo"/>
            <w:noProof/>
          </w:rPr>
          <w:t>Tabla 66Gastos de Comercialización y Producción – Oficina Tecnologías de la Información por Objetos de Contratación 30 de junio de  2018 ANH</w:t>
        </w:r>
        <w:r w:rsidR="00352A4D">
          <w:rPr>
            <w:noProof/>
            <w:webHidden/>
          </w:rPr>
          <w:tab/>
        </w:r>
        <w:r w:rsidR="00352A4D">
          <w:rPr>
            <w:noProof/>
            <w:webHidden/>
          </w:rPr>
          <w:fldChar w:fldCharType="begin"/>
        </w:r>
        <w:r w:rsidR="00352A4D">
          <w:rPr>
            <w:noProof/>
            <w:webHidden/>
          </w:rPr>
          <w:instrText xml:space="preserve"> PAGEREF _Toc525652511 \h </w:instrText>
        </w:r>
        <w:r w:rsidR="00352A4D">
          <w:rPr>
            <w:noProof/>
            <w:webHidden/>
          </w:rPr>
        </w:r>
        <w:r w:rsidR="00352A4D">
          <w:rPr>
            <w:noProof/>
            <w:webHidden/>
          </w:rPr>
          <w:fldChar w:fldCharType="separate"/>
        </w:r>
        <w:r w:rsidR="00352A4D">
          <w:rPr>
            <w:noProof/>
            <w:webHidden/>
          </w:rPr>
          <w:t>94</w:t>
        </w:r>
        <w:r w:rsidR="00352A4D">
          <w:rPr>
            <w:noProof/>
            <w:webHidden/>
          </w:rPr>
          <w:fldChar w:fldCharType="end"/>
        </w:r>
      </w:hyperlink>
    </w:p>
    <w:p w14:paraId="57CBE9C6" w14:textId="77777777" w:rsidR="00352A4D" w:rsidRDefault="008B5E15">
      <w:pPr>
        <w:pStyle w:val="Tabladeilustraciones"/>
        <w:tabs>
          <w:tab w:val="right" w:leader="dot" w:pos="9394"/>
        </w:tabs>
        <w:rPr>
          <w:rFonts w:eastAsiaTheme="minorEastAsia"/>
          <w:noProof/>
          <w:lang w:val="es-ES" w:eastAsia="es-ES"/>
        </w:rPr>
      </w:pPr>
      <w:hyperlink w:anchor="_Toc525652512" w:history="1">
        <w:r w:rsidR="00352A4D" w:rsidRPr="0034296F">
          <w:rPr>
            <w:rStyle w:val="Hipervnculo"/>
            <w:noProof/>
          </w:rPr>
          <w:t>Tabla 67 Gastos de Comercialización y Producción – Oficina Tecnologías de la Información por Objetos de Contratación y Cuantías 30 de junio de  2018 ANH</w:t>
        </w:r>
        <w:r w:rsidR="00352A4D">
          <w:rPr>
            <w:noProof/>
            <w:webHidden/>
          </w:rPr>
          <w:tab/>
        </w:r>
        <w:r w:rsidR="00352A4D">
          <w:rPr>
            <w:noProof/>
            <w:webHidden/>
          </w:rPr>
          <w:fldChar w:fldCharType="begin"/>
        </w:r>
        <w:r w:rsidR="00352A4D">
          <w:rPr>
            <w:noProof/>
            <w:webHidden/>
          </w:rPr>
          <w:instrText xml:space="preserve"> PAGEREF _Toc525652512 \h </w:instrText>
        </w:r>
        <w:r w:rsidR="00352A4D">
          <w:rPr>
            <w:noProof/>
            <w:webHidden/>
          </w:rPr>
        </w:r>
        <w:r w:rsidR="00352A4D">
          <w:rPr>
            <w:noProof/>
            <w:webHidden/>
          </w:rPr>
          <w:fldChar w:fldCharType="separate"/>
        </w:r>
        <w:r w:rsidR="00352A4D">
          <w:rPr>
            <w:noProof/>
            <w:webHidden/>
          </w:rPr>
          <w:t>97</w:t>
        </w:r>
        <w:r w:rsidR="00352A4D">
          <w:rPr>
            <w:noProof/>
            <w:webHidden/>
          </w:rPr>
          <w:fldChar w:fldCharType="end"/>
        </w:r>
      </w:hyperlink>
    </w:p>
    <w:p w14:paraId="44D432B6" w14:textId="77777777" w:rsidR="00352A4D" w:rsidRDefault="008B5E15">
      <w:pPr>
        <w:pStyle w:val="Tabladeilustraciones"/>
        <w:tabs>
          <w:tab w:val="right" w:leader="dot" w:pos="9394"/>
        </w:tabs>
        <w:rPr>
          <w:rFonts w:eastAsiaTheme="minorEastAsia"/>
          <w:noProof/>
          <w:lang w:val="es-ES" w:eastAsia="es-ES"/>
        </w:rPr>
      </w:pPr>
      <w:hyperlink w:anchor="_Toc525652513" w:history="1">
        <w:r w:rsidR="00352A4D" w:rsidRPr="0034296F">
          <w:rPr>
            <w:rStyle w:val="Hipervnculo"/>
            <w:noProof/>
          </w:rPr>
          <w:t>Tabla 68 Gastos de Comercialización y Producción – Oficina Tecnologías de la Información Contratación Prestación de Servicios 30 de junio de  2018 ANH</w:t>
        </w:r>
        <w:r w:rsidR="00352A4D">
          <w:rPr>
            <w:noProof/>
            <w:webHidden/>
          </w:rPr>
          <w:tab/>
        </w:r>
        <w:r w:rsidR="00352A4D">
          <w:rPr>
            <w:noProof/>
            <w:webHidden/>
          </w:rPr>
          <w:fldChar w:fldCharType="begin"/>
        </w:r>
        <w:r w:rsidR="00352A4D">
          <w:rPr>
            <w:noProof/>
            <w:webHidden/>
          </w:rPr>
          <w:instrText xml:space="preserve"> PAGEREF _Toc525652513 \h </w:instrText>
        </w:r>
        <w:r w:rsidR="00352A4D">
          <w:rPr>
            <w:noProof/>
            <w:webHidden/>
          </w:rPr>
        </w:r>
        <w:r w:rsidR="00352A4D">
          <w:rPr>
            <w:noProof/>
            <w:webHidden/>
          </w:rPr>
          <w:fldChar w:fldCharType="separate"/>
        </w:r>
        <w:r w:rsidR="00352A4D">
          <w:rPr>
            <w:noProof/>
            <w:webHidden/>
          </w:rPr>
          <w:t>98</w:t>
        </w:r>
        <w:r w:rsidR="00352A4D">
          <w:rPr>
            <w:noProof/>
            <w:webHidden/>
          </w:rPr>
          <w:fldChar w:fldCharType="end"/>
        </w:r>
      </w:hyperlink>
    </w:p>
    <w:p w14:paraId="1BAA4B88" w14:textId="77777777" w:rsidR="00352A4D" w:rsidRDefault="008B5E15">
      <w:pPr>
        <w:pStyle w:val="Tabladeilustraciones"/>
        <w:tabs>
          <w:tab w:val="right" w:leader="dot" w:pos="9394"/>
        </w:tabs>
        <w:rPr>
          <w:rFonts w:eastAsiaTheme="minorEastAsia"/>
          <w:noProof/>
          <w:lang w:val="es-ES" w:eastAsia="es-ES"/>
        </w:rPr>
      </w:pPr>
      <w:hyperlink w:anchor="_Toc525652514" w:history="1">
        <w:r w:rsidR="00352A4D" w:rsidRPr="0034296F">
          <w:rPr>
            <w:rStyle w:val="Hipervnculo"/>
            <w:noProof/>
          </w:rPr>
          <w:t>Tabla 69 Ejecución Gastos de Comercialización y Producción – Oficina Tecnologías de la Información 30 de junio de  2018 ANH</w:t>
        </w:r>
        <w:r w:rsidR="00352A4D">
          <w:rPr>
            <w:noProof/>
            <w:webHidden/>
          </w:rPr>
          <w:tab/>
        </w:r>
        <w:r w:rsidR="00352A4D">
          <w:rPr>
            <w:noProof/>
            <w:webHidden/>
          </w:rPr>
          <w:fldChar w:fldCharType="begin"/>
        </w:r>
        <w:r w:rsidR="00352A4D">
          <w:rPr>
            <w:noProof/>
            <w:webHidden/>
          </w:rPr>
          <w:instrText xml:space="preserve"> PAGEREF _Toc525652514 \h </w:instrText>
        </w:r>
        <w:r w:rsidR="00352A4D">
          <w:rPr>
            <w:noProof/>
            <w:webHidden/>
          </w:rPr>
        </w:r>
        <w:r w:rsidR="00352A4D">
          <w:rPr>
            <w:noProof/>
            <w:webHidden/>
          </w:rPr>
          <w:fldChar w:fldCharType="separate"/>
        </w:r>
        <w:r w:rsidR="00352A4D">
          <w:rPr>
            <w:noProof/>
            <w:webHidden/>
          </w:rPr>
          <w:t>98</w:t>
        </w:r>
        <w:r w:rsidR="00352A4D">
          <w:rPr>
            <w:noProof/>
            <w:webHidden/>
          </w:rPr>
          <w:fldChar w:fldCharType="end"/>
        </w:r>
      </w:hyperlink>
    </w:p>
    <w:p w14:paraId="6F206AF5" w14:textId="77777777" w:rsidR="00352A4D" w:rsidRDefault="008B5E15">
      <w:pPr>
        <w:pStyle w:val="Tabladeilustraciones"/>
        <w:tabs>
          <w:tab w:val="right" w:leader="dot" w:pos="9394"/>
        </w:tabs>
        <w:rPr>
          <w:rFonts w:eastAsiaTheme="minorEastAsia"/>
          <w:noProof/>
          <w:lang w:val="es-ES" w:eastAsia="es-ES"/>
        </w:rPr>
      </w:pPr>
      <w:hyperlink w:anchor="_Toc525652515" w:history="1">
        <w:r w:rsidR="00352A4D" w:rsidRPr="0034296F">
          <w:rPr>
            <w:rStyle w:val="Hipervnculo"/>
            <w:noProof/>
          </w:rPr>
          <w:t>Tabla 70 Ejecución Gastos de Comercialización y Producción – Oficina Control Interno 30 de junio de  2018 ANH</w:t>
        </w:r>
        <w:r w:rsidR="00352A4D">
          <w:rPr>
            <w:noProof/>
            <w:webHidden/>
          </w:rPr>
          <w:tab/>
        </w:r>
        <w:r w:rsidR="00352A4D">
          <w:rPr>
            <w:noProof/>
            <w:webHidden/>
          </w:rPr>
          <w:fldChar w:fldCharType="begin"/>
        </w:r>
        <w:r w:rsidR="00352A4D">
          <w:rPr>
            <w:noProof/>
            <w:webHidden/>
          </w:rPr>
          <w:instrText xml:space="preserve"> PAGEREF _Toc525652515 \h </w:instrText>
        </w:r>
        <w:r w:rsidR="00352A4D">
          <w:rPr>
            <w:noProof/>
            <w:webHidden/>
          </w:rPr>
        </w:r>
        <w:r w:rsidR="00352A4D">
          <w:rPr>
            <w:noProof/>
            <w:webHidden/>
          </w:rPr>
          <w:fldChar w:fldCharType="separate"/>
        </w:r>
        <w:r w:rsidR="00352A4D">
          <w:rPr>
            <w:noProof/>
            <w:webHidden/>
          </w:rPr>
          <w:t>99</w:t>
        </w:r>
        <w:r w:rsidR="00352A4D">
          <w:rPr>
            <w:noProof/>
            <w:webHidden/>
          </w:rPr>
          <w:fldChar w:fldCharType="end"/>
        </w:r>
      </w:hyperlink>
    </w:p>
    <w:p w14:paraId="49B42EF1" w14:textId="77777777" w:rsidR="00352A4D" w:rsidRDefault="008B5E15">
      <w:pPr>
        <w:pStyle w:val="Tabladeilustraciones"/>
        <w:tabs>
          <w:tab w:val="right" w:leader="dot" w:pos="9394"/>
        </w:tabs>
        <w:rPr>
          <w:rFonts w:eastAsiaTheme="minorEastAsia"/>
          <w:noProof/>
          <w:lang w:val="es-ES" w:eastAsia="es-ES"/>
        </w:rPr>
      </w:pPr>
      <w:hyperlink w:anchor="_Toc525652516" w:history="1">
        <w:r w:rsidR="00352A4D" w:rsidRPr="0034296F">
          <w:rPr>
            <w:rStyle w:val="Hipervnculo"/>
            <w:noProof/>
          </w:rPr>
          <w:t>Tabla 71 Ejecución Gastos de Comercialización y Producción – Oficina Asesora jurídica 30 de junio de  2018 ANH</w:t>
        </w:r>
        <w:r w:rsidR="00352A4D">
          <w:rPr>
            <w:noProof/>
            <w:webHidden/>
          </w:rPr>
          <w:tab/>
        </w:r>
        <w:r w:rsidR="00352A4D">
          <w:rPr>
            <w:noProof/>
            <w:webHidden/>
          </w:rPr>
          <w:fldChar w:fldCharType="begin"/>
        </w:r>
        <w:r w:rsidR="00352A4D">
          <w:rPr>
            <w:noProof/>
            <w:webHidden/>
          </w:rPr>
          <w:instrText xml:space="preserve"> PAGEREF _Toc525652516 \h </w:instrText>
        </w:r>
        <w:r w:rsidR="00352A4D">
          <w:rPr>
            <w:noProof/>
            <w:webHidden/>
          </w:rPr>
        </w:r>
        <w:r w:rsidR="00352A4D">
          <w:rPr>
            <w:noProof/>
            <w:webHidden/>
          </w:rPr>
          <w:fldChar w:fldCharType="separate"/>
        </w:r>
        <w:r w:rsidR="00352A4D">
          <w:rPr>
            <w:noProof/>
            <w:webHidden/>
          </w:rPr>
          <w:t>100</w:t>
        </w:r>
        <w:r w:rsidR="00352A4D">
          <w:rPr>
            <w:noProof/>
            <w:webHidden/>
          </w:rPr>
          <w:fldChar w:fldCharType="end"/>
        </w:r>
      </w:hyperlink>
    </w:p>
    <w:p w14:paraId="2079A9CC" w14:textId="77777777" w:rsidR="00352A4D" w:rsidRDefault="008B5E15">
      <w:pPr>
        <w:pStyle w:val="Tabladeilustraciones"/>
        <w:tabs>
          <w:tab w:val="right" w:leader="dot" w:pos="9394"/>
        </w:tabs>
        <w:rPr>
          <w:rFonts w:eastAsiaTheme="minorEastAsia"/>
          <w:noProof/>
          <w:lang w:val="es-ES" w:eastAsia="es-ES"/>
        </w:rPr>
      </w:pPr>
      <w:hyperlink w:anchor="_Toc525652517" w:history="1">
        <w:r w:rsidR="00352A4D" w:rsidRPr="0034296F">
          <w:rPr>
            <w:rStyle w:val="Hipervnculo"/>
            <w:noProof/>
          </w:rPr>
          <w:t>Tabla 72 Ejecución Gastos de Comercialización y Producción – Planeación 30 de junio de  2018 ANH</w:t>
        </w:r>
        <w:r w:rsidR="00352A4D">
          <w:rPr>
            <w:noProof/>
            <w:webHidden/>
          </w:rPr>
          <w:tab/>
        </w:r>
        <w:r w:rsidR="00352A4D">
          <w:rPr>
            <w:noProof/>
            <w:webHidden/>
          </w:rPr>
          <w:fldChar w:fldCharType="begin"/>
        </w:r>
        <w:r w:rsidR="00352A4D">
          <w:rPr>
            <w:noProof/>
            <w:webHidden/>
          </w:rPr>
          <w:instrText xml:space="preserve"> PAGEREF _Toc525652517 \h </w:instrText>
        </w:r>
        <w:r w:rsidR="00352A4D">
          <w:rPr>
            <w:noProof/>
            <w:webHidden/>
          </w:rPr>
        </w:r>
        <w:r w:rsidR="00352A4D">
          <w:rPr>
            <w:noProof/>
            <w:webHidden/>
          </w:rPr>
          <w:fldChar w:fldCharType="separate"/>
        </w:r>
        <w:r w:rsidR="00352A4D">
          <w:rPr>
            <w:noProof/>
            <w:webHidden/>
          </w:rPr>
          <w:t>101</w:t>
        </w:r>
        <w:r w:rsidR="00352A4D">
          <w:rPr>
            <w:noProof/>
            <w:webHidden/>
          </w:rPr>
          <w:fldChar w:fldCharType="end"/>
        </w:r>
      </w:hyperlink>
    </w:p>
    <w:p w14:paraId="7673AD34" w14:textId="77777777" w:rsidR="00352A4D" w:rsidRDefault="008B5E15">
      <w:pPr>
        <w:pStyle w:val="Tabladeilustraciones"/>
        <w:tabs>
          <w:tab w:val="right" w:leader="dot" w:pos="9394"/>
        </w:tabs>
        <w:rPr>
          <w:rFonts w:eastAsiaTheme="minorEastAsia"/>
          <w:noProof/>
          <w:lang w:val="es-ES" w:eastAsia="es-ES"/>
        </w:rPr>
      </w:pPr>
      <w:hyperlink w:anchor="_Toc525652518" w:history="1">
        <w:r w:rsidR="00352A4D" w:rsidRPr="0034296F">
          <w:rPr>
            <w:rStyle w:val="Hipervnculo"/>
            <w:noProof/>
          </w:rPr>
          <w:t>Tabla 73Ejecución Gastos de Comercialización y Producción – Administrativa 30 de junio de  2018 ANH</w:t>
        </w:r>
        <w:r w:rsidR="00352A4D">
          <w:rPr>
            <w:noProof/>
            <w:webHidden/>
          </w:rPr>
          <w:tab/>
        </w:r>
        <w:r w:rsidR="00352A4D">
          <w:rPr>
            <w:noProof/>
            <w:webHidden/>
          </w:rPr>
          <w:fldChar w:fldCharType="begin"/>
        </w:r>
        <w:r w:rsidR="00352A4D">
          <w:rPr>
            <w:noProof/>
            <w:webHidden/>
          </w:rPr>
          <w:instrText xml:space="preserve"> PAGEREF _Toc525652518 \h </w:instrText>
        </w:r>
        <w:r w:rsidR="00352A4D">
          <w:rPr>
            <w:noProof/>
            <w:webHidden/>
          </w:rPr>
        </w:r>
        <w:r w:rsidR="00352A4D">
          <w:rPr>
            <w:noProof/>
            <w:webHidden/>
          </w:rPr>
          <w:fldChar w:fldCharType="separate"/>
        </w:r>
        <w:r w:rsidR="00352A4D">
          <w:rPr>
            <w:noProof/>
            <w:webHidden/>
          </w:rPr>
          <w:t>101</w:t>
        </w:r>
        <w:r w:rsidR="00352A4D">
          <w:rPr>
            <w:noProof/>
            <w:webHidden/>
          </w:rPr>
          <w:fldChar w:fldCharType="end"/>
        </w:r>
      </w:hyperlink>
    </w:p>
    <w:p w14:paraId="4EC8A9A3" w14:textId="77777777" w:rsidR="00352A4D" w:rsidRDefault="008B5E15">
      <w:pPr>
        <w:pStyle w:val="Tabladeilustraciones"/>
        <w:tabs>
          <w:tab w:val="right" w:leader="dot" w:pos="9394"/>
        </w:tabs>
        <w:rPr>
          <w:rFonts w:eastAsiaTheme="minorEastAsia"/>
          <w:noProof/>
          <w:lang w:val="es-ES" w:eastAsia="es-ES"/>
        </w:rPr>
      </w:pPr>
      <w:hyperlink w:anchor="_Toc525652519" w:history="1">
        <w:r w:rsidR="00352A4D" w:rsidRPr="0034296F">
          <w:rPr>
            <w:rStyle w:val="Hipervnculo"/>
            <w:noProof/>
          </w:rPr>
          <w:t>Tabla 74 Ejecución Gastos de Comercialización y Producción – Talento Humano 30 de junio de 2018 ANH</w:t>
        </w:r>
        <w:r w:rsidR="00352A4D">
          <w:rPr>
            <w:noProof/>
            <w:webHidden/>
          </w:rPr>
          <w:tab/>
        </w:r>
        <w:r w:rsidR="00352A4D">
          <w:rPr>
            <w:noProof/>
            <w:webHidden/>
          </w:rPr>
          <w:fldChar w:fldCharType="begin"/>
        </w:r>
        <w:r w:rsidR="00352A4D">
          <w:rPr>
            <w:noProof/>
            <w:webHidden/>
          </w:rPr>
          <w:instrText xml:space="preserve"> PAGEREF _Toc525652519 \h </w:instrText>
        </w:r>
        <w:r w:rsidR="00352A4D">
          <w:rPr>
            <w:noProof/>
            <w:webHidden/>
          </w:rPr>
        </w:r>
        <w:r w:rsidR="00352A4D">
          <w:rPr>
            <w:noProof/>
            <w:webHidden/>
          </w:rPr>
          <w:fldChar w:fldCharType="separate"/>
        </w:r>
        <w:r w:rsidR="00352A4D">
          <w:rPr>
            <w:noProof/>
            <w:webHidden/>
          </w:rPr>
          <w:t>102</w:t>
        </w:r>
        <w:r w:rsidR="00352A4D">
          <w:rPr>
            <w:noProof/>
            <w:webHidden/>
          </w:rPr>
          <w:fldChar w:fldCharType="end"/>
        </w:r>
      </w:hyperlink>
    </w:p>
    <w:p w14:paraId="0320B4E6" w14:textId="77777777" w:rsidR="00352A4D" w:rsidRDefault="008B5E15">
      <w:pPr>
        <w:pStyle w:val="Tabladeilustraciones"/>
        <w:tabs>
          <w:tab w:val="right" w:leader="dot" w:pos="9394"/>
        </w:tabs>
        <w:rPr>
          <w:rFonts w:eastAsiaTheme="minorEastAsia"/>
          <w:noProof/>
          <w:lang w:val="es-ES" w:eastAsia="es-ES"/>
        </w:rPr>
      </w:pPr>
      <w:hyperlink w:anchor="_Toc525652520" w:history="1">
        <w:r w:rsidR="00352A4D" w:rsidRPr="0034296F">
          <w:rPr>
            <w:rStyle w:val="Hipervnculo"/>
            <w:noProof/>
          </w:rPr>
          <w:t>Tabla 75 Gastos de Comercialización y Producción – Participacion Ciudadana Contratación 30 de junio de  2018 ANH</w:t>
        </w:r>
        <w:r w:rsidR="00352A4D">
          <w:rPr>
            <w:noProof/>
            <w:webHidden/>
          </w:rPr>
          <w:tab/>
        </w:r>
        <w:r w:rsidR="00352A4D">
          <w:rPr>
            <w:noProof/>
            <w:webHidden/>
          </w:rPr>
          <w:fldChar w:fldCharType="begin"/>
        </w:r>
        <w:r w:rsidR="00352A4D">
          <w:rPr>
            <w:noProof/>
            <w:webHidden/>
          </w:rPr>
          <w:instrText xml:space="preserve"> PAGEREF _Toc525652520 \h </w:instrText>
        </w:r>
        <w:r w:rsidR="00352A4D">
          <w:rPr>
            <w:noProof/>
            <w:webHidden/>
          </w:rPr>
        </w:r>
        <w:r w:rsidR="00352A4D">
          <w:rPr>
            <w:noProof/>
            <w:webHidden/>
          </w:rPr>
          <w:fldChar w:fldCharType="separate"/>
        </w:r>
        <w:r w:rsidR="00352A4D">
          <w:rPr>
            <w:noProof/>
            <w:webHidden/>
          </w:rPr>
          <w:t>102</w:t>
        </w:r>
        <w:r w:rsidR="00352A4D">
          <w:rPr>
            <w:noProof/>
            <w:webHidden/>
          </w:rPr>
          <w:fldChar w:fldCharType="end"/>
        </w:r>
      </w:hyperlink>
    </w:p>
    <w:p w14:paraId="18C89780" w14:textId="77777777" w:rsidR="00352A4D" w:rsidRDefault="008B5E15">
      <w:pPr>
        <w:pStyle w:val="Tabladeilustraciones"/>
        <w:tabs>
          <w:tab w:val="right" w:leader="dot" w:pos="9394"/>
        </w:tabs>
        <w:rPr>
          <w:rFonts w:eastAsiaTheme="minorEastAsia"/>
          <w:noProof/>
          <w:lang w:val="es-ES" w:eastAsia="es-ES"/>
        </w:rPr>
      </w:pPr>
      <w:hyperlink w:anchor="_Toc525652521" w:history="1">
        <w:r w:rsidR="00352A4D" w:rsidRPr="0034296F">
          <w:rPr>
            <w:rStyle w:val="Hipervnculo"/>
            <w:noProof/>
          </w:rPr>
          <w:t>Tabla 76 Ejecución Gastos de Comercialización y Producción – Participación Ciudadana Contratación 30 de junio de  2018 ANH</w:t>
        </w:r>
        <w:r w:rsidR="00352A4D">
          <w:rPr>
            <w:noProof/>
            <w:webHidden/>
          </w:rPr>
          <w:tab/>
        </w:r>
        <w:r w:rsidR="00352A4D">
          <w:rPr>
            <w:noProof/>
            <w:webHidden/>
          </w:rPr>
          <w:fldChar w:fldCharType="begin"/>
        </w:r>
        <w:r w:rsidR="00352A4D">
          <w:rPr>
            <w:noProof/>
            <w:webHidden/>
          </w:rPr>
          <w:instrText xml:space="preserve"> PAGEREF _Toc525652521 \h </w:instrText>
        </w:r>
        <w:r w:rsidR="00352A4D">
          <w:rPr>
            <w:noProof/>
            <w:webHidden/>
          </w:rPr>
        </w:r>
        <w:r w:rsidR="00352A4D">
          <w:rPr>
            <w:noProof/>
            <w:webHidden/>
          </w:rPr>
          <w:fldChar w:fldCharType="separate"/>
        </w:r>
        <w:r w:rsidR="00352A4D">
          <w:rPr>
            <w:noProof/>
            <w:webHidden/>
          </w:rPr>
          <w:t>103</w:t>
        </w:r>
        <w:r w:rsidR="00352A4D">
          <w:rPr>
            <w:noProof/>
            <w:webHidden/>
          </w:rPr>
          <w:fldChar w:fldCharType="end"/>
        </w:r>
      </w:hyperlink>
    </w:p>
    <w:p w14:paraId="6268C8F7" w14:textId="77777777" w:rsidR="00352A4D" w:rsidRDefault="008B5E15">
      <w:pPr>
        <w:pStyle w:val="Tabladeilustraciones"/>
        <w:tabs>
          <w:tab w:val="right" w:leader="dot" w:pos="9394"/>
        </w:tabs>
        <w:rPr>
          <w:rFonts w:eastAsiaTheme="minorEastAsia"/>
          <w:noProof/>
          <w:lang w:val="es-ES" w:eastAsia="es-ES"/>
        </w:rPr>
      </w:pPr>
      <w:hyperlink w:anchor="_Toc525652522" w:history="1">
        <w:r w:rsidR="00352A4D" w:rsidRPr="0034296F">
          <w:rPr>
            <w:rStyle w:val="Hipervnculo"/>
            <w:noProof/>
          </w:rPr>
          <w:t>Tabla 77 Ejecución Gastos de Comercialización y Producción – Financiera Contratación 30 de junio de  2018 ANH</w:t>
        </w:r>
        <w:r w:rsidR="00352A4D">
          <w:rPr>
            <w:noProof/>
            <w:webHidden/>
          </w:rPr>
          <w:tab/>
        </w:r>
        <w:r w:rsidR="00352A4D">
          <w:rPr>
            <w:noProof/>
            <w:webHidden/>
          </w:rPr>
          <w:fldChar w:fldCharType="begin"/>
        </w:r>
        <w:r w:rsidR="00352A4D">
          <w:rPr>
            <w:noProof/>
            <w:webHidden/>
          </w:rPr>
          <w:instrText xml:space="preserve"> PAGEREF _Toc525652522 \h </w:instrText>
        </w:r>
        <w:r w:rsidR="00352A4D">
          <w:rPr>
            <w:noProof/>
            <w:webHidden/>
          </w:rPr>
        </w:r>
        <w:r w:rsidR="00352A4D">
          <w:rPr>
            <w:noProof/>
            <w:webHidden/>
          </w:rPr>
          <w:fldChar w:fldCharType="separate"/>
        </w:r>
        <w:r w:rsidR="00352A4D">
          <w:rPr>
            <w:noProof/>
            <w:webHidden/>
          </w:rPr>
          <w:t>104</w:t>
        </w:r>
        <w:r w:rsidR="00352A4D">
          <w:rPr>
            <w:noProof/>
            <w:webHidden/>
          </w:rPr>
          <w:fldChar w:fldCharType="end"/>
        </w:r>
      </w:hyperlink>
    </w:p>
    <w:p w14:paraId="68F296CD" w14:textId="77777777" w:rsidR="00352A4D" w:rsidRDefault="008B5E15">
      <w:pPr>
        <w:pStyle w:val="Tabladeilustraciones"/>
        <w:tabs>
          <w:tab w:val="right" w:leader="dot" w:pos="9394"/>
        </w:tabs>
        <w:rPr>
          <w:rFonts w:eastAsiaTheme="minorEastAsia"/>
          <w:noProof/>
          <w:lang w:val="es-ES" w:eastAsia="es-ES"/>
        </w:rPr>
      </w:pPr>
      <w:hyperlink w:anchor="_Toc525652523" w:history="1">
        <w:r w:rsidR="00352A4D" w:rsidRPr="0034296F">
          <w:rPr>
            <w:rStyle w:val="Hipervnculo"/>
            <w:noProof/>
          </w:rPr>
          <w:t>Tabla 78Ejecución Gastos de Comercialización y Producción – Financiera Contratación 30 de junio de  2018 ANH</w:t>
        </w:r>
        <w:r w:rsidR="00352A4D">
          <w:rPr>
            <w:noProof/>
            <w:webHidden/>
          </w:rPr>
          <w:tab/>
        </w:r>
        <w:r w:rsidR="00352A4D">
          <w:rPr>
            <w:noProof/>
            <w:webHidden/>
          </w:rPr>
          <w:fldChar w:fldCharType="begin"/>
        </w:r>
        <w:r w:rsidR="00352A4D">
          <w:rPr>
            <w:noProof/>
            <w:webHidden/>
          </w:rPr>
          <w:instrText xml:space="preserve"> PAGEREF _Toc525652523 \h </w:instrText>
        </w:r>
        <w:r w:rsidR="00352A4D">
          <w:rPr>
            <w:noProof/>
            <w:webHidden/>
          </w:rPr>
        </w:r>
        <w:r w:rsidR="00352A4D">
          <w:rPr>
            <w:noProof/>
            <w:webHidden/>
          </w:rPr>
          <w:fldChar w:fldCharType="separate"/>
        </w:r>
        <w:r w:rsidR="00352A4D">
          <w:rPr>
            <w:noProof/>
            <w:webHidden/>
          </w:rPr>
          <w:t>104</w:t>
        </w:r>
        <w:r w:rsidR="00352A4D">
          <w:rPr>
            <w:noProof/>
            <w:webHidden/>
          </w:rPr>
          <w:fldChar w:fldCharType="end"/>
        </w:r>
      </w:hyperlink>
    </w:p>
    <w:p w14:paraId="3D9025F7" w14:textId="77777777" w:rsidR="00352A4D" w:rsidRDefault="008B5E15">
      <w:pPr>
        <w:pStyle w:val="Tabladeilustraciones"/>
        <w:tabs>
          <w:tab w:val="right" w:leader="dot" w:pos="9394"/>
        </w:tabs>
        <w:rPr>
          <w:rFonts w:eastAsiaTheme="minorEastAsia"/>
          <w:noProof/>
          <w:lang w:val="es-ES" w:eastAsia="es-ES"/>
        </w:rPr>
      </w:pPr>
      <w:hyperlink w:anchor="_Toc525652524" w:history="1">
        <w:r w:rsidR="00352A4D" w:rsidRPr="0034296F">
          <w:rPr>
            <w:rStyle w:val="Hipervnculo"/>
            <w:noProof/>
          </w:rPr>
          <w:t>Tabla 79Ejecución Gastos de Comercialización y Producción – Promoción y Asignación de Áreas Contratación 30 de junio de  2018 ANH</w:t>
        </w:r>
        <w:r w:rsidR="00352A4D">
          <w:rPr>
            <w:noProof/>
            <w:webHidden/>
          </w:rPr>
          <w:tab/>
        </w:r>
        <w:r w:rsidR="00352A4D">
          <w:rPr>
            <w:noProof/>
            <w:webHidden/>
          </w:rPr>
          <w:fldChar w:fldCharType="begin"/>
        </w:r>
        <w:r w:rsidR="00352A4D">
          <w:rPr>
            <w:noProof/>
            <w:webHidden/>
          </w:rPr>
          <w:instrText xml:space="preserve"> PAGEREF _Toc525652524 \h </w:instrText>
        </w:r>
        <w:r w:rsidR="00352A4D">
          <w:rPr>
            <w:noProof/>
            <w:webHidden/>
          </w:rPr>
        </w:r>
        <w:r w:rsidR="00352A4D">
          <w:rPr>
            <w:noProof/>
            <w:webHidden/>
          </w:rPr>
          <w:fldChar w:fldCharType="separate"/>
        </w:r>
        <w:r w:rsidR="00352A4D">
          <w:rPr>
            <w:noProof/>
            <w:webHidden/>
          </w:rPr>
          <w:t>105</w:t>
        </w:r>
        <w:r w:rsidR="00352A4D">
          <w:rPr>
            <w:noProof/>
            <w:webHidden/>
          </w:rPr>
          <w:fldChar w:fldCharType="end"/>
        </w:r>
      </w:hyperlink>
    </w:p>
    <w:p w14:paraId="5E0D595C" w14:textId="77777777" w:rsidR="00352A4D" w:rsidRDefault="008B5E15">
      <w:pPr>
        <w:pStyle w:val="Tabladeilustraciones"/>
        <w:tabs>
          <w:tab w:val="right" w:leader="dot" w:pos="9394"/>
        </w:tabs>
        <w:rPr>
          <w:rFonts w:eastAsiaTheme="minorEastAsia"/>
          <w:noProof/>
          <w:lang w:val="es-ES" w:eastAsia="es-ES"/>
        </w:rPr>
      </w:pPr>
      <w:hyperlink w:anchor="_Toc525652525" w:history="1">
        <w:r w:rsidR="00352A4D" w:rsidRPr="0034296F">
          <w:rPr>
            <w:rStyle w:val="Hipervnculo"/>
            <w:noProof/>
          </w:rPr>
          <w:t>Tabla 80 Ejecución Gastos de Comercialización y Producción – Seguimiento Contratos en exploración 30 de junio de 2018  ANH</w:t>
        </w:r>
        <w:r w:rsidR="00352A4D">
          <w:rPr>
            <w:noProof/>
            <w:webHidden/>
          </w:rPr>
          <w:tab/>
        </w:r>
        <w:r w:rsidR="00352A4D">
          <w:rPr>
            <w:noProof/>
            <w:webHidden/>
          </w:rPr>
          <w:fldChar w:fldCharType="begin"/>
        </w:r>
        <w:r w:rsidR="00352A4D">
          <w:rPr>
            <w:noProof/>
            <w:webHidden/>
          </w:rPr>
          <w:instrText xml:space="preserve"> PAGEREF _Toc525652525 \h </w:instrText>
        </w:r>
        <w:r w:rsidR="00352A4D">
          <w:rPr>
            <w:noProof/>
            <w:webHidden/>
          </w:rPr>
        </w:r>
        <w:r w:rsidR="00352A4D">
          <w:rPr>
            <w:noProof/>
            <w:webHidden/>
          </w:rPr>
          <w:fldChar w:fldCharType="separate"/>
        </w:r>
        <w:r w:rsidR="00352A4D">
          <w:rPr>
            <w:noProof/>
            <w:webHidden/>
          </w:rPr>
          <w:t>107</w:t>
        </w:r>
        <w:r w:rsidR="00352A4D">
          <w:rPr>
            <w:noProof/>
            <w:webHidden/>
          </w:rPr>
          <w:fldChar w:fldCharType="end"/>
        </w:r>
      </w:hyperlink>
    </w:p>
    <w:p w14:paraId="4129F617" w14:textId="77777777" w:rsidR="00352A4D" w:rsidRDefault="008B5E15">
      <w:pPr>
        <w:pStyle w:val="Tabladeilustraciones"/>
        <w:tabs>
          <w:tab w:val="right" w:leader="dot" w:pos="9394"/>
        </w:tabs>
        <w:rPr>
          <w:rFonts w:eastAsiaTheme="minorEastAsia"/>
          <w:noProof/>
          <w:lang w:val="es-ES" w:eastAsia="es-ES"/>
        </w:rPr>
      </w:pPr>
      <w:hyperlink w:anchor="_Toc525652526" w:history="1">
        <w:r w:rsidR="00352A4D" w:rsidRPr="0034296F">
          <w:rPr>
            <w:rStyle w:val="Hipervnculo"/>
            <w:noProof/>
          </w:rPr>
          <w:t>Tabla 81 Ejecución Gastos de Comercialización y Producción – Seguimiento Contratos en producción 30 de junio de 2018 ANH</w:t>
        </w:r>
        <w:r w:rsidR="00352A4D">
          <w:rPr>
            <w:noProof/>
            <w:webHidden/>
          </w:rPr>
          <w:tab/>
        </w:r>
        <w:r w:rsidR="00352A4D">
          <w:rPr>
            <w:noProof/>
            <w:webHidden/>
          </w:rPr>
          <w:fldChar w:fldCharType="begin"/>
        </w:r>
        <w:r w:rsidR="00352A4D">
          <w:rPr>
            <w:noProof/>
            <w:webHidden/>
          </w:rPr>
          <w:instrText xml:space="preserve"> PAGEREF _Toc525652526 \h </w:instrText>
        </w:r>
        <w:r w:rsidR="00352A4D">
          <w:rPr>
            <w:noProof/>
            <w:webHidden/>
          </w:rPr>
        </w:r>
        <w:r w:rsidR="00352A4D">
          <w:rPr>
            <w:noProof/>
            <w:webHidden/>
          </w:rPr>
          <w:fldChar w:fldCharType="separate"/>
        </w:r>
        <w:r w:rsidR="00352A4D">
          <w:rPr>
            <w:noProof/>
            <w:webHidden/>
          </w:rPr>
          <w:t>110</w:t>
        </w:r>
        <w:r w:rsidR="00352A4D">
          <w:rPr>
            <w:noProof/>
            <w:webHidden/>
          </w:rPr>
          <w:fldChar w:fldCharType="end"/>
        </w:r>
      </w:hyperlink>
    </w:p>
    <w:p w14:paraId="01D297C4" w14:textId="77777777" w:rsidR="00352A4D" w:rsidRDefault="008B5E15">
      <w:pPr>
        <w:pStyle w:val="Tabladeilustraciones"/>
        <w:tabs>
          <w:tab w:val="right" w:leader="dot" w:pos="9394"/>
        </w:tabs>
        <w:rPr>
          <w:rFonts w:eastAsiaTheme="minorEastAsia"/>
          <w:noProof/>
          <w:lang w:val="es-ES" w:eastAsia="es-ES"/>
        </w:rPr>
      </w:pPr>
      <w:hyperlink w:anchor="_Toc525652527" w:history="1">
        <w:r w:rsidR="00352A4D" w:rsidRPr="0034296F">
          <w:rPr>
            <w:rStyle w:val="Hipervnculo"/>
            <w:noProof/>
          </w:rPr>
          <w:t>Tabla 82 Ejecución Gastos de Comercialización y Producción – Comunidades y Medio Ambiente 30 de junio de 2018 ANH</w:t>
        </w:r>
        <w:r w:rsidR="00352A4D">
          <w:rPr>
            <w:noProof/>
            <w:webHidden/>
          </w:rPr>
          <w:tab/>
        </w:r>
        <w:r w:rsidR="00352A4D">
          <w:rPr>
            <w:noProof/>
            <w:webHidden/>
          </w:rPr>
          <w:fldChar w:fldCharType="begin"/>
        </w:r>
        <w:r w:rsidR="00352A4D">
          <w:rPr>
            <w:noProof/>
            <w:webHidden/>
          </w:rPr>
          <w:instrText xml:space="preserve"> PAGEREF _Toc525652527 \h </w:instrText>
        </w:r>
        <w:r w:rsidR="00352A4D">
          <w:rPr>
            <w:noProof/>
            <w:webHidden/>
          </w:rPr>
        </w:r>
        <w:r w:rsidR="00352A4D">
          <w:rPr>
            <w:noProof/>
            <w:webHidden/>
          </w:rPr>
          <w:fldChar w:fldCharType="separate"/>
        </w:r>
        <w:r w:rsidR="00352A4D">
          <w:rPr>
            <w:noProof/>
            <w:webHidden/>
          </w:rPr>
          <w:t>112</w:t>
        </w:r>
        <w:r w:rsidR="00352A4D">
          <w:rPr>
            <w:noProof/>
            <w:webHidden/>
          </w:rPr>
          <w:fldChar w:fldCharType="end"/>
        </w:r>
      </w:hyperlink>
    </w:p>
    <w:p w14:paraId="0714F1A7" w14:textId="77777777" w:rsidR="00352A4D" w:rsidRDefault="008B5E15">
      <w:pPr>
        <w:pStyle w:val="Tabladeilustraciones"/>
        <w:tabs>
          <w:tab w:val="right" w:leader="dot" w:pos="9394"/>
        </w:tabs>
        <w:rPr>
          <w:rFonts w:eastAsiaTheme="minorEastAsia"/>
          <w:noProof/>
          <w:lang w:val="es-ES" w:eastAsia="es-ES"/>
        </w:rPr>
      </w:pPr>
      <w:hyperlink w:anchor="_Toc525652528" w:history="1">
        <w:r w:rsidR="00352A4D" w:rsidRPr="0034296F">
          <w:rPr>
            <w:rStyle w:val="Hipervnculo"/>
            <w:noProof/>
          </w:rPr>
          <w:t>Tabla 83 Gastos de Comercialización y Producción – Gerencia de Reservas y Operaciones – Contratación 30 de junio de 2018  ANH</w:t>
        </w:r>
        <w:r w:rsidR="00352A4D">
          <w:rPr>
            <w:noProof/>
            <w:webHidden/>
          </w:rPr>
          <w:tab/>
        </w:r>
        <w:r w:rsidR="00352A4D">
          <w:rPr>
            <w:noProof/>
            <w:webHidden/>
          </w:rPr>
          <w:fldChar w:fldCharType="begin"/>
        </w:r>
        <w:r w:rsidR="00352A4D">
          <w:rPr>
            <w:noProof/>
            <w:webHidden/>
          </w:rPr>
          <w:instrText xml:space="preserve"> PAGEREF _Toc525652528 \h </w:instrText>
        </w:r>
        <w:r w:rsidR="00352A4D">
          <w:rPr>
            <w:noProof/>
            <w:webHidden/>
          </w:rPr>
        </w:r>
        <w:r w:rsidR="00352A4D">
          <w:rPr>
            <w:noProof/>
            <w:webHidden/>
          </w:rPr>
          <w:fldChar w:fldCharType="separate"/>
        </w:r>
        <w:r w:rsidR="00352A4D">
          <w:rPr>
            <w:noProof/>
            <w:webHidden/>
          </w:rPr>
          <w:t>113</w:t>
        </w:r>
        <w:r w:rsidR="00352A4D">
          <w:rPr>
            <w:noProof/>
            <w:webHidden/>
          </w:rPr>
          <w:fldChar w:fldCharType="end"/>
        </w:r>
      </w:hyperlink>
    </w:p>
    <w:p w14:paraId="49875708" w14:textId="77777777" w:rsidR="00352A4D" w:rsidRDefault="008B5E15">
      <w:pPr>
        <w:pStyle w:val="Tabladeilustraciones"/>
        <w:tabs>
          <w:tab w:val="right" w:leader="dot" w:pos="9394"/>
        </w:tabs>
        <w:rPr>
          <w:rFonts w:eastAsiaTheme="minorEastAsia"/>
          <w:noProof/>
          <w:lang w:val="es-ES" w:eastAsia="es-ES"/>
        </w:rPr>
      </w:pPr>
      <w:hyperlink w:anchor="_Toc525652529" w:history="1">
        <w:r w:rsidR="00352A4D" w:rsidRPr="0034296F">
          <w:rPr>
            <w:rStyle w:val="Hipervnculo"/>
            <w:noProof/>
          </w:rPr>
          <w:t>Tabla 84Ejecución Gastos de Comercialización y Producción – Gerencia de Reservas y Operaciones 30 de junio de 2018  ANH</w:t>
        </w:r>
        <w:r w:rsidR="00352A4D">
          <w:rPr>
            <w:noProof/>
            <w:webHidden/>
          </w:rPr>
          <w:tab/>
        </w:r>
        <w:r w:rsidR="00352A4D">
          <w:rPr>
            <w:noProof/>
            <w:webHidden/>
          </w:rPr>
          <w:fldChar w:fldCharType="begin"/>
        </w:r>
        <w:r w:rsidR="00352A4D">
          <w:rPr>
            <w:noProof/>
            <w:webHidden/>
          </w:rPr>
          <w:instrText xml:space="preserve"> PAGEREF _Toc525652529 \h </w:instrText>
        </w:r>
        <w:r w:rsidR="00352A4D">
          <w:rPr>
            <w:noProof/>
            <w:webHidden/>
          </w:rPr>
        </w:r>
        <w:r w:rsidR="00352A4D">
          <w:rPr>
            <w:noProof/>
            <w:webHidden/>
          </w:rPr>
          <w:fldChar w:fldCharType="separate"/>
        </w:r>
        <w:r w:rsidR="00352A4D">
          <w:rPr>
            <w:noProof/>
            <w:webHidden/>
          </w:rPr>
          <w:t>114</w:t>
        </w:r>
        <w:r w:rsidR="00352A4D">
          <w:rPr>
            <w:noProof/>
            <w:webHidden/>
          </w:rPr>
          <w:fldChar w:fldCharType="end"/>
        </w:r>
      </w:hyperlink>
    </w:p>
    <w:p w14:paraId="6822A3B0" w14:textId="77777777" w:rsidR="00352A4D" w:rsidRDefault="008B5E15">
      <w:pPr>
        <w:pStyle w:val="Tabladeilustraciones"/>
        <w:tabs>
          <w:tab w:val="right" w:leader="dot" w:pos="9394"/>
        </w:tabs>
        <w:rPr>
          <w:rFonts w:eastAsiaTheme="minorEastAsia"/>
          <w:noProof/>
          <w:lang w:val="es-ES" w:eastAsia="es-ES"/>
        </w:rPr>
      </w:pPr>
      <w:hyperlink w:anchor="_Toc525652530" w:history="1">
        <w:r w:rsidR="00352A4D" w:rsidRPr="0034296F">
          <w:rPr>
            <w:rStyle w:val="Hipervnculo"/>
            <w:noProof/>
          </w:rPr>
          <w:t>Tabla 85 Ejecución Gastos de Comercialización y Producción – Gerencia de Reservas y Operaciones 30 de junio de 2018  ANH</w:t>
        </w:r>
        <w:r w:rsidR="00352A4D">
          <w:rPr>
            <w:noProof/>
            <w:webHidden/>
          </w:rPr>
          <w:tab/>
        </w:r>
        <w:r w:rsidR="00352A4D">
          <w:rPr>
            <w:noProof/>
            <w:webHidden/>
          </w:rPr>
          <w:fldChar w:fldCharType="begin"/>
        </w:r>
        <w:r w:rsidR="00352A4D">
          <w:rPr>
            <w:noProof/>
            <w:webHidden/>
          </w:rPr>
          <w:instrText xml:space="preserve"> PAGEREF _Toc525652530 \h </w:instrText>
        </w:r>
        <w:r w:rsidR="00352A4D">
          <w:rPr>
            <w:noProof/>
            <w:webHidden/>
          </w:rPr>
        </w:r>
        <w:r w:rsidR="00352A4D">
          <w:rPr>
            <w:noProof/>
            <w:webHidden/>
          </w:rPr>
          <w:fldChar w:fldCharType="separate"/>
        </w:r>
        <w:r w:rsidR="00352A4D">
          <w:rPr>
            <w:noProof/>
            <w:webHidden/>
          </w:rPr>
          <w:t>114</w:t>
        </w:r>
        <w:r w:rsidR="00352A4D">
          <w:rPr>
            <w:noProof/>
            <w:webHidden/>
          </w:rPr>
          <w:fldChar w:fldCharType="end"/>
        </w:r>
      </w:hyperlink>
    </w:p>
    <w:p w14:paraId="13EE8709" w14:textId="77777777" w:rsidR="00352A4D" w:rsidRDefault="008B5E15">
      <w:pPr>
        <w:pStyle w:val="Tabladeilustraciones"/>
        <w:tabs>
          <w:tab w:val="right" w:leader="dot" w:pos="9394"/>
        </w:tabs>
        <w:rPr>
          <w:rFonts w:eastAsiaTheme="minorEastAsia"/>
          <w:noProof/>
          <w:lang w:val="es-ES" w:eastAsia="es-ES"/>
        </w:rPr>
      </w:pPr>
      <w:hyperlink w:anchor="_Toc525652531" w:history="1">
        <w:r w:rsidR="00352A4D" w:rsidRPr="0034296F">
          <w:rPr>
            <w:rStyle w:val="Hipervnculo"/>
            <w:noProof/>
          </w:rPr>
          <w:t>Tabla 86 Ejecución Inversión a 30 de junio de 2018 ANH</w:t>
        </w:r>
        <w:r w:rsidR="00352A4D">
          <w:rPr>
            <w:noProof/>
            <w:webHidden/>
          </w:rPr>
          <w:tab/>
        </w:r>
        <w:r w:rsidR="00352A4D">
          <w:rPr>
            <w:noProof/>
            <w:webHidden/>
          </w:rPr>
          <w:fldChar w:fldCharType="begin"/>
        </w:r>
        <w:r w:rsidR="00352A4D">
          <w:rPr>
            <w:noProof/>
            <w:webHidden/>
          </w:rPr>
          <w:instrText xml:space="preserve"> PAGEREF _Toc525652531 \h </w:instrText>
        </w:r>
        <w:r w:rsidR="00352A4D">
          <w:rPr>
            <w:noProof/>
            <w:webHidden/>
          </w:rPr>
        </w:r>
        <w:r w:rsidR="00352A4D">
          <w:rPr>
            <w:noProof/>
            <w:webHidden/>
          </w:rPr>
          <w:fldChar w:fldCharType="separate"/>
        </w:r>
        <w:r w:rsidR="00352A4D">
          <w:rPr>
            <w:noProof/>
            <w:webHidden/>
          </w:rPr>
          <w:t>115</w:t>
        </w:r>
        <w:r w:rsidR="00352A4D">
          <w:rPr>
            <w:noProof/>
            <w:webHidden/>
          </w:rPr>
          <w:fldChar w:fldCharType="end"/>
        </w:r>
      </w:hyperlink>
    </w:p>
    <w:p w14:paraId="40BF0D8E" w14:textId="77777777" w:rsidR="00352A4D" w:rsidRDefault="008B5E15">
      <w:pPr>
        <w:pStyle w:val="Tabladeilustraciones"/>
        <w:tabs>
          <w:tab w:val="right" w:leader="dot" w:pos="9394"/>
        </w:tabs>
        <w:rPr>
          <w:rFonts w:eastAsiaTheme="minorEastAsia"/>
          <w:noProof/>
          <w:lang w:val="es-ES" w:eastAsia="es-ES"/>
        </w:rPr>
      </w:pPr>
      <w:hyperlink w:anchor="_Toc525652532" w:history="1">
        <w:r w:rsidR="00352A4D" w:rsidRPr="0034296F">
          <w:rPr>
            <w:rStyle w:val="Hipervnculo"/>
            <w:noProof/>
          </w:rPr>
          <w:t>Tabla 87 Ejecución Inversión Desarrollo de la Evaluación del Potencial de Hidrocarburos del País a 30 de junio de 2018  ANH</w:t>
        </w:r>
        <w:r w:rsidR="00352A4D">
          <w:rPr>
            <w:noProof/>
            <w:webHidden/>
          </w:rPr>
          <w:tab/>
        </w:r>
        <w:r w:rsidR="00352A4D">
          <w:rPr>
            <w:noProof/>
            <w:webHidden/>
          </w:rPr>
          <w:fldChar w:fldCharType="begin"/>
        </w:r>
        <w:r w:rsidR="00352A4D">
          <w:rPr>
            <w:noProof/>
            <w:webHidden/>
          </w:rPr>
          <w:instrText xml:space="preserve"> PAGEREF _Toc525652532 \h </w:instrText>
        </w:r>
        <w:r w:rsidR="00352A4D">
          <w:rPr>
            <w:noProof/>
            <w:webHidden/>
          </w:rPr>
        </w:r>
        <w:r w:rsidR="00352A4D">
          <w:rPr>
            <w:noProof/>
            <w:webHidden/>
          </w:rPr>
          <w:fldChar w:fldCharType="separate"/>
        </w:r>
        <w:r w:rsidR="00352A4D">
          <w:rPr>
            <w:noProof/>
            <w:webHidden/>
          </w:rPr>
          <w:t>117</w:t>
        </w:r>
        <w:r w:rsidR="00352A4D">
          <w:rPr>
            <w:noProof/>
            <w:webHidden/>
          </w:rPr>
          <w:fldChar w:fldCharType="end"/>
        </w:r>
      </w:hyperlink>
    </w:p>
    <w:p w14:paraId="7C77DDA5" w14:textId="77777777" w:rsidR="00352A4D" w:rsidRDefault="008B5E15">
      <w:pPr>
        <w:pStyle w:val="Tabladeilustraciones"/>
        <w:tabs>
          <w:tab w:val="right" w:leader="dot" w:pos="9394"/>
        </w:tabs>
        <w:rPr>
          <w:rFonts w:eastAsiaTheme="minorEastAsia"/>
          <w:noProof/>
          <w:lang w:val="es-ES" w:eastAsia="es-ES"/>
        </w:rPr>
      </w:pPr>
      <w:hyperlink w:anchor="_Toc525652533" w:history="1">
        <w:r w:rsidR="00352A4D" w:rsidRPr="0034296F">
          <w:rPr>
            <w:rStyle w:val="Hipervnculo"/>
            <w:noProof/>
          </w:rPr>
          <w:t>Tabla 88Ejecución Inversión Desarrollo de la Evaluación del Potencial de Hidrocarburos del País – Por Programas a 30 de junio de 2018  ANH</w:t>
        </w:r>
        <w:r w:rsidR="00352A4D">
          <w:rPr>
            <w:noProof/>
            <w:webHidden/>
          </w:rPr>
          <w:tab/>
        </w:r>
        <w:r w:rsidR="00352A4D">
          <w:rPr>
            <w:noProof/>
            <w:webHidden/>
          </w:rPr>
          <w:fldChar w:fldCharType="begin"/>
        </w:r>
        <w:r w:rsidR="00352A4D">
          <w:rPr>
            <w:noProof/>
            <w:webHidden/>
          </w:rPr>
          <w:instrText xml:space="preserve"> PAGEREF _Toc525652533 \h </w:instrText>
        </w:r>
        <w:r w:rsidR="00352A4D">
          <w:rPr>
            <w:noProof/>
            <w:webHidden/>
          </w:rPr>
        </w:r>
        <w:r w:rsidR="00352A4D">
          <w:rPr>
            <w:noProof/>
            <w:webHidden/>
          </w:rPr>
          <w:fldChar w:fldCharType="separate"/>
        </w:r>
        <w:r w:rsidR="00352A4D">
          <w:rPr>
            <w:noProof/>
            <w:webHidden/>
          </w:rPr>
          <w:t>117</w:t>
        </w:r>
        <w:r w:rsidR="00352A4D">
          <w:rPr>
            <w:noProof/>
            <w:webHidden/>
          </w:rPr>
          <w:fldChar w:fldCharType="end"/>
        </w:r>
      </w:hyperlink>
    </w:p>
    <w:p w14:paraId="1D7EF3B6" w14:textId="77777777" w:rsidR="00352A4D" w:rsidRDefault="008B5E15">
      <w:pPr>
        <w:pStyle w:val="Tabladeilustraciones"/>
        <w:tabs>
          <w:tab w:val="right" w:leader="dot" w:pos="9394"/>
        </w:tabs>
        <w:rPr>
          <w:rFonts w:eastAsiaTheme="minorEastAsia"/>
          <w:noProof/>
          <w:lang w:val="es-ES" w:eastAsia="es-ES"/>
        </w:rPr>
      </w:pPr>
      <w:hyperlink w:anchor="_Toc525652534" w:history="1">
        <w:r w:rsidR="00352A4D" w:rsidRPr="0034296F">
          <w:rPr>
            <w:rStyle w:val="Hipervnculo"/>
            <w:noProof/>
          </w:rPr>
          <w:t>Tabla 89 Ejecución Inversión Fortalecimiento de la Gestión Articulada para La Sostenibilidad del Sector de Hidrocarburos a 30 de junio de  2018  ANH</w:t>
        </w:r>
        <w:r w:rsidR="00352A4D">
          <w:rPr>
            <w:noProof/>
            <w:webHidden/>
          </w:rPr>
          <w:tab/>
        </w:r>
        <w:r w:rsidR="00352A4D">
          <w:rPr>
            <w:noProof/>
            <w:webHidden/>
          </w:rPr>
          <w:fldChar w:fldCharType="begin"/>
        </w:r>
        <w:r w:rsidR="00352A4D">
          <w:rPr>
            <w:noProof/>
            <w:webHidden/>
          </w:rPr>
          <w:instrText xml:space="preserve"> PAGEREF _Toc525652534 \h </w:instrText>
        </w:r>
        <w:r w:rsidR="00352A4D">
          <w:rPr>
            <w:noProof/>
            <w:webHidden/>
          </w:rPr>
        </w:r>
        <w:r w:rsidR="00352A4D">
          <w:rPr>
            <w:noProof/>
            <w:webHidden/>
          </w:rPr>
          <w:fldChar w:fldCharType="separate"/>
        </w:r>
        <w:r w:rsidR="00352A4D">
          <w:rPr>
            <w:noProof/>
            <w:webHidden/>
          </w:rPr>
          <w:t>119</w:t>
        </w:r>
        <w:r w:rsidR="00352A4D">
          <w:rPr>
            <w:noProof/>
            <w:webHidden/>
          </w:rPr>
          <w:fldChar w:fldCharType="end"/>
        </w:r>
      </w:hyperlink>
    </w:p>
    <w:p w14:paraId="2A584ED5" w14:textId="77777777" w:rsidR="00352A4D" w:rsidRDefault="008B5E15">
      <w:pPr>
        <w:pStyle w:val="Tabladeilustraciones"/>
        <w:tabs>
          <w:tab w:val="right" w:leader="dot" w:pos="9394"/>
        </w:tabs>
        <w:rPr>
          <w:rFonts w:eastAsiaTheme="minorEastAsia"/>
          <w:noProof/>
          <w:lang w:val="es-ES" w:eastAsia="es-ES"/>
        </w:rPr>
      </w:pPr>
      <w:hyperlink w:anchor="_Toc525652535" w:history="1">
        <w:r w:rsidR="00352A4D" w:rsidRPr="0034296F">
          <w:rPr>
            <w:rStyle w:val="Hipervnculo"/>
            <w:noProof/>
          </w:rPr>
          <w:t>Tabla 90 Ejecución Inversión Fortalecimiento de la Gestión Articulada para La Sostenibilidad del Sector de Hidrocarburos – Por Programas a 30 junio de 2018 ANH</w:t>
        </w:r>
        <w:r w:rsidR="00352A4D">
          <w:rPr>
            <w:noProof/>
            <w:webHidden/>
          </w:rPr>
          <w:tab/>
        </w:r>
        <w:r w:rsidR="00352A4D">
          <w:rPr>
            <w:noProof/>
            <w:webHidden/>
          </w:rPr>
          <w:fldChar w:fldCharType="begin"/>
        </w:r>
        <w:r w:rsidR="00352A4D">
          <w:rPr>
            <w:noProof/>
            <w:webHidden/>
          </w:rPr>
          <w:instrText xml:space="preserve"> PAGEREF _Toc525652535 \h </w:instrText>
        </w:r>
        <w:r w:rsidR="00352A4D">
          <w:rPr>
            <w:noProof/>
            <w:webHidden/>
          </w:rPr>
        </w:r>
        <w:r w:rsidR="00352A4D">
          <w:rPr>
            <w:noProof/>
            <w:webHidden/>
          </w:rPr>
          <w:fldChar w:fldCharType="separate"/>
        </w:r>
        <w:r w:rsidR="00352A4D">
          <w:rPr>
            <w:noProof/>
            <w:webHidden/>
          </w:rPr>
          <w:t>119</w:t>
        </w:r>
        <w:r w:rsidR="00352A4D">
          <w:rPr>
            <w:noProof/>
            <w:webHidden/>
          </w:rPr>
          <w:fldChar w:fldCharType="end"/>
        </w:r>
      </w:hyperlink>
    </w:p>
    <w:p w14:paraId="18D50052" w14:textId="6E9667A9" w:rsidR="00352A4D" w:rsidRDefault="008B5E15">
      <w:pPr>
        <w:pStyle w:val="Tabladeilustraciones"/>
        <w:tabs>
          <w:tab w:val="right" w:leader="dot" w:pos="9394"/>
        </w:tabs>
        <w:rPr>
          <w:rFonts w:eastAsiaTheme="minorEastAsia"/>
          <w:noProof/>
          <w:lang w:val="es-ES" w:eastAsia="es-ES"/>
        </w:rPr>
      </w:pPr>
      <w:hyperlink w:anchor="_Toc525652536" w:history="1">
        <w:r w:rsidR="00352A4D" w:rsidRPr="0034296F">
          <w:rPr>
            <w:rStyle w:val="Hipervnculo"/>
            <w:noProof/>
          </w:rPr>
          <w:t xml:space="preserve">Tabla 91 Ejecución Inversión Adecuación Del Modelo De Promoción de Los Recursos </w:t>
        </w:r>
        <w:r w:rsidR="00576641">
          <w:rPr>
            <w:rStyle w:val="Hipervnculo"/>
            <w:noProof/>
          </w:rPr>
          <w:t>Hidrocarburíferos</w:t>
        </w:r>
        <w:r w:rsidR="00352A4D" w:rsidRPr="0034296F">
          <w:rPr>
            <w:rStyle w:val="Hipervnculo"/>
            <w:noProof/>
          </w:rPr>
          <w:t xml:space="preserve"> Frente a Los Factores Externos a 30 de junio de 2018  ANH</w:t>
        </w:r>
        <w:r w:rsidR="00352A4D">
          <w:rPr>
            <w:noProof/>
            <w:webHidden/>
          </w:rPr>
          <w:tab/>
        </w:r>
        <w:r w:rsidR="00352A4D">
          <w:rPr>
            <w:noProof/>
            <w:webHidden/>
          </w:rPr>
          <w:fldChar w:fldCharType="begin"/>
        </w:r>
        <w:r w:rsidR="00352A4D">
          <w:rPr>
            <w:noProof/>
            <w:webHidden/>
          </w:rPr>
          <w:instrText xml:space="preserve"> PAGEREF _Toc525652536 \h </w:instrText>
        </w:r>
        <w:r w:rsidR="00352A4D">
          <w:rPr>
            <w:noProof/>
            <w:webHidden/>
          </w:rPr>
        </w:r>
        <w:r w:rsidR="00352A4D">
          <w:rPr>
            <w:noProof/>
            <w:webHidden/>
          </w:rPr>
          <w:fldChar w:fldCharType="separate"/>
        </w:r>
        <w:r w:rsidR="00352A4D">
          <w:rPr>
            <w:noProof/>
            <w:webHidden/>
          </w:rPr>
          <w:t>122</w:t>
        </w:r>
        <w:r w:rsidR="00352A4D">
          <w:rPr>
            <w:noProof/>
            <w:webHidden/>
          </w:rPr>
          <w:fldChar w:fldCharType="end"/>
        </w:r>
      </w:hyperlink>
    </w:p>
    <w:p w14:paraId="3E7A1372" w14:textId="1D5B821C" w:rsidR="00352A4D" w:rsidRDefault="008B5E15">
      <w:pPr>
        <w:pStyle w:val="Tabladeilustraciones"/>
        <w:tabs>
          <w:tab w:val="right" w:leader="dot" w:pos="9394"/>
        </w:tabs>
        <w:rPr>
          <w:rFonts w:eastAsiaTheme="minorEastAsia"/>
          <w:noProof/>
          <w:lang w:val="es-ES" w:eastAsia="es-ES"/>
        </w:rPr>
      </w:pPr>
      <w:hyperlink w:anchor="_Toc525652537" w:history="1">
        <w:r w:rsidR="00352A4D" w:rsidRPr="0034296F">
          <w:rPr>
            <w:rStyle w:val="Hipervnculo"/>
            <w:noProof/>
          </w:rPr>
          <w:t xml:space="preserve">Tabla 92 Ejecución Inversión Adecuación Del Modelo De Promoción de Los Recursos </w:t>
        </w:r>
        <w:r w:rsidR="00576641">
          <w:rPr>
            <w:rStyle w:val="Hipervnculo"/>
            <w:noProof/>
          </w:rPr>
          <w:t>Hidrocarburíferos</w:t>
        </w:r>
        <w:r w:rsidR="00352A4D" w:rsidRPr="0034296F">
          <w:rPr>
            <w:rStyle w:val="Hipervnculo"/>
            <w:noProof/>
          </w:rPr>
          <w:t xml:space="preserve"> Frente a Los Factores Externos – Contratación Compromisos a 30 de junio de 2018  ANH</w:t>
        </w:r>
        <w:r w:rsidR="00352A4D">
          <w:rPr>
            <w:noProof/>
            <w:webHidden/>
          </w:rPr>
          <w:tab/>
        </w:r>
        <w:r w:rsidR="00352A4D">
          <w:rPr>
            <w:noProof/>
            <w:webHidden/>
          </w:rPr>
          <w:fldChar w:fldCharType="begin"/>
        </w:r>
        <w:r w:rsidR="00352A4D">
          <w:rPr>
            <w:noProof/>
            <w:webHidden/>
          </w:rPr>
          <w:instrText xml:space="preserve"> PAGEREF _Toc525652537 \h </w:instrText>
        </w:r>
        <w:r w:rsidR="00352A4D">
          <w:rPr>
            <w:noProof/>
            <w:webHidden/>
          </w:rPr>
        </w:r>
        <w:r w:rsidR="00352A4D">
          <w:rPr>
            <w:noProof/>
            <w:webHidden/>
          </w:rPr>
          <w:fldChar w:fldCharType="separate"/>
        </w:r>
        <w:r w:rsidR="00352A4D">
          <w:rPr>
            <w:noProof/>
            <w:webHidden/>
          </w:rPr>
          <w:t>122</w:t>
        </w:r>
        <w:r w:rsidR="00352A4D">
          <w:rPr>
            <w:noProof/>
            <w:webHidden/>
          </w:rPr>
          <w:fldChar w:fldCharType="end"/>
        </w:r>
      </w:hyperlink>
    </w:p>
    <w:p w14:paraId="6C48C518" w14:textId="173FE5D9" w:rsidR="00352A4D" w:rsidRDefault="008B5E15">
      <w:pPr>
        <w:pStyle w:val="Tabladeilustraciones"/>
        <w:tabs>
          <w:tab w:val="right" w:leader="dot" w:pos="9394"/>
        </w:tabs>
        <w:rPr>
          <w:rFonts w:eastAsiaTheme="minorEastAsia"/>
          <w:noProof/>
          <w:lang w:val="es-ES" w:eastAsia="es-ES"/>
        </w:rPr>
      </w:pPr>
      <w:hyperlink w:anchor="_Toc525652538" w:history="1">
        <w:r w:rsidR="00352A4D" w:rsidRPr="0034296F">
          <w:rPr>
            <w:rStyle w:val="Hipervnculo"/>
            <w:noProof/>
          </w:rPr>
          <w:t xml:space="preserve">Tabla 93 Ejecución Inversión Adecuación Del Modelo De Promoción de Los Recursos </w:t>
        </w:r>
        <w:r w:rsidR="00576641">
          <w:rPr>
            <w:rStyle w:val="Hipervnculo"/>
            <w:noProof/>
          </w:rPr>
          <w:t>Hidrocarburíferos</w:t>
        </w:r>
        <w:r w:rsidR="00352A4D" w:rsidRPr="0034296F">
          <w:rPr>
            <w:rStyle w:val="Hipervnculo"/>
            <w:noProof/>
          </w:rPr>
          <w:t xml:space="preserve"> Frente a Los Factores Externos – Contratación – Obligaciones a 30 de junio de 2018 ANH</w:t>
        </w:r>
        <w:r w:rsidR="00352A4D">
          <w:rPr>
            <w:noProof/>
            <w:webHidden/>
          </w:rPr>
          <w:tab/>
        </w:r>
        <w:r w:rsidR="00352A4D">
          <w:rPr>
            <w:noProof/>
            <w:webHidden/>
          </w:rPr>
          <w:fldChar w:fldCharType="begin"/>
        </w:r>
        <w:r w:rsidR="00352A4D">
          <w:rPr>
            <w:noProof/>
            <w:webHidden/>
          </w:rPr>
          <w:instrText xml:space="preserve"> PAGEREF _Toc525652538 \h </w:instrText>
        </w:r>
        <w:r w:rsidR="00352A4D">
          <w:rPr>
            <w:noProof/>
            <w:webHidden/>
          </w:rPr>
        </w:r>
        <w:r w:rsidR="00352A4D">
          <w:rPr>
            <w:noProof/>
            <w:webHidden/>
          </w:rPr>
          <w:fldChar w:fldCharType="separate"/>
        </w:r>
        <w:r w:rsidR="00352A4D">
          <w:rPr>
            <w:noProof/>
            <w:webHidden/>
          </w:rPr>
          <w:t>124</w:t>
        </w:r>
        <w:r w:rsidR="00352A4D">
          <w:rPr>
            <w:noProof/>
            <w:webHidden/>
          </w:rPr>
          <w:fldChar w:fldCharType="end"/>
        </w:r>
      </w:hyperlink>
    </w:p>
    <w:p w14:paraId="3EBE0AE7" w14:textId="77777777" w:rsidR="00352A4D" w:rsidRDefault="008B5E15">
      <w:pPr>
        <w:pStyle w:val="Tabladeilustraciones"/>
        <w:tabs>
          <w:tab w:val="right" w:leader="dot" w:pos="9394"/>
        </w:tabs>
        <w:rPr>
          <w:rFonts w:eastAsiaTheme="minorEastAsia"/>
          <w:noProof/>
          <w:lang w:val="es-ES" w:eastAsia="es-ES"/>
        </w:rPr>
      </w:pPr>
      <w:hyperlink w:anchor="_Toc525652539" w:history="1">
        <w:r w:rsidR="00352A4D" w:rsidRPr="0034296F">
          <w:rPr>
            <w:rStyle w:val="Hipervnculo"/>
            <w:noProof/>
          </w:rPr>
          <w:t>Tabla 94Ejecución Inversión Gestion De Tecnologías De La Información Y Comunicaciones a 30 de junio de 2018  ANH</w:t>
        </w:r>
        <w:r w:rsidR="00352A4D">
          <w:rPr>
            <w:noProof/>
            <w:webHidden/>
          </w:rPr>
          <w:tab/>
        </w:r>
        <w:r w:rsidR="00352A4D">
          <w:rPr>
            <w:noProof/>
            <w:webHidden/>
          </w:rPr>
          <w:fldChar w:fldCharType="begin"/>
        </w:r>
        <w:r w:rsidR="00352A4D">
          <w:rPr>
            <w:noProof/>
            <w:webHidden/>
          </w:rPr>
          <w:instrText xml:space="preserve"> PAGEREF _Toc525652539 \h </w:instrText>
        </w:r>
        <w:r w:rsidR="00352A4D">
          <w:rPr>
            <w:noProof/>
            <w:webHidden/>
          </w:rPr>
        </w:r>
        <w:r w:rsidR="00352A4D">
          <w:rPr>
            <w:noProof/>
            <w:webHidden/>
          </w:rPr>
          <w:fldChar w:fldCharType="separate"/>
        </w:r>
        <w:r w:rsidR="00352A4D">
          <w:rPr>
            <w:noProof/>
            <w:webHidden/>
          </w:rPr>
          <w:t>126</w:t>
        </w:r>
        <w:r w:rsidR="00352A4D">
          <w:rPr>
            <w:noProof/>
            <w:webHidden/>
          </w:rPr>
          <w:fldChar w:fldCharType="end"/>
        </w:r>
      </w:hyperlink>
    </w:p>
    <w:p w14:paraId="1BB50A06" w14:textId="77777777" w:rsidR="00352A4D" w:rsidRDefault="008B5E15">
      <w:pPr>
        <w:pStyle w:val="Tabladeilustraciones"/>
        <w:tabs>
          <w:tab w:val="right" w:leader="dot" w:pos="9394"/>
        </w:tabs>
        <w:rPr>
          <w:rFonts w:eastAsiaTheme="minorEastAsia"/>
          <w:noProof/>
          <w:lang w:val="es-ES" w:eastAsia="es-ES"/>
        </w:rPr>
      </w:pPr>
      <w:hyperlink w:anchor="_Toc525652540" w:history="1">
        <w:r w:rsidR="00352A4D" w:rsidRPr="0034296F">
          <w:rPr>
            <w:rStyle w:val="Hipervnculo"/>
            <w:noProof/>
          </w:rPr>
          <w:t>Tabla 95 Ejecución Inversión Gestion De Tecnologías De La Información Y Comunicaciones – Contratación ANH</w:t>
        </w:r>
        <w:r w:rsidR="00352A4D">
          <w:rPr>
            <w:noProof/>
            <w:webHidden/>
          </w:rPr>
          <w:tab/>
        </w:r>
        <w:r w:rsidR="00352A4D">
          <w:rPr>
            <w:noProof/>
            <w:webHidden/>
          </w:rPr>
          <w:fldChar w:fldCharType="begin"/>
        </w:r>
        <w:r w:rsidR="00352A4D">
          <w:rPr>
            <w:noProof/>
            <w:webHidden/>
          </w:rPr>
          <w:instrText xml:space="preserve"> PAGEREF _Toc525652540 \h </w:instrText>
        </w:r>
        <w:r w:rsidR="00352A4D">
          <w:rPr>
            <w:noProof/>
            <w:webHidden/>
          </w:rPr>
        </w:r>
        <w:r w:rsidR="00352A4D">
          <w:rPr>
            <w:noProof/>
            <w:webHidden/>
          </w:rPr>
          <w:fldChar w:fldCharType="separate"/>
        </w:r>
        <w:r w:rsidR="00352A4D">
          <w:rPr>
            <w:noProof/>
            <w:webHidden/>
          </w:rPr>
          <w:t>127</w:t>
        </w:r>
        <w:r w:rsidR="00352A4D">
          <w:rPr>
            <w:noProof/>
            <w:webHidden/>
          </w:rPr>
          <w:fldChar w:fldCharType="end"/>
        </w:r>
      </w:hyperlink>
    </w:p>
    <w:p w14:paraId="0B4E544F" w14:textId="77777777" w:rsidR="00352A4D" w:rsidRDefault="008B5E15">
      <w:pPr>
        <w:pStyle w:val="Tabladeilustraciones"/>
        <w:tabs>
          <w:tab w:val="right" w:leader="dot" w:pos="9394"/>
        </w:tabs>
        <w:rPr>
          <w:rFonts w:eastAsiaTheme="minorEastAsia"/>
          <w:noProof/>
          <w:lang w:val="es-ES" w:eastAsia="es-ES"/>
        </w:rPr>
      </w:pPr>
      <w:hyperlink w:anchor="_Toc525652541" w:history="1">
        <w:r w:rsidR="00352A4D" w:rsidRPr="0034296F">
          <w:rPr>
            <w:rStyle w:val="Hipervnculo"/>
            <w:noProof/>
          </w:rPr>
          <w:t>Tabla 96 Ejecución Inversión Gestión De Tecnologías De La Información Y Comunicaciones – Bienes y Serviciosa 30 de junio de 2018  ANH</w:t>
        </w:r>
        <w:r w:rsidR="00352A4D">
          <w:rPr>
            <w:noProof/>
            <w:webHidden/>
          </w:rPr>
          <w:tab/>
        </w:r>
        <w:r w:rsidR="00352A4D">
          <w:rPr>
            <w:noProof/>
            <w:webHidden/>
          </w:rPr>
          <w:fldChar w:fldCharType="begin"/>
        </w:r>
        <w:r w:rsidR="00352A4D">
          <w:rPr>
            <w:noProof/>
            <w:webHidden/>
          </w:rPr>
          <w:instrText xml:space="preserve"> PAGEREF _Toc525652541 \h </w:instrText>
        </w:r>
        <w:r w:rsidR="00352A4D">
          <w:rPr>
            <w:noProof/>
            <w:webHidden/>
          </w:rPr>
        </w:r>
        <w:r w:rsidR="00352A4D">
          <w:rPr>
            <w:noProof/>
            <w:webHidden/>
          </w:rPr>
          <w:fldChar w:fldCharType="separate"/>
        </w:r>
        <w:r w:rsidR="00352A4D">
          <w:rPr>
            <w:noProof/>
            <w:webHidden/>
          </w:rPr>
          <w:t>127</w:t>
        </w:r>
        <w:r w:rsidR="00352A4D">
          <w:rPr>
            <w:noProof/>
            <w:webHidden/>
          </w:rPr>
          <w:fldChar w:fldCharType="end"/>
        </w:r>
      </w:hyperlink>
    </w:p>
    <w:p w14:paraId="57052327" w14:textId="77777777" w:rsidR="00352A4D" w:rsidRDefault="008B5E15">
      <w:pPr>
        <w:pStyle w:val="Tabladeilustraciones"/>
        <w:tabs>
          <w:tab w:val="right" w:leader="dot" w:pos="9394"/>
        </w:tabs>
        <w:rPr>
          <w:rFonts w:eastAsiaTheme="minorEastAsia"/>
          <w:noProof/>
          <w:lang w:val="es-ES" w:eastAsia="es-ES"/>
        </w:rPr>
      </w:pPr>
      <w:hyperlink w:anchor="_Toc525652542" w:history="1">
        <w:r w:rsidR="00352A4D" w:rsidRPr="0034296F">
          <w:rPr>
            <w:rStyle w:val="Hipervnculo"/>
            <w:noProof/>
          </w:rPr>
          <w:t>Tabla 97Apropiación Desarrollo De Ciencia Y Tecnología Para El Sector De Hidrocarburos a 30 de junio de 2018  ANH</w:t>
        </w:r>
        <w:r w:rsidR="00352A4D">
          <w:rPr>
            <w:noProof/>
            <w:webHidden/>
          </w:rPr>
          <w:tab/>
        </w:r>
        <w:r w:rsidR="00352A4D">
          <w:rPr>
            <w:noProof/>
            <w:webHidden/>
          </w:rPr>
          <w:fldChar w:fldCharType="begin"/>
        </w:r>
        <w:r w:rsidR="00352A4D">
          <w:rPr>
            <w:noProof/>
            <w:webHidden/>
          </w:rPr>
          <w:instrText xml:space="preserve"> PAGEREF _Toc525652542 \h </w:instrText>
        </w:r>
        <w:r w:rsidR="00352A4D">
          <w:rPr>
            <w:noProof/>
            <w:webHidden/>
          </w:rPr>
        </w:r>
        <w:r w:rsidR="00352A4D">
          <w:rPr>
            <w:noProof/>
            <w:webHidden/>
          </w:rPr>
          <w:fldChar w:fldCharType="separate"/>
        </w:r>
        <w:r w:rsidR="00352A4D">
          <w:rPr>
            <w:noProof/>
            <w:webHidden/>
          </w:rPr>
          <w:t>128</w:t>
        </w:r>
        <w:r w:rsidR="00352A4D">
          <w:rPr>
            <w:noProof/>
            <w:webHidden/>
          </w:rPr>
          <w:fldChar w:fldCharType="end"/>
        </w:r>
      </w:hyperlink>
    </w:p>
    <w:p w14:paraId="7B2281CE" w14:textId="77777777" w:rsidR="00352A4D" w:rsidRDefault="008B5E15">
      <w:pPr>
        <w:pStyle w:val="Tabladeilustraciones"/>
        <w:tabs>
          <w:tab w:val="right" w:leader="dot" w:pos="9394"/>
        </w:tabs>
        <w:rPr>
          <w:rFonts w:eastAsiaTheme="minorEastAsia"/>
          <w:noProof/>
          <w:lang w:val="es-ES" w:eastAsia="es-ES"/>
        </w:rPr>
      </w:pPr>
      <w:hyperlink w:anchor="_Toc525652543" w:history="1">
        <w:r w:rsidR="00352A4D" w:rsidRPr="0034296F">
          <w:rPr>
            <w:rStyle w:val="Hipervnculo"/>
            <w:noProof/>
          </w:rPr>
          <w:t>Tabla 98 Ejecución reservas presupuestales – a 30 de junio de 2018  ANH</w:t>
        </w:r>
        <w:r w:rsidR="00352A4D">
          <w:rPr>
            <w:noProof/>
            <w:webHidden/>
          </w:rPr>
          <w:tab/>
        </w:r>
        <w:r w:rsidR="00352A4D">
          <w:rPr>
            <w:noProof/>
            <w:webHidden/>
          </w:rPr>
          <w:fldChar w:fldCharType="begin"/>
        </w:r>
        <w:r w:rsidR="00352A4D">
          <w:rPr>
            <w:noProof/>
            <w:webHidden/>
          </w:rPr>
          <w:instrText xml:space="preserve"> PAGEREF _Toc525652543 \h </w:instrText>
        </w:r>
        <w:r w:rsidR="00352A4D">
          <w:rPr>
            <w:noProof/>
            <w:webHidden/>
          </w:rPr>
        </w:r>
        <w:r w:rsidR="00352A4D">
          <w:rPr>
            <w:noProof/>
            <w:webHidden/>
          </w:rPr>
          <w:fldChar w:fldCharType="separate"/>
        </w:r>
        <w:r w:rsidR="00352A4D">
          <w:rPr>
            <w:noProof/>
            <w:webHidden/>
          </w:rPr>
          <w:t>129</w:t>
        </w:r>
        <w:r w:rsidR="00352A4D">
          <w:rPr>
            <w:noProof/>
            <w:webHidden/>
          </w:rPr>
          <w:fldChar w:fldCharType="end"/>
        </w:r>
      </w:hyperlink>
    </w:p>
    <w:p w14:paraId="75DAB897" w14:textId="77777777" w:rsidR="00352A4D" w:rsidRDefault="008B5E15">
      <w:pPr>
        <w:pStyle w:val="Tabladeilustraciones"/>
        <w:tabs>
          <w:tab w:val="right" w:leader="dot" w:pos="9394"/>
        </w:tabs>
        <w:rPr>
          <w:rFonts w:eastAsiaTheme="minorEastAsia"/>
          <w:noProof/>
          <w:lang w:val="es-ES" w:eastAsia="es-ES"/>
        </w:rPr>
      </w:pPr>
      <w:hyperlink w:anchor="_Toc525652544" w:history="1">
        <w:r w:rsidR="00352A4D" w:rsidRPr="0034296F">
          <w:rPr>
            <w:rStyle w:val="Hipervnculo"/>
            <w:noProof/>
          </w:rPr>
          <w:t>Tabla 99 Ejecución cuentas por pagar – a 30 de junio de  2018 ANH</w:t>
        </w:r>
        <w:r w:rsidR="00352A4D">
          <w:rPr>
            <w:noProof/>
            <w:webHidden/>
          </w:rPr>
          <w:tab/>
        </w:r>
        <w:r w:rsidR="00352A4D">
          <w:rPr>
            <w:noProof/>
            <w:webHidden/>
          </w:rPr>
          <w:fldChar w:fldCharType="begin"/>
        </w:r>
        <w:r w:rsidR="00352A4D">
          <w:rPr>
            <w:noProof/>
            <w:webHidden/>
          </w:rPr>
          <w:instrText xml:space="preserve"> PAGEREF _Toc525652544 \h </w:instrText>
        </w:r>
        <w:r w:rsidR="00352A4D">
          <w:rPr>
            <w:noProof/>
            <w:webHidden/>
          </w:rPr>
        </w:r>
        <w:r w:rsidR="00352A4D">
          <w:rPr>
            <w:noProof/>
            <w:webHidden/>
          </w:rPr>
          <w:fldChar w:fldCharType="separate"/>
        </w:r>
        <w:r w:rsidR="00352A4D">
          <w:rPr>
            <w:noProof/>
            <w:webHidden/>
          </w:rPr>
          <w:t>129</w:t>
        </w:r>
        <w:r w:rsidR="00352A4D">
          <w:rPr>
            <w:noProof/>
            <w:webHidden/>
          </w:rPr>
          <w:fldChar w:fldCharType="end"/>
        </w:r>
      </w:hyperlink>
    </w:p>
    <w:p w14:paraId="62E86354" w14:textId="77777777" w:rsidR="00352A4D" w:rsidRDefault="008B5E15">
      <w:pPr>
        <w:pStyle w:val="Tabladeilustraciones"/>
        <w:tabs>
          <w:tab w:val="right" w:leader="dot" w:pos="9394"/>
        </w:tabs>
        <w:rPr>
          <w:rFonts w:eastAsiaTheme="minorEastAsia"/>
          <w:noProof/>
          <w:lang w:val="es-ES" w:eastAsia="es-ES"/>
        </w:rPr>
      </w:pPr>
      <w:hyperlink w:anchor="_Toc525652545" w:history="1">
        <w:r w:rsidR="00352A4D" w:rsidRPr="0034296F">
          <w:rPr>
            <w:rStyle w:val="Hipervnculo"/>
            <w:noProof/>
          </w:rPr>
          <w:t>Tabla 100 Distribución Presupuesto Funcionamiento - vigencia 2018 SCG</w:t>
        </w:r>
        <w:r w:rsidR="00352A4D">
          <w:rPr>
            <w:noProof/>
            <w:webHidden/>
          </w:rPr>
          <w:tab/>
        </w:r>
        <w:r w:rsidR="00352A4D">
          <w:rPr>
            <w:noProof/>
            <w:webHidden/>
          </w:rPr>
          <w:fldChar w:fldCharType="begin"/>
        </w:r>
        <w:r w:rsidR="00352A4D">
          <w:rPr>
            <w:noProof/>
            <w:webHidden/>
          </w:rPr>
          <w:instrText xml:space="preserve"> PAGEREF _Toc525652545 \h </w:instrText>
        </w:r>
        <w:r w:rsidR="00352A4D">
          <w:rPr>
            <w:noProof/>
            <w:webHidden/>
          </w:rPr>
        </w:r>
        <w:r w:rsidR="00352A4D">
          <w:rPr>
            <w:noProof/>
            <w:webHidden/>
          </w:rPr>
          <w:fldChar w:fldCharType="separate"/>
        </w:r>
        <w:r w:rsidR="00352A4D">
          <w:rPr>
            <w:noProof/>
            <w:webHidden/>
          </w:rPr>
          <w:t>131</w:t>
        </w:r>
        <w:r w:rsidR="00352A4D">
          <w:rPr>
            <w:noProof/>
            <w:webHidden/>
          </w:rPr>
          <w:fldChar w:fldCharType="end"/>
        </w:r>
      </w:hyperlink>
    </w:p>
    <w:p w14:paraId="08376BB4" w14:textId="77777777" w:rsidR="00352A4D" w:rsidRDefault="008B5E15">
      <w:pPr>
        <w:pStyle w:val="Tabladeilustraciones"/>
        <w:tabs>
          <w:tab w:val="right" w:leader="dot" w:pos="9394"/>
        </w:tabs>
        <w:rPr>
          <w:rFonts w:eastAsiaTheme="minorEastAsia"/>
          <w:noProof/>
          <w:lang w:val="es-ES" w:eastAsia="es-ES"/>
        </w:rPr>
      </w:pPr>
      <w:hyperlink w:anchor="_Toc525652546" w:history="1">
        <w:r w:rsidR="00352A4D" w:rsidRPr="0034296F">
          <w:rPr>
            <w:rStyle w:val="Hipervnculo"/>
            <w:noProof/>
          </w:rPr>
          <w:t>Tabla 101Distribución Presupuesto de Inversión - vigencia 2018 SGC</w:t>
        </w:r>
        <w:r w:rsidR="00352A4D">
          <w:rPr>
            <w:noProof/>
            <w:webHidden/>
          </w:rPr>
          <w:tab/>
        </w:r>
        <w:r w:rsidR="00352A4D">
          <w:rPr>
            <w:noProof/>
            <w:webHidden/>
          </w:rPr>
          <w:fldChar w:fldCharType="begin"/>
        </w:r>
        <w:r w:rsidR="00352A4D">
          <w:rPr>
            <w:noProof/>
            <w:webHidden/>
          </w:rPr>
          <w:instrText xml:space="preserve"> PAGEREF _Toc525652546 \h </w:instrText>
        </w:r>
        <w:r w:rsidR="00352A4D">
          <w:rPr>
            <w:noProof/>
            <w:webHidden/>
          </w:rPr>
        </w:r>
        <w:r w:rsidR="00352A4D">
          <w:rPr>
            <w:noProof/>
            <w:webHidden/>
          </w:rPr>
          <w:fldChar w:fldCharType="separate"/>
        </w:r>
        <w:r w:rsidR="00352A4D">
          <w:rPr>
            <w:noProof/>
            <w:webHidden/>
          </w:rPr>
          <w:t>131</w:t>
        </w:r>
        <w:r w:rsidR="00352A4D">
          <w:rPr>
            <w:noProof/>
            <w:webHidden/>
          </w:rPr>
          <w:fldChar w:fldCharType="end"/>
        </w:r>
      </w:hyperlink>
    </w:p>
    <w:p w14:paraId="512B983B" w14:textId="77777777" w:rsidR="00352A4D" w:rsidRDefault="008B5E15">
      <w:pPr>
        <w:pStyle w:val="Tabladeilustraciones"/>
        <w:tabs>
          <w:tab w:val="right" w:leader="dot" w:pos="9394"/>
        </w:tabs>
        <w:rPr>
          <w:rFonts w:eastAsiaTheme="minorEastAsia"/>
          <w:noProof/>
          <w:lang w:val="es-ES" w:eastAsia="es-ES"/>
        </w:rPr>
      </w:pPr>
      <w:hyperlink w:anchor="_Toc525652547" w:history="1">
        <w:r w:rsidR="00352A4D" w:rsidRPr="0034296F">
          <w:rPr>
            <w:rStyle w:val="Hipervnculo"/>
            <w:noProof/>
          </w:rPr>
          <w:t>Tabla 102 Ingresos SGC</w:t>
        </w:r>
        <w:r w:rsidR="00352A4D">
          <w:rPr>
            <w:noProof/>
            <w:webHidden/>
          </w:rPr>
          <w:tab/>
        </w:r>
        <w:r w:rsidR="00352A4D">
          <w:rPr>
            <w:noProof/>
            <w:webHidden/>
          </w:rPr>
          <w:fldChar w:fldCharType="begin"/>
        </w:r>
        <w:r w:rsidR="00352A4D">
          <w:rPr>
            <w:noProof/>
            <w:webHidden/>
          </w:rPr>
          <w:instrText xml:space="preserve"> PAGEREF _Toc525652547 \h </w:instrText>
        </w:r>
        <w:r w:rsidR="00352A4D">
          <w:rPr>
            <w:noProof/>
            <w:webHidden/>
          </w:rPr>
        </w:r>
        <w:r w:rsidR="00352A4D">
          <w:rPr>
            <w:noProof/>
            <w:webHidden/>
          </w:rPr>
          <w:fldChar w:fldCharType="separate"/>
        </w:r>
        <w:r w:rsidR="00352A4D">
          <w:rPr>
            <w:noProof/>
            <w:webHidden/>
          </w:rPr>
          <w:t>133</w:t>
        </w:r>
        <w:r w:rsidR="00352A4D">
          <w:rPr>
            <w:noProof/>
            <w:webHidden/>
          </w:rPr>
          <w:fldChar w:fldCharType="end"/>
        </w:r>
      </w:hyperlink>
    </w:p>
    <w:p w14:paraId="107BDFFC" w14:textId="77777777" w:rsidR="00352A4D" w:rsidRDefault="008B5E15">
      <w:pPr>
        <w:pStyle w:val="Tabladeilustraciones"/>
        <w:tabs>
          <w:tab w:val="right" w:leader="dot" w:pos="9394"/>
        </w:tabs>
        <w:rPr>
          <w:rFonts w:eastAsiaTheme="minorEastAsia"/>
          <w:noProof/>
          <w:lang w:val="es-ES" w:eastAsia="es-ES"/>
        </w:rPr>
      </w:pPr>
      <w:hyperlink w:anchor="_Toc525652548" w:history="1">
        <w:r w:rsidR="00352A4D" w:rsidRPr="0034296F">
          <w:rPr>
            <w:rStyle w:val="Hipervnculo"/>
            <w:noProof/>
          </w:rPr>
          <w:t>Tabla 103 Ejecución reservas presupuestales SCG</w:t>
        </w:r>
        <w:r w:rsidR="00352A4D">
          <w:rPr>
            <w:noProof/>
            <w:webHidden/>
          </w:rPr>
          <w:tab/>
        </w:r>
        <w:r w:rsidR="00352A4D">
          <w:rPr>
            <w:noProof/>
            <w:webHidden/>
          </w:rPr>
          <w:fldChar w:fldCharType="begin"/>
        </w:r>
        <w:r w:rsidR="00352A4D">
          <w:rPr>
            <w:noProof/>
            <w:webHidden/>
          </w:rPr>
          <w:instrText xml:space="preserve"> PAGEREF _Toc525652548 \h </w:instrText>
        </w:r>
        <w:r w:rsidR="00352A4D">
          <w:rPr>
            <w:noProof/>
            <w:webHidden/>
          </w:rPr>
        </w:r>
        <w:r w:rsidR="00352A4D">
          <w:rPr>
            <w:noProof/>
            <w:webHidden/>
          </w:rPr>
          <w:fldChar w:fldCharType="separate"/>
        </w:r>
        <w:r w:rsidR="00352A4D">
          <w:rPr>
            <w:noProof/>
            <w:webHidden/>
          </w:rPr>
          <w:t>139</w:t>
        </w:r>
        <w:r w:rsidR="00352A4D">
          <w:rPr>
            <w:noProof/>
            <w:webHidden/>
          </w:rPr>
          <w:fldChar w:fldCharType="end"/>
        </w:r>
      </w:hyperlink>
    </w:p>
    <w:p w14:paraId="7B4C8422" w14:textId="77777777" w:rsidR="00352A4D" w:rsidRDefault="008B5E15">
      <w:pPr>
        <w:pStyle w:val="Tabladeilustraciones"/>
        <w:tabs>
          <w:tab w:val="left" w:pos="1100"/>
          <w:tab w:val="right" w:leader="dot" w:pos="9394"/>
        </w:tabs>
        <w:rPr>
          <w:rFonts w:eastAsiaTheme="minorEastAsia"/>
          <w:noProof/>
          <w:lang w:val="es-ES" w:eastAsia="es-ES"/>
        </w:rPr>
      </w:pPr>
      <w:hyperlink w:anchor="_Toc525652549" w:history="1">
        <w:r w:rsidR="00352A4D" w:rsidRPr="0034296F">
          <w:rPr>
            <w:rStyle w:val="Hipervnculo"/>
            <w:noProof/>
          </w:rPr>
          <w:t>Tabla 104</w:t>
        </w:r>
        <w:r w:rsidR="00352A4D">
          <w:rPr>
            <w:rFonts w:eastAsiaTheme="minorEastAsia"/>
            <w:noProof/>
            <w:lang w:val="es-ES" w:eastAsia="es-ES"/>
          </w:rPr>
          <w:tab/>
        </w:r>
        <w:r w:rsidR="00352A4D" w:rsidRPr="0034296F">
          <w:rPr>
            <w:rStyle w:val="Hipervnculo"/>
            <w:noProof/>
          </w:rPr>
          <w:t>Ejecución cuentas por pagar SGC</w:t>
        </w:r>
        <w:r w:rsidR="00352A4D">
          <w:rPr>
            <w:noProof/>
            <w:webHidden/>
          </w:rPr>
          <w:tab/>
        </w:r>
        <w:r w:rsidR="00352A4D">
          <w:rPr>
            <w:noProof/>
            <w:webHidden/>
          </w:rPr>
          <w:fldChar w:fldCharType="begin"/>
        </w:r>
        <w:r w:rsidR="00352A4D">
          <w:rPr>
            <w:noProof/>
            <w:webHidden/>
          </w:rPr>
          <w:instrText xml:space="preserve"> PAGEREF _Toc525652549 \h </w:instrText>
        </w:r>
        <w:r w:rsidR="00352A4D">
          <w:rPr>
            <w:noProof/>
            <w:webHidden/>
          </w:rPr>
        </w:r>
        <w:r w:rsidR="00352A4D">
          <w:rPr>
            <w:noProof/>
            <w:webHidden/>
          </w:rPr>
          <w:fldChar w:fldCharType="separate"/>
        </w:r>
        <w:r w:rsidR="00352A4D">
          <w:rPr>
            <w:noProof/>
            <w:webHidden/>
          </w:rPr>
          <w:t>139</w:t>
        </w:r>
        <w:r w:rsidR="00352A4D">
          <w:rPr>
            <w:noProof/>
            <w:webHidden/>
          </w:rPr>
          <w:fldChar w:fldCharType="end"/>
        </w:r>
      </w:hyperlink>
    </w:p>
    <w:p w14:paraId="41761865" w14:textId="77777777" w:rsidR="00352A4D" w:rsidRDefault="008B5E15">
      <w:pPr>
        <w:pStyle w:val="Tabladeilustraciones"/>
        <w:tabs>
          <w:tab w:val="right" w:leader="dot" w:pos="9394"/>
        </w:tabs>
        <w:rPr>
          <w:rFonts w:eastAsiaTheme="minorEastAsia"/>
          <w:noProof/>
          <w:lang w:val="es-ES" w:eastAsia="es-ES"/>
        </w:rPr>
      </w:pPr>
      <w:hyperlink w:anchor="_Toc525652550" w:history="1">
        <w:r w:rsidR="00352A4D" w:rsidRPr="0034296F">
          <w:rPr>
            <w:rStyle w:val="Hipervnculo"/>
            <w:noProof/>
          </w:rPr>
          <w:t>Tabla 105 Distribución Presupuesto Funcionamiento - vigencia 2018ANM</w:t>
        </w:r>
        <w:r w:rsidR="00352A4D">
          <w:rPr>
            <w:noProof/>
            <w:webHidden/>
          </w:rPr>
          <w:tab/>
        </w:r>
        <w:r w:rsidR="00352A4D">
          <w:rPr>
            <w:noProof/>
            <w:webHidden/>
          </w:rPr>
          <w:fldChar w:fldCharType="begin"/>
        </w:r>
        <w:r w:rsidR="00352A4D">
          <w:rPr>
            <w:noProof/>
            <w:webHidden/>
          </w:rPr>
          <w:instrText xml:space="preserve"> PAGEREF _Toc525652550 \h </w:instrText>
        </w:r>
        <w:r w:rsidR="00352A4D">
          <w:rPr>
            <w:noProof/>
            <w:webHidden/>
          </w:rPr>
        </w:r>
        <w:r w:rsidR="00352A4D">
          <w:rPr>
            <w:noProof/>
            <w:webHidden/>
          </w:rPr>
          <w:fldChar w:fldCharType="separate"/>
        </w:r>
        <w:r w:rsidR="00352A4D">
          <w:rPr>
            <w:noProof/>
            <w:webHidden/>
          </w:rPr>
          <w:t>141</w:t>
        </w:r>
        <w:r w:rsidR="00352A4D">
          <w:rPr>
            <w:noProof/>
            <w:webHidden/>
          </w:rPr>
          <w:fldChar w:fldCharType="end"/>
        </w:r>
      </w:hyperlink>
    </w:p>
    <w:p w14:paraId="6A92A0E6" w14:textId="77777777" w:rsidR="00352A4D" w:rsidRDefault="008B5E15">
      <w:pPr>
        <w:pStyle w:val="Tabladeilustraciones"/>
        <w:tabs>
          <w:tab w:val="right" w:leader="dot" w:pos="9394"/>
        </w:tabs>
        <w:rPr>
          <w:rFonts w:eastAsiaTheme="minorEastAsia"/>
          <w:noProof/>
          <w:lang w:val="es-ES" w:eastAsia="es-ES"/>
        </w:rPr>
      </w:pPr>
      <w:hyperlink w:anchor="_Toc525652551" w:history="1">
        <w:r w:rsidR="00352A4D" w:rsidRPr="0034296F">
          <w:rPr>
            <w:rStyle w:val="Hipervnculo"/>
            <w:noProof/>
          </w:rPr>
          <w:t>Tabla 106 Distribución Presupuesto de Inversión - vigencia 2018 ANM</w:t>
        </w:r>
        <w:r w:rsidR="00352A4D">
          <w:rPr>
            <w:noProof/>
            <w:webHidden/>
          </w:rPr>
          <w:tab/>
        </w:r>
        <w:r w:rsidR="00352A4D">
          <w:rPr>
            <w:noProof/>
            <w:webHidden/>
          </w:rPr>
          <w:fldChar w:fldCharType="begin"/>
        </w:r>
        <w:r w:rsidR="00352A4D">
          <w:rPr>
            <w:noProof/>
            <w:webHidden/>
          </w:rPr>
          <w:instrText xml:space="preserve"> PAGEREF _Toc525652551 \h </w:instrText>
        </w:r>
        <w:r w:rsidR="00352A4D">
          <w:rPr>
            <w:noProof/>
            <w:webHidden/>
          </w:rPr>
        </w:r>
        <w:r w:rsidR="00352A4D">
          <w:rPr>
            <w:noProof/>
            <w:webHidden/>
          </w:rPr>
          <w:fldChar w:fldCharType="separate"/>
        </w:r>
        <w:r w:rsidR="00352A4D">
          <w:rPr>
            <w:noProof/>
            <w:webHidden/>
          </w:rPr>
          <w:t>142</w:t>
        </w:r>
        <w:r w:rsidR="00352A4D">
          <w:rPr>
            <w:noProof/>
            <w:webHidden/>
          </w:rPr>
          <w:fldChar w:fldCharType="end"/>
        </w:r>
      </w:hyperlink>
    </w:p>
    <w:p w14:paraId="163378F7" w14:textId="77777777" w:rsidR="00352A4D" w:rsidRDefault="008B5E15">
      <w:pPr>
        <w:pStyle w:val="Tabladeilustraciones"/>
        <w:tabs>
          <w:tab w:val="right" w:leader="dot" w:pos="9394"/>
        </w:tabs>
        <w:rPr>
          <w:rFonts w:eastAsiaTheme="minorEastAsia"/>
          <w:noProof/>
          <w:lang w:val="es-ES" w:eastAsia="es-ES"/>
        </w:rPr>
      </w:pPr>
      <w:hyperlink w:anchor="_Toc525652552" w:history="1">
        <w:r w:rsidR="00352A4D" w:rsidRPr="0034296F">
          <w:rPr>
            <w:rStyle w:val="Hipervnculo"/>
            <w:noProof/>
          </w:rPr>
          <w:t>Tabla 107 Ingresos ANM</w:t>
        </w:r>
        <w:r w:rsidR="00352A4D">
          <w:rPr>
            <w:noProof/>
            <w:webHidden/>
          </w:rPr>
          <w:tab/>
        </w:r>
        <w:r w:rsidR="00352A4D">
          <w:rPr>
            <w:noProof/>
            <w:webHidden/>
          </w:rPr>
          <w:fldChar w:fldCharType="begin"/>
        </w:r>
        <w:r w:rsidR="00352A4D">
          <w:rPr>
            <w:noProof/>
            <w:webHidden/>
          </w:rPr>
          <w:instrText xml:space="preserve"> PAGEREF _Toc525652552 \h </w:instrText>
        </w:r>
        <w:r w:rsidR="00352A4D">
          <w:rPr>
            <w:noProof/>
            <w:webHidden/>
          </w:rPr>
        </w:r>
        <w:r w:rsidR="00352A4D">
          <w:rPr>
            <w:noProof/>
            <w:webHidden/>
          </w:rPr>
          <w:fldChar w:fldCharType="separate"/>
        </w:r>
        <w:r w:rsidR="00352A4D">
          <w:rPr>
            <w:noProof/>
            <w:webHidden/>
          </w:rPr>
          <w:t>142</w:t>
        </w:r>
        <w:r w:rsidR="00352A4D">
          <w:rPr>
            <w:noProof/>
            <w:webHidden/>
          </w:rPr>
          <w:fldChar w:fldCharType="end"/>
        </w:r>
      </w:hyperlink>
    </w:p>
    <w:p w14:paraId="4FB4544D" w14:textId="77777777" w:rsidR="00352A4D" w:rsidRDefault="008B5E15">
      <w:pPr>
        <w:pStyle w:val="Tabladeilustraciones"/>
        <w:tabs>
          <w:tab w:val="right" w:leader="dot" w:pos="9394"/>
        </w:tabs>
        <w:rPr>
          <w:rFonts w:eastAsiaTheme="minorEastAsia"/>
          <w:noProof/>
          <w:lang w:val="es-ES" w:eastAsia="es-ES"/>
        </w:rPr>
      </w:pPr>
      <w:hyperlink w:anchor="_Toc525652553" w:history="1">
        <w:r w:rsidR="00352A4D" w:rsidRPr="0034296F">
          <w:rPr>
            <w:rStyle w:val="Hipervnculo"/>
            <w:noProof/>
          </w:rPr>
          <w:t>Tabla 108 Recaudo de ingresos a 30 de junio de 2018</w:t>
        </w:r>
        <w:r w:rsidR="00352A4D">
          <w:rPr>
            <w:noProof/>
            <w:webHidden/>
          </w:rPr>
          <w:tab/>
        </w:r>
        <w:r w:rsidR="00352A4D">
          <w:rPr>
            <w:noProof/>
            <w:webHidden/>
          </w:rPr>
          <w:fldChar w:fldCharType="begin"/>
        </w:r>
        <w:r w:rsidR="00352A4D">
          <w:rPr>
            <w:noProof/>
            <w:webHidden/>
          </w:rPr>
          <w:instrText xml:space="preserve"> PAGEREF _Toc525652553 \h </w:instrText>
        </w:r>
        <w:r w:rsidR="00352A4D">
          <w:rPr>
            <w:noProof/>
            <w:webHidden/>
          </w:rPr>
        </w:r>
        <w:r w:rsidR="00352A4D">
          <w:rPr>
            <w:noProof/>
            <w:webHidden/>
          </w:rPr>
          <w:fldChar w:fldCharType="separate"/>
        </w:r>
        <w:r w:rsidR="00352A4D">
          <w:rPr>
            <w:noProof/>
            <w:webHidden/>
          </w:rPr>
          <w:t>143</w:t>
        </w:r>
        <w:r w:rsidR="00352A4D">
          <w:rPr>
            <w:noProof/>
            <w:webHidden/>
          </w:rPr>
          <w:fldChar w:fldCharType="end"/>
        </w:r>
      </w:hyperlink>
    </w:p>
    <w:p w14:paraId="5412ED21" w14:textId="77777777" w:rsidR="00352A4D" w:rsidRDefault="008B5E15">
      <w:pPr>
        <w:pStyle w:val="Tabladeilustraciones"/>
        <w:tabs>
          <w:tab w:val="right" w:leader="dot" w:pos="9394"/>
        </w:tabs>
        <w:rPr>
          <w:rFonts w:eastAsiaTheme="minorEastAsia"/>
          <w:noProof/>
          <w:lang w:val="es-ES" w:eastAsia="es-ES"/>
        </w:rPr>
      </w:pPr>
      <w:hyperlink w:anchor="_Toc525652554" w:history="1">
        <w:r w:rsidR="00352A4D" w:rsidRPr="0034296F">
          <w:rPr>
            <w:rStyle w:val="Hipervnculo"/>
            <w:noProof/>
          </w:rPr>
          <w:t>Tabla 109 Gastos ANM</w:t>
        </w:r>
        <w:r w:rsidR="00352A4D">
          <w:rPr>
            <w:noProof/>
            <w:webHidden/>
          </w:rPr>
          <w:tab/>
        </w:r>
        <w:r w:rsidR="00352A4D">
          <w:rPr>
            <w:noProof/>
            <w:webHidden/>
          </w:rPr>
          <w:fldChar w:fldCharType="begin"/>
        </w:r>
        <w:r w:rsidR="00352A4D">
          <w:rPr>
            <w:noProof/>
            <w:webHidden/>
          </w:rPr>
          <w:instrText xml:space="preserve"> PAGEREF _Toc525652554 \h </w:instrText>
        </w:r>
        <w:r w:rsidR="00352A4D">
          <w:rPr>
            <w:noProof/>
            <w:webHidden/>
          </w:rPr>
        </w:r>
        <w:r w:rsidR="00352A4D">
          <w:rPr>
            <w:noProof/>
            <w:webHidden/>
          </w:rPr>
          <w:fldChar w:fldCharType="separate"/>
        </w:r>
        <w:r w:rsidR="00352A4D">
          <w:rPr>
            <w:noProof/>
            <w:webHidden/>
          </w:rPr>
          <w:t>144</w:t>
        </w:r>
        <w:r w:rsidR="00352A4D">
          <w:rPr>
            <w:noProof/>
            <w:webHidden/>
          </w:rPr>
          <w:fldChar w:fldCharType="end"/>
        </w:r>
      </w:hyperlink>
    </w:p>
    <w:p w14:paraId="751FFF0D" w14:textId="77777777" w:rsidR="00352A4D" w:rsidRDefault="008B5E15">
      <w:pPr>
        <w:pStyle w:val="Tabladeilustraciones"/>
        <w:tabs>
          <w:tab w:val="right" w:leader="dot" w:pos="9394"/>
        </w:tabs>
        <w:rPr>
          <w:rFonts w:eastAsiaTheme="minorEastAsia"/>
          <w:noProof/>
          <w:lang w:val="es-ES" w:eastAsia="es-ES"/>
        </w:rPr>
      </w:pPr>
      <w:hyperlink w:anchor="_Toc525652555" w:history="1">
        <w:r w:rsidR="00352A4D" w:rsidRPr="0034296F">
          <w:rPr>
            <w:rStyle w:val="Hipervnculo"/>
            <w:noProof/>
          </w:rPr>
          <w:t>Tabla 110 Ejecución acumulada presupuesto de funcionamiento a 30 de junio de 2018 ANM</w:t>
        </w:r>
        <w:r w:rsidR="00352A4D">
          <w:rPr>
            <w:noProof/>
            <w:webHidden/>
          </w:rPr>
          <w:tab/>
        </w:r>
        <w:r w:rsidR="00352A4D">
          <w:rPr>
            <w:noProof/>
            <w:webHidden/>
          </w:rPr>
          <w:fldChar w:fldCharType="begin"/>
        </w:r>
        <w:r w:rsidR="00352A4D">
          <w:rPr>
            <w:noProof/>
            <w:webHidden/>
          </w:rPr>
          <w:instrText xml:space="preserve"> PAGEREF _Toc525652555 \h </w:instrText>
        </w:r>
        <w:r w:rsidR="00352A4D">
          <w:rPr>
            <w:noProof/>
            <w:webHidden/>
          </w:rPr>
        </w:r>
        <w:r w:rsidR="00352A4D">
          <w:rPr>
            <w:noProof/>
            <w:webHidden/>
          </w:rPr>
          <w:fldChar w:fldCharType="separate"/>
        </w:r>
        <w:r w:rsidR="00352A4D">
          <w:rPr>
            <w:noProof/>
            <w:webHidden/>
          </w:rPr>
          <w:t>144</w:t>
        </w:r>
        <w:r w:rsidR="00352A4D">
          <w:rPr>
            <w:noProof/>
            <w:webHidden/>
          </w:rPr>
          <w:fldChar w:fldCharType="end"/>
        </w:r>
      </w:hyperlink>
    </w:p>
    <w:p w14:paraId="67887D6C" w14:textId="77777777" w:rsidR="00352A4D" w:rsidRDefault="008B5E15">
      <w:pPr>
        <w:pStyle w:val="Tabladeilustraciones"/>
        <w:tabs>
          <w:tab w:val="right" w:leader="dot" w:pos="9394"/>
        </w:tabs>
        <w:rPr>
          <w:rFonts w:eastAsiaTheme="minorEastAsia"/>
          <w:noProof/>
          <w:lang w:val="es-ES" w:eastAsia="es-ES"/>
        </w:rPr>
      </w:pPr>
      <w:hyperlink w:anchor="_Toc525652556" w:history="1">
        <w:r w:rsidR="00352A4D" w:rsidRPr="0034296F">
          <w:rPr>
            <w:rStyle w:val="Hipervnculo"/>
            <w:noProof/>
          </w:rPr>
          <w:t>Tabla 111 Gastos de Personal ANM</w:t>
        </w:r>
        <w:r w:rsidR="00352A4D">
          <w:rPr>
            <w:noProof/>
            <w:webHidden/>
          </w:rPr>
          <w:tab/>
        </w:r>
        <w:r w:rsidR="00352A4D">
          <w:rPr>
            <w:noProof/>
            <w:webHidden/>
          </w:rPr>
          <w:fldChar w:fldCharType="begin"/>
        </w:r>
        <w:r w:rsidR="00352A4D">
          <w:rPr>
            <w:noProof/>
            <w:webHidden/>
          </w:rPr>
          <w:instrText xml:space="preserve"> PAGEREF _Toc525652556 \h </w:instrText>
        </w:r>
        <w:r w:rsidR="00352A4D">
          <w:rPr>
            <w:noProof/>
            <w:webHidden/>
          </w:rPr>
        </w:r>
        <w:r w:rsidR="00352A4D">
          <w:rPr>
            <w:noProof/>
            <w:webHidden/>
          </w:rPr>
          <w:fldChar w:fldCharType="separate"/>
        </w:r>
        <w:r w:rsidR="00352A4D">
          <w:rPr>
            <w:noProof/>
            <w:webHidden/>
          </w:rPr>
          <w:t>145</w:t>
        </w:r>
        <w:r w:rsidR="00352A4D">
          <w:rPr>
            <w:noProof/>
            <w:webHidden/>
          </w:rPr>
          <w:fldChar w:fldCharType="end"/>
        </w:r>
      </w:hyperlink>
    </w:p>
    <w:p w14:paraId="7A40810E" w14:textId="77777777" w:rsidR="00352A4D" w:rsidRDefault="008B5E15">
      <w:pPr>
        <w:pStyle w:val="Tabladeilustraciones"/>
        <w:tabs>
          <w:tab w:val="right" w:leader="dot" w:pos="9394"/>
        </w:tabs>
        <w:rPr>
          <w:rFonts w:eastAsiaTheme="minorEastAsia"/>
          <w:noProof/>
          <w:lang w:val="es-ES" w:eastAsia="es-ES"/>
        </w:rPr>
      </w:pPr>
      <w:hyperlink w:anchor="_Toc525652557" w:history="1">
        <w:r w:rsidR="00352A4D" w:rsidRPr="0034296F">
          <w:rPr>
            <w:rStyle w:val="Hipervnculo"/>
            <w:noProof/>
          </w:rPr>
          <w:t>Tabla 112 Gastos Generales ANM</w:t>
        </w:r>
        <w:r w:rsidR="00352A4D">
          <w:rPr>
            <w:noProof/>
            <w:webHidden/>
          </w:rPr>
          <w:tab/>
        </w:r>
        <w:r w:rsidR="00352A4D">
          <w:rPr>
            <w:noProof/>
            <w:webHidden/>
          </w:rPr>
          <w:fldChar w:fldCharType="begin"/>
        </w:r>
        <w:r w:rsidR="00352A4D">
          <w:rPr>
            <w:noProof/>
            <w:webHidden/>
          </w:rPr>
          <w:instrText xml:space="preserve"> PAGEREF _Toc525652557 \h </w:instrText>
        </w:r>
        <w:r w:rsidR="00352A4D">
          <w:rPr>
            <w:noProof/>
            <w:webHidden/>
          </w:rPr>
        </w:r>
        <w:r w:rsidR="00352A4D">
          <w:rPr>
            <w:noProof/>
            <w:webHidden/>
          </w:rPr>
          <w:fldChar w:fldCharType="separate"/>
        </w:r>
        <w:r w:rsidR="00352A4D">
          <w:rPr>
            <w:noProof/>
            <w:webHidden/>
          </w:rPr>
          <w:t>146</w:t>
        </w:r>
        <w:r w:rsidR="00352A4D">
          <w:rPr>
            <w:noProof/>
            <w:webHidden/>
          </w:rPr>
          <w:fldChar w:fldCharType="end"/>
        </w:r>
      </w:hyperlink>
    </w:p>
    <w:p w14:paraId="17A3FAB6" w14:textId="77777777" w:rsidR="00352A4D" w:rsidRDefault="008B5E15">
      <w:pPr>
        <w:pStyle w:val="Tabladeilustraciones"/>
        <w:tabs>
          <w:tab w:val="right" w:leader="dot" w:pos="9394"/>
        </w:tabs>
        <w:rPr>
          <w:rFonts w:eastAsiaTheme="minorEastAsia"/>
          <w:noProof/>
          <w:lang w:val="es-ES" w:eastAsia="es-ES"/>
        </w:rPr>
      </w:pPr>
      <w:hyperlink w:anchor="_Toc525652558" w:history="1">
        <w:r w:rsidR="00352A4D" w:rsidRPr="0034296F">
          <w:rPr>
            <w:rStyle w:val="Hipervnculo"/>
            <w:noProof/>
          </w:rPr>
          <w:t>Tabla 113 Las obligaciones generadas a la UPME con corte a  junio de  2017 y  2018 ANM</w:t>
        </w:r>
        <w:r w:rsidR="00352A4D">
          <w:rPr>
            <w:noProof/>
            <w:webHidden/>
          </w:rPr>
          <w:tab/>
        </w:r>
        <w:r w:rsidR="00352A4D">
          <w:rPr>
            <w:noProof/>
            <w:webHidden/>
          </w:rPr>
          <w:fldChar w:fldCharType="begin"/>
        </w:r>
        <w:r w:rsidR="00352A4D">
          <w:rPr>
            <w:noProof/>
            <w:webHidden/>
          </w:rPr>
          <w:instrText xml:space="preserve"> PAGEREF _Toc525652558 \h </w:instrText>
        </w:r>
        <w:r w:rsidR="00352A4D">
          <w:rPr>
            <w:noProof/>
            <w:webHidden/>
          </w:rPr>
        </w:r>
        <w:r w:rsidR="00352A4D">
          <w:rPr>
            <w:noProof/>
            <w:webHidden/>
          </w:rPr>
          <w:fldChar w:fldCharType="separate"/>
        </w:r>
        <w:r w:rsidR="00352A4D">
          <w:rPr>
            <w:noProof/>
            <w:webHidden/>
          </w:rPr>
          <w:t>147</w:t>
        </w:r>
        <w:r w:rsidR="00352A4D">
          <w:rPr>
            <w:noProof/>
            <w:webHidden/>
          </w:rPr>
          <w:fldChar w:fldCharType="end"/>
        </w:r>
      </w:hyperlink>
    </w:p>
    <w:p w14:paraId="08D5DF14" w14:textId="77777777" w:rsidR="00352A4D" w:rsidRDefault="008B5E15">
      <w:pPr>
        <w:pStyle w:val="Tabladeilustraciones"/>
        <w:tabs>
          <w:tab w:val="right" w:leader="dot" w:pos="9394"/>
        </w:tabs>
        <w:rPr>
          <w:rFonts w:eastAsiaTheme="minorEastAsia"/>
          <w:noProof/>
          <w:lang w:val="es-ES" w:eastAsia="es-ES"/>
        </w:rPr>
      </w:pPr>
      <w:hyperlink w:anchor="_Toc525652559" w:history="1">
        <w:r w:rsidR="00352A4D" w:rsidRPr="0034296F">
          <w:rPr>
            <w:rStyle w:val="Hipervnculo"/>
            <w:noProof/>
          </w:rPr>
          <w:t>Tabla 114 Ejecución presupuestal Gastos de Inversión ANM</w:t>
        </w:r>
        <w:r w:rsidR="00352A4D">
          <w:rPr>
            <w:noProof/>
            <w:webHidden/>
          </w:rPr>
          <w:tab/>
        </w:r>
        <w:r w:rsidR="00352A4D">
          <w:rPr>
            <w:noProof/>
            <w:webHidden/>
          </w:rPr>
          <w:fldChar w:fldCharType="begin"/>
        </w:r>
        <w:r w:rsidR="00352A4D">
          <w:rPr>
            <w:noProof/>
            <w:webHidden/>
          </w:rPr>
          <w:instrText xml:space="preserve"> PAGEREF _Toc525652559 \h </w:instrText>
        </w:r>
        <w:r w:rsidR="00352A4D">
          <w:rPr>
            <w:noProof/>
            <w:webHidden/>
          </w:rPr>
        </w:r>
        <w:r w:rsidR="00352A4D">
          <w:rPr>
            <w:noProof/>
            <w:webHidden/>
          </w:rPr>
          <w:fldChar w:fldCharType="separate"/>
        </w:r>
        <w:r w:rsidR="00352A4D">
          <w:rPr>
            <w:noProof/>
            <w:webHidden/>
          </w:rPr>
          <w:t>147</w:t>
        </w:r>
        <w:r w:rsidR="00352A4D">
          <w:rPr>
            <w:noProof/>
            <w:webHidden/>
          </w:rPr>
          <w:fldChar w:fldCharType="end"/>
        </w:r>
      </w:hyperlink>
    </w:p>
    <w:p w14:paraId="0FDBB645" w14:textId="77777777" w:rsidR="00352A4D" w:rsidRDefault="008B5E15">
      <w:pPr>
        <w:pStyle w:val="Tabladeilustraciones"/>
        <w:tabs>
          <w:tab w:val="right" w:leader="dot" w:pos="9394"/>
        </w:tabs>
        <w:rPr>
          <w:rFonts w:eastAsiaTheme="minorEastAsia"/>
          <w:noProof/>
          <w:lang w:val="es-ES" w:eastAsia="es-ES"/>
        </w:rPr>
      </w:pPr>
      <w:hyperlink w:anchor="_Toc525652560" w:history="1">
        <w:r w:rsidR="00352A4D" w:rsidRPr="0034296F">
          <w:rPr>
            <w:rStyle w:val="Hipervnculo"/>
            <w:noProof/>
          </w:rPr>
          <w:t>Tabla 115Rezago Presupuestal ANM</w:t>
        </w:r>
        <w:r w:rsidR="00352A4D">
          <w:rPr>
            <w:noProof/>
            <w:webHidden/>
          </w:rPr>
          <w:tab/>
        </w:r>
        <w:r w:rsidR="00352A4D">
          <w:rPr>
            <w:noProof/>
            <w:webHidden/>
          </w:rPr>
          <w:fldChar w:fldCharType="begin"/>
        </w:r>
        <w:r w:rsidR="00352A4D">
          <w:rPr>
            <w:noProof/>
            <w:webHidden/>
          </w:rPr>
          <w:instrText xml:space="preserve"> PAGEREF _Toc525652560 \h </w:instrText>
        </w:r>
        <w:r w:rsidR="00352A4D">
          <w:rPr>
            <w:noProof/>
            <w:webHidden/>
          </w:rPr>
        </w:r>
        <w:r w:rsidR="00352A4D">
          <w:rPr>
            <w:noProof/>
            <w:webHidden/>
          </w:rPr>
          <w:fldChar w:fldCharType="separate"/>
        </w:r>
        <w:r w:rsidR="00352A4D">
          <w:rPr>
            <w:noProof/>
            <w:webHidden/>
          </w:rPr>
          <w:t>150</w:t>
        </w:r>
        <w:r w:rsidR="00352A4D">
          <w:rPr>
            <w:noProof/>
            <w:webHidden/>
          </w:rPr>
          <w:fldChar w:fldCharType="end"/>
        </w:r>
      </w:hyperlink>
    </w:p>
    <w:p w14:paraId="7AEC2AC9" w14:textId="77777777" w:rsidR="00352A4D" w:rsidRDefault="008B5E15">
      <w:pPr>
        <w:pStyle w:val="Tabladeilustraciones"/>
        <w:tabs>
          <w:tab w:val="right" w:leader="dot" w:pos="9394"/>
        </w:tabs>
        <w:rPr>
          <w:rFonts w:eastAsiaTheme="minorEastAsia"/>
          <w:noProof/>
          <w:lang w:val="es-ES" w:eastAsia="es-ES"/>
        </w:rPr>
      </w:pPr>
      <w:hyperlink w:anchor="_Toc525652561" w:history="1">
        <w:r w:rsidR="00352A4D" w:rsidRPr="0034296F">
          <w:rPr>
            <w:rStyle w:val="Hipervnculo"/>
            <w:noProof/>
          </w:rPr>
          <w:t>Tabla 116 Ejecutaron reservas presupuestales ANM</w:t>
        </w:r>
        <w:r w:rsidR="00352A4D">
          <w:rPr>
            <w:noProof/>
            <w:webHidden/>
          </w:rPr>
          <w:tab/>
        </w:r>
        <w:r w:rsidR="00352A4D">
          <w:rPr>
            <w:noProof/>
            <w:webHidden/>
          </w:rPr>
          <w:fldChar w:fldCharType="begin"/>
        </w:r>
        <w:r w:rsidR="00352A4D">
          <w:rPr>
            <w:noProof/>
            <w:webHidden/>
          </w:rPr>
          <w:instrText xml:space="preserve"> PAGEREF _Toc525652561 \h </w:instrText>
        </w:r>
        <w:r w:rsidR="00352A4D">
          <w:rPr>
            <w:noProof/>
            <w:webHidden/>
          </w:rPr>
        </w:r>
        <w:r w:rsidR="00352A4D">
          <w:rPr>
            <w:noProof/>
            <w:webHidden/>
          </w:rPr>
          <w:fldChar w:fldCharType="separate"/>
        </w:r>
        <w:r w:rsidR="00352A4D">
          <w:rPr>
            <w:noProof/>
            <w:webHidden/>
          </w:rPr>
          <w:t>150</w:t>
        </w:r>
        <w:r w:rsidR="00352A4D">
          <w:rPr>
            <w:noProof/>
            <w:webHidden/>
          </w:rPr>
          <w:fldChar w:fldCharType="end"/>
        </w:r>
      </w:hyperlink>
    </w:p>
    <w:p w14:paraId="51326A4A" w14:textId="77777777" w:rsidR="00352A4D" w:rsidRDefault="008B5E15">
      <w:pPr>
        <w:pStyle w:val="Tabladeilustraciones"/>
        <w:tabs>
          <w:tab w:val="right" w:leader="dot" w:pos="9394"/>
        </w:tabs>
        <w:rPr>
          <w:rFonts w:eastAsiaTheme="minorEastAsia"/>
          <w:noProof/>
          <w:lang w:val="es-ES" w:eastAsia="es-ES"/>
        </w:rPr>
      </w:pPr>
      <w:hyperlink w:anchor="_Toc525652562" w:history="1">
        <w:r w:rsidR="00352A4D" w:rsidRPr="0034296F">
          <w:rPr>
            <w:rStyle w:val="Hipervnculo"/>
            <w:noProof/>
          </w:rPr>
          <w:t>Tabla 117 Cuentas por pagar ANM</w:t>
        </w:r>
        <w:r w:rsidR="00352A4D">
          <w:rPr>
            <w:noProof/>
            <w:webHidden/>
          </w:rPr>
          <w:tab/>
        </w:r>
        <w:r w:rsidR="00352A4D">
          <w:rPr>
            <w:noProof/>
            <w:webHidden/>
          </w:rPr>
          <w:fldChar w:fldCharType="begin"/>
        </w:r>
        <w:r w:rsidR="00352A4D">
          <w:rPr>
            <w:noProof/>
            <w:webHidden/>
          </w:rPr>
          <w:instrText xml:space="preserve"> PAGEREF _Toc525652562 \h </w:instrText>
        </w:r>
        <w:r w:rsidR="00352A4D">
          <w:rPr>
            <w:noProof/>
            <w:webHidden/>
          </w:rPr>
        </w:r>
        <w:r w:rsidR="00352A4D">
          <w:rPr>
            <w:noProof/>
            <w:webHidden/>
          </w:rPr>
          <w:fldChar w:fldCharType="separate"/>
        </w:r>
        <w:r w:rsidR="00352A4D">
          <w:rPr>
            <w:noProof/>
            <w:webHidden/>
          </w:rPr>
          <w:t>151</w:t>
        </w:r>
        <w:r w:rsidR="00352A4D">
          <w:rPr>
            <w:noProof/>
            <w:webHidden/>
          </w:rPr>
          <w:fldChar w:fldCharType="end"/>
        </w:r>
      </w:hyperlink>
    </w:p>
    <w:p w14:paraId="162469BC" w14:textId="77777777" w:rsidR="00352A4D" w:rsidRDefault="008B5E15">
      <w:pPr>
        <w:pStyle w:val="Tabladeilustraciones"/>
        <w:tabs>
          <w:tab w:val="right" w:leader="dot" w:pos="9394"/>
        </w:tabs>
        <w:rPr>
          <w:rFonts w:eastAsiaTheme="minorEastAsia"/>
          <w:noProof/>
          <w:lang w:val="es-ES" w:eastAsia="es-ES"/>
        </w:rPr>
      </w:pPr>
      <w:hyperlink w:anchor="_Toc525652563" w:history="1">
        <w:r w:rsidR="00352A4D" w:rsidRPr="0034296F">
          <w:rPr>
            <w:rStyle w:val="Hipervnculo"/>
            <w:noProof/>
          </w:rPr>
          <w:t>Tabla 118 Distribución Gastos de Funcionamiento e Inversión - vigencia 2018 CREG</w:t>
        </w:r>
        <w:r w:rsidR="00352A4D">
          <w:rPr>
            <w:noProof/>
            <w:webHidden/>
          </w:rPr>
          <w:tab/>
        </w:r>
        <w:r w:rsidR="00352A4D">
          <w:rPr>
            <w:noProof/>
            <w:webHidden/>
          </w:rPr>
          <w:fldChar w:fldCharType="begin"/>
        </w:r>
        <w:r w:rsidR="00352A4D">
          <w:rPr>
            <w:noProof/>
            <w:webHidden/>
          </w:rPr>
          <w:instrText xml:space="preserve"> PAGEREF _Toc525652563 \h </w:instrText>
        </w:r>
        <w:r w:rsidR="00352A4D">
          <w:rPr>
            <w:noProof/>
            <w:webHidden/>
          </w:rPr>
        </w:r>
        <w:r w:rsidR="00352A4D">
          <w:rPr>
            <w:noProof/>
            <w:webHidden/>
          </w:rPr>
          <w:fldChar w:fldCharType="separate"/>
        </w:r>
        <w:r w:rsidR="00352A4D">
          <w:rPr>
            <w:noProof/>
            <w:webHidden/>
          </w:rPr>
          <w:t>152</w:t>
        </w:r>
        <w:r w:rsidR="00352A4D">
          <w:rPr>
            <w:noProof/>
            <w:webHidden/>
          </w:rPr>
          <w:fldChar w:fldCharType="end"/>
        </w:r>
      </w:hyperlink>
    </w:p>
    <w:p w14:paraId="0DF90467" w14:textId="77777777" w:rsidR="00352A4D" w:rsidRDefault="008B5E15">
      <w:pPr>
        <w:pStyle w:val="Tabladeilustraciones"/>
        <w:tabs>
          <w:tab w:val="right" w:leader="dot" w:pos="9394"/>
        </w:tabs>
        <w:rPr>
          <w:rFonts w:eastAsiaTheme="minorEastAsia"/>
          <w:noProof/>
          <w:lang w:val="es-ES" w:eastAsia="es-ES"/>
        </w:rPr>
      </w:pPr>
      <w:hyperlink w:anchor="_Toc525652564" w:history="1">
        <w:r w:rsidR="00352A4D" w:rsidRPr="0034296F">
          <w:rPr>
            <w:rStyle w:val="Hipervnculo"/>
            <w:noProof/>
          </w:rPr>
          <w:t>Tabla 119 Distribución Presupuesto Funcionamiento - vigencia 2018 CREG</w:t>
        </w:r>
        <w:r w:rsidR="00352A4D">
          <w:rPr>
            <w:noProof/>
            <w:webHidden/>
          </w:rPr>
          <w:tab/>
        </w:r>
        <w:r w:rsidR="00352A4D">
          <w:rPr>
            <w:noProof/>
            <w:webHidden/>
          </w:rPr>
          <w:fldChar w:fldCharType="begin"/>
        </w:r>
        <w:r w:rsidR="00352A4D">
          <w:rPr>
            <w:noProof/>
            <w:webHidden/>
          </w:rPr>
          <w:instrText xml:space="preserve"> PAGEREF _Toc525652564 \h </w:instrText>
        </w:r>
        <w:r w:rsidR="00352A4D">
          <w:rPr>
            <w:noProof/>
            <w:webHidden/>
          </w:rPr>
        </w:r>
        <w:r w:rsidR="00352A4D">
          <w:rPr>
            <w:noProof/>
            <w:webHidden/>
          </w:rPr>
          <w:fldChar w:fldCharType="separate"/>
        </w:r>
        <w:r w:rsidR="00352A4D">
          <w:rPr>
            <w:noProof/>
            <w:webHidden/>
          </w:rPr>
          <w:t>153</w:t>
        </w:r>
        <w:r w:rsidR="00352A4D">
          <w:rPr>
            <w:noProof/>
            <w:webHidden/>
          </w:rPr>
          <w:fldChar w:fldCharType="end"/>
        </w:r>
      </w:hyperlink>
    </w:p>
    <w:p w14:paraId="252A9240" w14:textId="77777777" w:rsidR="00352A4D" w:rsidRDefault="008B5E15">
      <w:pPr>
        <w:pStyle w:val="Tabladeilustraciones"/>
        <w:tabs>
          <w:tab w:val="right" w:leader="dot" w:pos="9394"/>
        </w:tabs>
        <w:rPr>
          <w:rFonts w:eastAsiaTheme="minorEastAsia"/>
          <w:noProof/>
          <w:lang w:val="es-ES" w:eastAsia="es-ES"/>
        </w:rPr>
      </w:pPr>
      <w:hyperlink w:anchor="_Toc525652565" w:history="1">
        <w:r w:rsidR="00352A4D" w:rsidRPr="0034296F">
          <w:rPr>
            <w:rStyle w:val="Hipervnculo"/>
            <w:noProof/>
          </w:rPr>
          <w:t>Tabla 120 Distribución Presupuesto de Inversión - vigencia 2018 CREG</w:t>
        </w:r>
        <w:r w:rsidR="00352A4D">
          <w:rPr>
            <w:noProof/>
            <w:webHidden/>
          </w:rPr>
          <w:tab/>
        </w:r>
        <w:r w:rsidR="00352A4D">
          <w:rPr>
            <w:noProof/>
            <w:webHidden/>
          </w:rPr>
          <w:fldChar w:fldCharType="begin"/>
        </w:r>
        <w:r w:rsidR="00352A4D">
          <w:rPr>
            <w:noProof/>
            <w:webHidden/>
          </w:rPr>
          <w:instrText xml:space="preserve"> PAGEREF _Toc525652565 \h </w:instrText>
        </w:r>
        <w:r w:rsidR="00352A4D">
          <w:rPr>
            <w:noProof/>
            <w:webHidden/>
          </w:rPr>
        </w:r>
        <w:r w:rsidR="00352A4D">
          <w:rPr>
            <w:noProof/>
            <w:webHidden/>
          </w:rPr>
          <w:fldChar w:fldCharType="separate"/>
        </w:r>
        <w:r w:rsidR="00352A4D">
          <w:rPr>
            <w:noProof/>
            <w:webHidden/>
          </w:rPr>
          <w:t>154</w:t>
        </w:r>
        <w:r w:rsidR="00352A4D">
          <w:rPr>
            <w:noProof/>
            <w:webHidden/>
          </w:rPr>
          <w:fldChar w:fldCharType="end"/>
        </w:r>
      </w:hyperlink>
    </w:p>
    <w:p w14:paraId="6D3968E1" w14:textId="77777777" w:rsidR="00352A4D" w:rsidRDefault="008B5E15">
      <w:pPr>
        <w:pStyle w:val="Tabladeilustraciones"/>
        <w:tabs>
          <w:tab w:val="right" w:leader="dot" w:pos="9394"/>
        </w:tabs>
        <w:rPr>
          <w:rFonts w:eastAsiaTheme="minorEastAsia"/>
          <w:noProof/>
          <w:lang w:val="es-ES" w:eastAsia="es-ES"/>
        </w:rPr>
      </w:pPr>
      <w:hyperlink w:anchor="_Toc525652566" w:history="1">
        <w:r w:rsidR="00352A4D" w:rsidRPr="0034296F">
          <w:rPr>
            <w:rStyle w:val="Hipervnculo"/>
            <w:noProof/>
          </w:rPr>
          <w:t>Tabla 121 Comportamiento de la Ejecución Presupuestal, Gastos de Funcionamiento 2018 CREG</w:t>
        </w:r>
        <w:r w:rsidR="00352A4D">
          <w:rPr>
            <w:noProof/>
            <w:webHidden/>
          </w:rPr>
          <w:tab/>
        </w:r>
        <w:r w:rsidR="00352A4D">
          <w:rPr>
            <w:noProof/>
            <w:webHidden/>
          </w:rPr>
          <w:fldChar w:fldCharType="begin"/>
        </w:r>
        <w:r w:rsidR="00352A4D">
          <w:rPr>
            <w:noProof/>
            <w:webHidden/>
          </w:rPr>
          <w:instrText xml:space="preserve"> PAGEREF _Toc525652566 \h </w:instrText>
        </w:r>
        <w:r w:rsidR="00352A4D">
          <w:rPr>
            <w:noProof/>
            <w:webHidden/>
          </w:rPr>
        </w:r>
        <w:r w:rsidR="00352A4D">
          <w:rPr>
            <w:noProof/>
            <w:webHidden/>
          </w:rPr>
          <w:fldChar w:fldCharType="separate"/>
        </w:r>
        <w:r w:rsidR="00352A4D">
          <w:rPr>
            <w:noProof/>
            <w:webHidden/>
          </w:rPr>
          <w:t>158</w:t>
        </w:r>
        <w:r w:rsidR="00352A4D">
          <w:rPr>
            <w:noProof/>
            <w:webHidden/>
          </w:rPr>
          <w:fldChar w:fldCharType="end"/>
        </w:r>
      </w:hyperlink>
    </w:p>
    <w:p w14:paraId="4E797274" w14:textId="77777777" w:rsidR="00352A4D" w:rsidRDefault="008B5E15">
      <w:pPr>
        <w:pStyle w:val="Tabladeilustraciones"/>
        <w:tabs>
          <w:tab w:val="right" w:leader="dot" w:pos="9394"/>
        </w:tabs>
        <w:rPr>
          <w:rFonts w:eastAsiaTheme="minorEastAsia"/>
          <w:noProof/>
          <w:lang w:val="es-ES" w:eastAsia="es-ES"/>
        </w:rPr>
      </w:pPr>
      <w:hyperlink w:anchor="_Toc525652567" w:history="1">
        <w:r w:rsidR="00352A4D" w:rsidRPr="0034296F">
          <w:rPr>
            <w:rStyle w:val="Hipervnculo"/>
            <w:noProof/>
          </w:rPr>
          <w:t>Tabla 122 Comportamiento de la Ejecución Presupuestal, Gastos de Inversión a 30 de junio de 2018 CREG</w:t>
        </w:r>
        <w:r w:rsidR="00352A4D">
          <w:rPr>
            <w:noProof/>
            <w:webHidden/>
          </w:rPr>
          <w:tab/>
        </w:r>
        <w:r w:rsidR="00352A4D">
          <w:rPr>
            <w:noProof/>
            <w:webHidden/>
          </w:rPr>
          <w:fldChar w:fldCharType="begin"/>
        </w:r>
        <w:r w:rsidR="00352A4D">
          <w:rPr>
            <w:noProof/>
            <w:webHidden/>
          </w:rPr>
          <w:instrText xml:space="preserve"> PAGEREF _Toc525652567 \h </w:instrText>
        </w:r>
        <w:r w:rsidR="00352A4D">
          <w:rPr>
            <w:noProof/>
            <w:webHidden/>
          </w:rPr>
        </w:r>
        <w:r w:rsidR="00352A4D">
          <w:rPr>
            <w:noProof/>
            <w:webHidden/>
          </w:rPr>
          <w:fldChar w:fldCharType="separate"/>
        </w:r>
        <w:r w:rsidR="00352A4D">
          <w:rPr>
            <w:noProof/>
            <w:webHidden/>
          </w:rPr>
          <w:t>160</w:t>
        </w:r>
        <w:r w:rsidR="00352A4D">
          <w:rPr>
            <w:noProof/>
            <w:webHidden/>
          </w:rPr>
          <w:fldChar w:fldCharType="end"/>
        </w:r>
      </w:hyperlink>
    </w:p>
    <w:p w14:paraId="2428A994" w14:textId="77777777" w:rsidR="00352A4D" w:rsidRDefault="008B5E15">
      <w:pPr>
        <w:pStyle w:val="Tabladeilustraciones"/>
        <w:tabs>
          <w:tab w:val="right" w:leader="dot" w:pos="9394"/>
        </w:tabs>
        <w:rPr>
          <w:rFonts w:eastAsiaTheme="minorEastAsia"/>
          <w:noProof/>
          <w:lang w:val="es-ES" w:eastAsia="es-ES"/>
        </w:rPr>
      </w:pPr>
      <w:hyperlink w:anchor="_Toc525652568" w:history="1">
        <w:r w:rsidR="00352A4D" w:rsidRPr="0034296F">
          <w:rPr>
            <w:rStyle w:val="Hipervnculo"/>
            <w:noProof/>
          </w:rPr>
          <w:t>Tabla 123 Ejecución presupuestal cuentas por pagar 2018 CREG</w:t>
        </w:r>
        <w:r w:rsidR="00352A4D">
          <w:rPr>
            <w:noProof/>
            <w:webHidden/>
          </w:rPr>
          <w:tab/>
        </w:r>
        <w:r w:rsidR="00352A4D">
          <w:rPr>
            <w:noProof/>
            <w:webHidden/>
          </w:rPr>
          <w:fldChar w:fldCharType="begin"/>
        </w:r>
        <w:r w:rsidR="00352A4D">
          <w:rPr>
            <w:noProof/>
            <w:webHidden/>
          </w:rPr>
          <w:instrText xml:space="preserve"> PAGEREF _Toc525652568 \h </w:instrText>
        </w:r>
        <w:r w:rsidR="00352A4D">
          <w:rPr>
            <w:noProof/>
            <w:webHidden/>
          </w:rPr>
        </w:r>
        <w:r w:rsidR="00352A4D">
          <w:rPr>
            <w:noProof/>
            <w:webHidden/>
          </w:rPr>
          <w:fldChar w:fldCharType="separate"/>
        </w:r>
        <w:r w:rsidR="00352A4D">
          <w:rPr>
            <w:noProof/>
            <w:webHidden/>
          </w:rPr>
          <w:t>166</w:t>
        </w:r>
        <w:r w:rsidR="00352A4D">
          <w:rPr>
            <w:noProof/>
            <w:webHidden/>
          </w:rPr>
          <w:fldChar w:fldCharType="end"/>
        </w:r>
      </w:hyperlink>
    </w:p>
    <w:p w14:paraId="46FE59A6" w14:textId="77777777" w:rsidR="00352A4D" w:rsidRDefault="008B5E15">
      <w:pPr>
        <w:pStyle w:val="Tabladeilustraciones"/>
        <w:tabs>
          <w:tab w:val="right" w:leader="dot" w:pos="9394"/>
        </w:tabs>
        <w:rPr>
          <w:rFonts w:eastAsiaTheme="minorEastAsia"/>
          <w:noProof/>
          <w:lang w:val="es-ES" w:eastAsia="es-ES"/>
        </w:rPr>
      </w:pPr>
      <w:hyperlink w:anchor="_Toc525652569" w:history="1">
        <w:r w:rsidR="00352A4D" w:rsidRPr="0034296F">
          <w:rPr>
            <w:rStyle w:val="Hipervnculo"/>
            <w:noProof/>
          </w:rPr>
          <w:t>Tabla 124Presupuesto de Rentas y Recursos de Capital 2018 UPME</w:t>
        </w:r>
        <w:r w:rsidR="00352A4D">
          <w:rPr>
            <w:noProof/>
            <w:webHidden/>
          </w:rPr>
          <w:tab/>
        </w:r>
        <w:r w:rsidR="00352A4D">
          <w:rPr>
            <w:noProof/>
            <w:webHidden/>
          </w:rPr>
          <w:fldChar w:fldCharType="begin"/>
        </w:r>
        <w:r w:rsidR="00352A4D">
          <w:rPr>
            <w:noProof/>
            <w:webHidden/>
          </w:rPr>
          <w:instrText xml:space="preserve"> PAGEREF _Toc525652569 \h </w:instrText>
        </w:r>
        <w:r w:rsidR="00352A4D">
          <w:rPr>
            <w:noProof/>
            <w:webHidden/>
          </w:rPr>
        </w:r>
        <w:r w:rsidR="00352A4D">
          <w:rPr>
            <w:noProof/>
            <w:webHidden/>
          </w:rPr>
          <w:fldChar w:fldCharType="separate"/>
        </w:r>
        <w:r w:rsidR="00352A4D">
          <w:rPr>
            <w:noProof/>
            <w:webHidden/>
          </w:rPr>
          <w:t>167</w:t>
        </w:r>
        <w:r w:rsidR="00352A4D">
          <w:rPr>
            <w:noProof/>
            <w:webHidden/>
          </w:rPr>
          <w:fldChar w:fldCharType="end"/>
        </w:r>
      </w:hyperlink>
    </w:p>
    <w:p w14:paraId="26C208B4" w14:textId="77777777" w:rsidR="00352A4D" w:rsidRDefault="008B5E15">
      <w:pPr>
        <w:pStyle w:val="Tabladeilustraciones"/>
        <w:tabs>
          <w:tab w:val="right" w:leader="dot" w:pos="9394"/>
        </w:tabs>
        <w:rPr>
          <w:rFonts w:eastAsiaTheme="minorEastAsia"/>
          <w:noProof/>
          <w:lang w:val="es-ES" w:eastAsia="es-ES"/>
        </w:rPr>
      </w:pPr>
      <w:hyperlink w:anchor="_Toc525652570" w:history="1">
        <w:r w:rsidR="00352A4D" w:rsidRPr="0034296F">
          <w:rPr>
            <w:rStyle w:val="Hipervnculo"/>
            <w:noProof/>
          </w:rPr>
          <w:t>Tabla 125 Vigencia Fiscal 2018 UPME</w:t>
        </w:r>
        <w:r w:rsidR="00352A4D">
          <w:rPr>
            <w:noProof/>
            <w:webHidden/>
          </w:rPr>
          <w:tab/>
        </w:r>
        <w:r w:rsidR="00352A4D">
          <w:rPr>
            <w:noProof/>
            <w:webHidden/>
          </w:rPr>
          <w:fldChar w:fldCharType="begin"/>
        </w:r>
        <w:r w:rsidR="00352A4D">
          <w:rPr>
            <w:noProof/>
            <w:webHidden/>
          </w:rPr>
          <w:instrText xml:space="preserve"> PAGEREF _Toc525652570 \h </w:instrText>
        </w:r>
        <w:r w:rsidR="00352A4D">
          <w:rPr>
            <w:noProof/>
            <w:webHidden/>
          </w:rPr>
        </w:r>
        <w:r w:rsidR="00352A4D">
          <w:rPr>
            <w:noProof/>
            <w:webHidden/>
          </w:rPr>
          <w:fldChar w:fldCharType="separate"/>
        </w:r>
        <w:r w:rsidR="00352A4D">
          <w:rPr>
            <w:noProof/>
            <w:webHidden/>
          </w:rPr>
          <w:t>168</w:t>
        </w:r>
        <w:r w:rsidR="00352A4D">
          <w:rPr>
            <w:noProof/>
            <w:webHidden/>
          </w:rPr>
          <w:fldChar w:fldCharType="end"/>
        </w:r>
      </w:hyperlink>
    </w:p>
    <w:p w14:paraId="7CD49B3B" w14:textId="77777777" w:rsidR="00352A4D" w:rsidRDefault="008B5E15">
      <w:pPr>
        <w:pStyle w:val="Tabladeilustraciones"/>
        <w:tabs>
          <w:tab w:val="right" w:leader="dot" w:pos="9394"/>
        </w:tabs>
        <w:rPr>
          <w:rFonts w:eastAsiaTheme="minorEastAsia"/>
          <w:noProof/>
          <w:lang w:val="es-ES" w:eastAsia="es-ES"/>
        </w:rPr>
      </w:pPr>
      <w:hyperlink w:anchor="_Toc525652571" w:history="1">
        <w:r w:rsidR="00352A4D" w:rsidRPr="0034296F">
          <w:rPr>
            <w:rStyle w:val="Hipervnculo"/>
            <w:noProof/>
          </w:rPr>
          <w:t>Tabla 126 Distribución Presupuesto Funcionamiento - vigencia 2018 UPME</w:t>
        </w:r>
        <w:r w:rsidR="00352A4D">
          <w:rPr>
            <w:noProof/>
            <w:webHidden/>
          </w:rPr>
          <w:tab/>
        </w:r>
        <w:r w:rsidR="00352A4D">
          <w:rPr>
            <w:noProof/>
            <w:webHidden/>
          </w:rPr>
          <w:fldChar w:fldCharType="begin"/>
        </w:r>
        <w:r w:rsidR="00352A4D">
          <w:rPr>
            <w:noProof/>
            <w:webHidden/>
          </w:rPr>
          <w:instrText xml:space="preserve"> PAGEREF _Toc525652571 \h </w:instrText>
        </w:r>
        <w:r w:rsidR="00352A4D">
          <w:rPr>
            <w:noProof/>
            <w:webHidden/>
          </w:rPr>
        </w:r>
        <w:r w:rsidR="00352A4D">
          <w:rPr>
            <w:noProof/>
            <w:webHidden/>
          </w:rPr>
          <w:fldChar w:fldCharType="separate"/>
        </w:r>
        <w:r w:rsidR="00352A4D">
          <w:rPr>
            <w:noProof/>
            <w:webHidden/>
          </w:rPr>
          <w:t>168</w:t>
        </w:r>
        <w:r w:rsidR="00352A4D">
          <w:rPr>
            <w:noProof/>
            <w:webHidden/>
          </w:rPr>
          <w:fldChar w:fldCharType="end"/>
        </w:r>
      </w:hyperlink>
    </w:p>
    <w:p w14:paraId="03542F55" w14:textId="77777777" w:rsidR="00352A4D" w:rsidRDefault="008B5E15">
      <w:pPr>
        <w:pStyle w:val="Tabladeilustraciones"/>
        <w:tabs>
          <w:tab w:val="right" w:leader="dot" w:pos="9394"/>
        </w:tabs>
        <w:rPr>
          <w:rFonts w:eastAsiaTheme="minorEastAsia"/>
          <w:noProof/>
          <w:lang w:val="es-ES" w:eastAsia="es-ES"/>
        </w:rPr>
      </w:pPr>
      <w:hyperlink w:anchor="_Toc525652572" w:history="1">
        <w:r w:rsidR="00352A4D" w:rsidRPr="0034296F">
          <w:rPr>
            <w:rStyle w:val="Hipervnculo"/>
            <w:noProof/>
          </w:rPr>
          <w:t>Tabla 127 Distribución Presupuesto de Inversión - vigencia 2018 UPME</w:t>
        </w:r>
        <w:r w:rsidR="00352A4D">
          <w:rPr>
            <w:noProof/>
            <w:webHidden/>
          </w:rPr>
          <w:tab/>
        </w:r>
        <w:r w:rsidR="00352A4D">
          <w:rPr>
            <w:noProof/>
            <w:webHidden/>
          </w:rPr>
          <w:fldChar w:fldCharType="begin"/>
        </w:r>
        <w:r w:rsidR="00352A4D">
          <w:rPr>
            <w:noProof/>
            <w:webHidden/>
          </w:rPr>
          <w:instrText xml:space="preserve"> PAGEREF _Toc525652572 \h </w:instrText>
        </w:r>
        <w:r w:rsidR="00352A4D">
          <w:rPr>
            <w:noProof/>
            <w:webHidden/>
          </w:rPr>
        </w:r>
        <w:r w:rsidR="00352A4D">
          <w:rPr>
            <w:noProof/>
            <w:webHidden/>
          </w:rPr>
          <w:fldChar w:fldCharType="separate"/>
        </w:r>
        <w:r w:rsidR="00352A4D">
          <w:rPr>
            <w:noProof/>
            <w:webHidden/>
          </w:rPr>
          <w:t>169</w:t>
        </w:r>
        <w:r w:rsidR="00352A4D">
          <w:rPr>
            <w:noProof/>
            <w:webHidden/>
          </w:rPr>
          <w:fldChar w:fldCharType="end"/>
        </w:r>
      </w:hyperlink>
    </w:p>
    <w:p w14:paraId="4FA87DF6" w14:textId="77777777" w:rsidR="00352A4D" w:rsidRDefault="008B5E15">
      <w:pPr>
        <w:pStyle w:val="Tabladeilustraciones"/>
        <w:tabs>
          <w:tab w:val="right" w:leader="dot" w:pos="9394"/>
        </w:tabs>
        <w:rPr>
          <w:rFonts w:eastAsiaTheme="minorEastAsia"/>
          <w:noProof/>
          <w:lang w:val="es-ES" w:eastAsia="es-ES"/>
        </w:rPr>
      </w:pPr>
      <w:hyperlink w:anchor="_Toc525652573" w:history="1">
        <w:r w:rsidR="00352A4D" w:rsidRPr="0034296F">
          <w:rPr>
            <w:rStyle w:val="Hipervnculo"/>
            <w:noProof/>
          </w:rPr>
          <w:t>Tabla 128 APORTES ENTIDADES 2018 UPME</w:t>
        </w:r>
        <w:r w:rsidR="00352A4D">
          <w:rPr>
            <w:noProof/>
            <w:webHidden/>
          </w:rPr>
          <w:tab/>
        </w:r>
        <w:r w:rsidR="00352A4D">
          <w:rPr>
            <w:noProof/>
            <w:webHidden/>
          </w:rPr>
          <w:fldChar w:fldCharType="begin"/>
        </w:r>
        <w:r w:rsidR="00352A4D">
          <w:rPr>
            <w:noProof/>
            <w:webHidden/>
          </w:rPr>
          <w:instrText xml:space="preserve"> PAGEREF _Toc525652573 \h </w:instrText>
        </w:r>
        <w:r w:rsidR="00352A4D">
          <w:rPr>
            <w:noProof/>
            <w:webHidden/>
          </w:rPr>
        </w:r>
        <w:r w:rsidR="00352A4D">
          <w:rPr>
            <w:noProof/>
            <w:webHidden/>
          </w:rPr>
          <w:fldChar w:fldCharType="separate"/>
        </w:r>
        <w:r w:rsidR="00352A4D">
          <w:rPr>
            <w:noProof/>
            <w:webHidden/>
          </w:rPr>
          <w:t>170</w:t>
        </w:r>
        <w:r w:rsidR="00352A4D">
          <w:rPr>
            <w:noProof/>
            <w:webHidden/>
          </w:rPr>
          <w:fldChar w:fldCharType="end"/>
        </w:r>
      </w:hyperlink>
    </w:p>
    <w:p w14:paraId="0DF5150C" w14:textId="77777777" w:rsidR="00352A4D" w:rsidRDefault="008B5E15">
      <w:pPr>
        <w:pStyle w:val="Tabladeilustraciones"/>
        <w:tabs>
          <w:tab w:val="right" w:leader="dot" w:pos="9394"/>
        </w:tabs>
        <w:rPr>
          <w:rFonts w:eastAsiaTheme="minorEastAsia"/>
          <w:noProof/>
          <w:lang w:val="es-ES" w:eastAsia="es-ES"/>
        </w:rPr>
      </w:pPr>
      <w:hyperlink w:anchor="_Toc525652574" w:history="1">
        <w:r w:rsidR="00352A4D" w:rsidRPr="0034296F">
          <w:rPr>
            <w:rStyle w:val="Hipervnculo"/>
            <w:noProof/>
          </w:rPr>
          <w:t>Tabla 129 EJECUCIÓN DE INGRESOS a 30 de junio  de 2018 UPME</w:t>
        </w:r>
        <w:r w:rsidR="00352A4D">
          <w:rPr>
            <w:noProof/>
            <w:webHidden/>
          </w:rPr>
          <w:tab/>
        </w:r>
        <w:r w:rsidR="00352A4D">
          <w:rPr>
            <w:noProof/>
            <w:webHidden/>
          </w:rPr>
          <w:fldChar w:fldCharType="begin"/>
        </w:r>
        <w:r w:rsidR="00352A4D">
          <w:rPr>
            <w:noProof/>
            <w:webHidden/>
          </w:rPr>
          <w:instrText xml:space="preserve"> PAGEREF _Toc525652574 \h </w:instrText>
        </w:r>
        <w:r w:rsidR="00352A4D">
          <w:rPr>
            <w:noProof/>
            <w:webHidden/>
          </w:rPr>
        </w:r>
        <w:r w:rsidR="00352A4D">
          <w:rPr>
            <w:noProof/>
            <w:webHidden/>
          </w:rPr>
          <w:fldChar w:fldCharType="separate"/>
        </w:r>
        <w:r w:rsidR="00352A4D">
          <w:rPr>
            <w:noProof/>
            <w:webHidden/>
          </w:rPr>
          <w:t>170</w:t>
        </w:r>
        <w:r w:rsidR="00352A4D">
          <w:rPr>
            <w:noProof/>
            <w:webHidden/>
          </w:rPr>
          <w:fldChar w:fldCharType="end"/>
        </w:r>
      </w:hyperlink>
    </w:p>
    <w:p w14:paraId="0E352D34" w14:textId="77777777" w:rsidR="00352A4D" w:rsidRDefault="008B5E15">
      <w:pPr>
        <w:pStyle w:val="Tabladeilustraciones"/>
        <w:tabs>
          <w:tab w:val="right" w:leader="dot" w:pos="9394"/>
        </w:tabs>
        <w:rPr>
          <w:rFonts w:eastAsiaTheme="minorEastAsia"/>
          <w:noProof/>
          <w:lang w:val="es-ES" w:eastAsia="es-ES"/>
        </w:rPr>
      </w:pPr>
      <w:hyperlink w:anchor="_Toc525652575" w:history="1">
        <w:r w:rsidR="00352A4D" w:rsidRPr="0034296F">
          <w:rPr>
            <w:rStyle w:val="Hipervnculo"/>
            <w:noProof/>
          </w:rPr>
          <w:t>Tabla 130 pagos y gastos de funcionamiento efectuados con corte a 30 de junio de 201 UPME</w:t>
        </w:r>
        <w:r w:rsidR="00352A4D">
          <w:rPr>
            <w:noProof/>
            <w:webHidden/>
          </w:rPr>
          <w:tab/>
        </w:r>
        <w:r w:rsidR="00352A4D">
          <w:rPr>
            <w:noProof/>
            <w:webHidden/>
          </w:rPr>
          <w:fldChar w:fldCharType="begin"/>
        </w:r>
        <w:r w:rsidR="00352A4D">
          <w:rPr>
            <w:noProof/>
            <w:webHidden/>
          </w:rPr>
          <w:instrText xml:space="preserve"> PAGEREF _Toc525652575 \h </w:instrText>
        </w:r>
        <w:r w:rsidR="00352A4D">
          <w:rPr>
            <w:noProof/>
            <w:webHidden/>
          </w:rPr>
        </w:r>
        <w:r w:rsidR="00352A4D">
          <w:rPr>
            <w:noProof/>
            <w:webHidden/>
          </w:rPr>
          <w:fldChar w:fldCharType="separate"/>
        </w:r>
        <w:r w:rsidR="00352A4D">
          <w:rPr>
            <w:noProof/>
            <w:webHidden/>
          </w:rPr>
          <w:t>173</w:t>
        </w:r>
        <w:r w:rsidR="00352A4D">
          <w:rPr>
            <w:noProof/>
            <w:webHidden/>
          </w:rPr>
          <w:fldChar w:fldCharType="end"/>
        </w:r>
      </w:hyperlink>
    </w:p>
    <w:p w14:paraId="2913CE14" w14:textId="77777777" w:rsidR="00352A4D" w:rsidRDefault="008B5E15">
      <w:pPr>
        <w:pStyle w:val="Tabladeilustraciones"/>
        <w:tabs>
          <w:tab w:val="right" w:leader="dot" w:pos="9394"/>
        </w:tabs>
        <w:rPr>
          <w:rFonts w:eastAsiaTheme="minorEastAsia"/>
          <w:noProof/>
          <w:lang w:val="es-ES" w:eastAsia="es-ES"/>
        </w:rPr>
      </w:pPr>
      <w:hyperlink w:anchor="_Toc525652576" w:history="1">
        <w:r w:rsidR="00352A4D" w:rsidRPr="0034296F">
          <w:rPr>
            <w:rStyle w:val="Hipervnculo"/>
            <w:noProof/>
          </w:rPr>
          <w:t>Tabla 131 ejecución presupuestal total, con corte a 30 de junio  de 2018 UPME</w:t>
        </w:r>
        <w:r w:rsidR="00352A4D">
          <w:rPr>
            <w:noProof/>
            <w:webHidden/>
          </w:rPr>
          <w:tab/>
        </w:r>
        <w:r w:rsidR="00352A4D">
          <w:rPr>
            <w:noProof/>
            <w:webHidden/>
          </w:rPr>
          <w:fldChar w:fldCharType="begin"/>
        </w:r>
        <w:r w:rsidR="00352A4D">
          <w:rPr>
            <w:noProof/>
            <w:webHidden/>
          </w:rPr>
          <w:instrText xml:space="preserve"> PAGEREF _Toc525652576 \h </w:instrText>
        </w:r>
        <w:r w:rsidR="00352A4D">
          <w:rPr>
            <w:noProof/>
            <w:webHidden/>
          </w:rPr>
        </w:r>
        <w:r w:rsidR="00352A4D">
          <w:rPr>
            <w:noProof/>
            <w:webHidden/>
          </w:rPr>
          <w:fldChar w:fldCharType="separate"/>
        </w:r>
        <w:r w:rsidR="00352A4D">
          <w:rPr>
            <w:noProof/>
            <w:webHidden/>
          </w:rPr>
          <w:t>177</w:t>
        </w:r>
        <w:r w:rsidR="00352A4D">
          <w:rPr>
            <w:noProof/>
            <w:webHidden/>
          </w:rPr>
          <w:fldChar w:fldCharType="end"/>
        </w:r>
      </w:hyperlink>
    </w:p>
    <w:p w14:paraId="77D592DB" w14:textId="77777777" w:rsidR="00352A4D" w:rsidRDefault="008B5E15">
      <w:pPr>
        <w:pStyle w:val="Tabladeilustraciones"/>
        <w:tabs>
          <w:tab w:val="right" w:leader="dot" w:pos="9394"/>
        </w:tabs>
        <w:rPr>
          <w:rFonts w:eastAsiaTheme="minorEastAsia"/>
          <w:noProof/>
          <w:lang w:val="es-ES" w:eastAsia="es-ES"/>
        </w:rPr>
      </w:pPr>
      <w:hyperlink r:id="rId92" w:anchor="_Toc525652577" w:history="1">
        <w:r w:rsidR="00352A4D" w:rsidRPr="0034296F">
          <w:rPr>
            <w:rStyle w:val="Hipervnculo"/>
            <w:noProof/>
          </w:rPr>
          <w:t>Tabla 132 Resumen Ejecutivo Sector Minas y Energía SPI</w:t>
        </w:r>
        <w:r w:rsidR="00352A4D">
          <w:rPr>
            <w:noProof/>
            <w:webHidden/>
          </w:rPr>
          <w:tab/>
        </w:r>
        <w:r w:rsidR="00352A4D">
          <w:rPr>
            <w:noProof/>
            <w:webHidden/>
          </w:rPr>
          <w:fldChar w:fldCharType="begin"/>
        </w:r>
        <w:r w:rsidR="00352A4D">
          <w:rPr>
            <w:noProof/>
            <w:webHidden/>
          </w:rPr>
          <w:instrText xml:space="preserve"> PAGEREF _Toc525652577 \h </w:instrText>
        </w:r>
        <w:r w:rsidR="00352A4D">
          <w:rPr>
            <w:noProof/>
            <w:webHidden/>
          </w:rPr>
        </w:r>
        <w:r w:rsidR="00352A4D">
          <w:rPr>
            <w:noProof/>
            <w:webHidden/>
          </w:rPr>
          <w:fldChar w:fldCharType="separate"/>
        </w:r>
        <w:r w:rsidR="00352A4D">
          <w:rPr>
            <w:noProof/>
            <w:webHidden/>
          </w:rPr>
          <w:t>178</w:t>
        </w:r>
        <w:r w:rsidR="00352A4D">
          <w:rPr>
            <w:noProof/>
            <w:webHidden/>
          </w:rPr>
          <w:fldChar w:fldCharType="end"/>
        </w:r>
      </w:hyperlink>
    </w:p>
    <w:p w14:paraId="576FC13C" w14:textId="77777777" w:rsidR="00352A4D" w:rsidRDefault="008B5E15">
      <w:pPr>
        <w:pStyle w:val="Tabladeilustraciones"/>
        <w:tabs>
          <w:tab w:val="right" w:leader="dot" w:pos="9394"/>
        </w:tabs>
        <w:rPr>
          <w:rFonts w:eastAsiaTheme="minorEastAsia"/>
          <w:noProof/>
          <w:lang w:val="es-ES" w:eastAsia="es-ES"/>
        </w:rPr>
      </w:pPr>
      <w:hyperlink r:id="rId93" w:anchor="_Toc525652578" w:history="1">
        <w:r w:rsidR="00352A4D" w:rsidRPr="0034296F">
          <w:rPr>
            <w:rStyle w:val="Hipervnculo"/>
            <w:noProof/>
          </w:rPr>
          <w:t>Tabla 133 Informe de SPI del Ministerio de Minas y Energía a junio de 2018</w:t>
        </w:r>
        <w:r w:rsidR="00352A4D">
          <w:rPr>
            <w:noProof/>
            <w:webHidden/>
          </w:rPr>
          <w:tab/>
        </w:r>
        <w:r w:rsidR="00352A4D">
          <w:rPr>
            <w:noProof/>
            <w:webHidden/>
          </w:rPr>
          <w:fldChar w:fldCharType="begin"/>
        </w:r>
        <w:r w:rsidR="00352A4D">
          <w:rPr>
            <w:noProof/>
            <w:webHidden/>
          </w:rPr>
          <w:instrText xml:space="preserve"> PAGEREF _Toc525652578 \h </w:instrText>
        </w:r>
        <w:r w:rsidR="00352A4D">
          <w:rPr>
            <w:noProof/>
            <w:webHidden/>
          </w:rPr>
        </w:r>
        <w:r w:rsidR="00352A4D">
          <w:rPr>
            <w:noProof/>
            <w:webHidden/>
          </w:rPr>
          <w:fldChar w:fldCharType="separate"/>
        </w:r>
        <w:r w:rsidR="00352A4D">
          <w:rPr>
            <w:noProof/>
            <w:webHidden/>
          </w:rPr>
          <w:t>179</w:t>
        </w:r>
        <w:r w:rsidR="00352A4D">
          <w:rPr>
            <w:noProof/>
            <w:webHidden/>
          </w:rPr>
          <w:fldChar w:fldCharType="end"/>
        </w:r>
      </w:hyperlink>
    </w:p>
    <w:p w14:paraId="7555075D" w14:textId="77777777" w:rsidR="00352A4D" w:rsidRDefault="008B5E15">
      <w:pPr>
        <w:pStyle w:val="Tabladeilustraciones"/>
        <w:tabs>
          <w:tab w:val="right" w:leader="dot" w:pos="9394"/>
        </w:tabs>
        <w:rPr>
          <w:rFonts w:eastAsiaTheme="minorEastAsia"/>
          <w:noProof/>
          <w:lang w:val="es-ES" w:eastAsia="es-ES"/>
        </w:rPr>
      </w:pPr>
      <w:hyperlink w:anchor="_Toc525652579" w:history="1">
        <w:r w:rsidR="00352A4D" w:rsidRPr="0034296F">
          <w:rPr>
            <w:rStyle w:val="Hipervnculo"/>
            <w:noProof/>
          </w:rPr>
          <w:t>Tabla 134 Proyectos Ministerio de Minas y Energía a junio  de 2018 SPI</w:t>
        </w:r>
        <w:r w:rsidR="00352A4D">
          <w:rPr>
            <w:noProof/>
            <w:webHidden/>
          </w:rPr>
          <w:tab/>
        </w:r>
        <w:r w:rsidR="00352A4D">
          <w:rPr>
            <w:noProof/>
            <w:webHidden/>
          </w:rPr>
          <w:fldChar w:fldCharType="begin"/>
        </w:r>
        <w:r w:rsidR="00352A4D">
          <w:rPr>
            <w:noProof/>
            <w:webHidden/>
          </w:rPr>
          <w:instrText xml:space="preserve"> PAGEREF _Toc525652579 \h </w:instrText>
        </w:r>
        <w:r w:rsidR="00352A4D">
          <w:rPr>
            <w:noProof/>
            <w:webHidden/>
          </w:rPr>
        </w:r>
        <w:r w:rsidR="00352A4D">
          <w:rPr>
            <w:noProof/>
            <w:webHidden/>
          </w:rPr>
          <w:fldChar w:fldCharType="separate"/>
        </w:r>
        <w:r w:rsidR="00352A4D">
          <w:rPr>
            <w:noProof/>
            <w:webHidden/>
          </w:rPr>
          <w:t>180</w:t>
        </w:r>
        <w:r w:rsidR="00352A4D">
          <w:rPr>
            <w:noProof/>
            <w:webHidden/>
          </w:rPr>
          <w:fldChar w:fldCharType="end"/>
        </w:r>
      </w:hyperlink>
    </w:p>
    <w:p w14:paraId="5A08828E" w14:textId="77777777" w:rsidR="00352A4D" w:rsidRDefault="008B5E15">
      <w:pPr>
        <w:pStyle w:val="Tabladeilustraciones"/>
        <w:tabs>
          <w:tab w:val="right" w:leader="dot" w:pos="9394"/>
        </w:tabs>
        <w:rPr>
          <w:rFonts w:eastAsiaTheme="minorEastAsia"/>
          <w:noProof/>
          <w:lang w:val="es-ES" w:eastAsia="es-ES"/>
        </w:rPr>
      </w:pPr>
      <w:hyperlink r:id="rId94" w:anchor="_Toc525652580" w:history="1">
        <w:r w:rsidR="00352A4D" w:rsidRPr="0034296F">
          <w:rPr>
            <w:rStyle w:val="Hipervnculo"/>
            <w:noProof/>
          </w:rPr>
          <w:t>Tabla 135 Informe de SPI de la ANH a junio de 2018. SPI</w:t>
        </w:r>
        <w:r w:rsidR="00352A4D">
          <w:rPr>
            <w:noProof/>
            <w:webHidden/>
          </w:rPr>
          <w:tab/>
        </w:r>
        <w:r w:rsidR="00352A4D">
          <w:rPr>
            <w:noProof/>
            <w:webHidden/>
          </w:rPr>
          <w:fldChar w:fldCharType="begin"/>
        </w:r>
        <w:r w:rsidR="00352A4D">
          <w:rPr>
            <w:noProof/>
            <w:webHidden/>
          </w:rPr>
          <w:instrText xml:space="preserve"> PAGEREF _Toc525652580 \h </w:instrText>
        </w:r>
        <w:r w:rsidR="00352A4D">
          <w:rPr>
            <w:noProof/>
            <w:webHidden/>
          </w:rPr>
        </w:r>
        <w:r w:rsidR="00352A4D">
          <w:rPr>
            <w:noProof/>
            <w:webHidden/>
          </w:rPr>
          <w:fldChar w:fldCharType="separate"/>
        </w:r>
        <w:r w:rsidR="00352A4D">
          <w:rPr>
            <w:noProof/>
            <w:webHidden/>
          </w:rPr>
          <w:t>184</w:t>
        </w:r>
        <w:r w:rsidR="00352A4D">
          <w:rPr>
            <w:noProof/>
            <w:webHidden/>
          </w:rPr>
          <w:fldChar w:fldCharType="end"/>
        </w:r>
      </w:hyperlink>
    </w:p>
    <w:p w14:paraId="13856086" w14:textId="77777777" w:rsidR="00352A4D" w:rsidRDefault="008B5E15">
      <w:pPr>
        <w:pStyle w:val="Tabladeilustraciones"/>
        <w:tabs>
          <w:tab w:val="right" w:leader="dot" w:pos="9394"/>
        </w:tabs>
        <w:rPr>
          <w:rFonts w:eastAsiaTheme="minorEastAsia"/>
          <w:noProof/>
          <w:lang w:val="es-ES" w:eastAsia="es-ES"/>
        </w:rPr>
      </w:pPr>
      <w:hyperlink w:anchor="_Toc525652581" w:history="1">
        <w:r w:rsidR="00352A4D" w:rsidRPr="0034296F">
          <w:rPr>
            <w:rStyle w:val="Hipervnculo"/>
            <w:noProof/>
          </w:rPr>
          <w:t>Tabla 136 Proyectos Informe de SPI de la ANH a junio de 2018.</w:t>
        </w:r>
        <w:r w:rsidR="00352A4D">
          <w:rPr>
            <w:noProof/>
            <w:webHidden/>
          </w:rPr>
          <w:tab/>
        </w:r>
        <w:r w:rsidR="00352A4D">
          <w:rPr>
            <w:noProof/>
            <w:webHidden/>
          </w:rPr>
          <w:fldChar w:fldCharType="begin"/>
        </w:r>
        <w:r w:rsidR="00352A4D">
          <w:rPr>
            <w:noProof/>
            <w:webHidden/>
          </w:rPr>
          <w:instrText xml:space="preserve"> PAGEREF _Toc525652581 \h </w:instrText>
        </w:r>
        <w:r w:rsidR="00352A4D">
          <w:rPr>
            <w:noProof/>
            <w:webHidden/>
          </w:rPr>
        </w:r>
        <w:r w:rsidR="00352A4D">
          <w:rPr>
            <w:noProof/>
            <w:webHidden/>
          </w:rPr>
          <w:fldChar w:fldCharType="separate"/>
        </w:r>
        <w:r w:rsidR="00352A4D">
          <w:rPr>
            <w:noProof/>
            <w:webHidden/>
          </w:rPr>
          <w:t>185</w:t>
        </w:r>
        <w:r w:rsidR="00352A4D">
          <w:rPr>
            <w:noProof/>
            <w:webHidden/>
          </w:rPr>
          <w:fldChar w:fldCharType="end"/>
        </w:r>
      </w:hyperlink>
    </w:p>
    <w:p w14:paraId="7ED4AD79" w14:textId="77777777" w:rsidR="00352A4D" w:rsidRDefault="008B5E15">
      <w:pPr>
        <w:pStyle w:val="Tabladeilustraciones"/>
        <w:tabs>
          <w:tab w:val="right" w:leader="dot" w:pos="9394"/>
        </w:tabs>
        <w:rPr>
          <w:rFonts w:eastAsiaTheme="minorEastAsia"/>
          <w:noProof/>
          <w:lang w:val="es-ES" w:eastAsia="es-ES"/>
        </w:rPr>
      </w:pPr>
      <w:hyperlink r:id="rId95" w:anchor="_Toc525652582" w:history="1">
        <w:r w:rsidR="00352A4D" w:rsidRPr="0034296F">
          <w:rPr>
            <w:rStyle w:val="Hipervnculo"/>
            <w:noProof/>
          </w:rPr>
          <w:t>Tabla 137 Informe de SPI de  IPSE a Junio de  2018</w:t>
        </w:r>
        <w:r w:rsidR="00352A4D">
          <w:rPr>
            <w:noProof/>
            <w:webHidden/>
          </w:rPr>
          <w:tab/>
        </w:r>
        <w:r w:rsidR="00352A4D">
          <w:rPr>
            <w:noProof/>
            <w:webHidden/>
          </w:rPr>
          <w:fldChar w:fldCharType="begin"/>
        </w:r>
        <w:r w:rsidR="00352A4D">
          <w:rPr>
            <w:noProof/>
            <w:webHidden/>
          </w:rPr>
          <w:instrText xml:space="preserve"> PAGEREF _Toc525652582 \h </w:instrText>
        </w:r>
        <w:r w:rsidR="00352A4D">
          <w:rPr>
            <w:noProof/>
            <w:webHidden/>
          </w:rPr>
        </w:r>
        <w:r w:rsidR="00352A4D">
          <w:rPr>
            <w:noProof/>
            <w:webHidden/>
          </w:rPr>
          <w:fldChar w:fldCharType="separate"/>
        </w:r>
        <w:r w:rsidR="00352A4D">
          <w:rPr>
            <w:noProof/>
            <w:webHidden/>
          </w:rPr>
          <w:t>186</w:t>
        </w:r>
        <w:r w:rsidR="00352A4D">
          <w:rPr>
            <w:noProof/>
            <w:webHidden/>
          </w:rPr>
          <w:fldChar w:fldCharType="end"/>
        </w:r>
      </w:hyperlink>
    </w:p>
    <w:p w14:paraId="400FEF05" w14:textId="77777777" w:rsidR="00352A4D" w:rsidRDefault="008B5E15">
      <w:pPr>
        <w:pStyle w:val="Tabladeilustraciones"/>
        <w:tabs>
          <w:tab w:val="right" w:leader="dot" w:pos="9394"/>
        </w:tabs>
        <w:rPr>
          <w:rFonts w:eastAsiaTheme="minorEastAsia"/>
          <w:noProof/>
          <w:lang w:val="es-ES" w:eastAsia="es-ES"/>
        </w:rPr>
      </w:pPr>
      <w:hyperlink w:anchor="_Toc525652583" w:history="1">
        <w:r w:rsidR="00352A4D" w:rsidRPr="0034296F">
          <w:rPr>
            <w:rStyle w:val="Hipervnculo"/>
            <w:noProof/>
          </w:rPr>
          <w:t>Tabla 138Proyectos Informe de SPI de  IPSE a junio de  2018</w:t>
        </w:r>
        <w:r w:rsidR="00352A4D">
          <w:rPr>
            <w:noProof/>
            <w:webHidden/>
          </w:rPr>
          <w:tab/>
        </w:r>
        <w:r w:rsidR="00352A4D">
          <w:rPr>
            <w:noProof/>
            <w:webHidden/>
          </w:rPr>
          <w:fldChar w:fldCharType="begin"/>
        </w:r>
        <w:r w:rsidR="00352A4D">
          <w:rPr>
            <w:noProof/>
            <w:webHidden/>
          </w:rPr>
          <w:instrText xml:space="preserve"> PAGEREF _Toc525652583 \h </w:instrText>
        </w:r>
        <w:r w:rsidR="00352A4D">
          <w:rPr>
            <w:noProof/>
            <w:webHidden/>
          </w:rPr>
        </w:r>
        <w:r w:rsidR="00352A4D">
          <w:rPr>
            <w:noProof/>
            <w:webHidden/>
          </w:rPr>
          <w:fldChar w:fldCharType="separate"/>
        </w:r>
        <w:r w:rsidR="00352A4D">
          <w:rPr>
            <w:noProof/>
            <w:webHidden/>
          </w:rPr>
          <w:t>187</w:t>
        </w:r>
        <w:r w:rsidR="00352A4D">
          <w:rPr>
            <w:noProof/>
            <w:webHidden/>
          </w:rPr>
          <w:fldChar w:fldCharType="end"/>
        </w:r>
      </w:hyperlink>
    </w:p>
    <w:p w14:paraId="3E517A98" w14:textId="77777777" w:rsidR="00352A4D" w:rsidRDefault="008B5E15">
      <w:pPr>
        <w:pStyle w:val="Tabladeilustraciones"/>
        <w:tabs>
          <w:tab w:val="right" w:leader="dot" w:pos="9394"/>
        </w:tabs>
        <w:rPr>
          <w:rFonts w:eastAsiaTheme="minorEastAsia"/>
          <w:noProof/>
          <w:lang w:val="es-ES" w:eastAsia="es-ES"/>
        </w:rPr>
      </w:pPr>
      <w:hyperlink r:id="rId96" w:anchor="_Toc525652584" w:history="1">
        <w:r w:rsidR="00352A4D" w:rsidRPr="0034296F">
          <w:rPr>
            <w:rStyle w:val="Hipervnculo"/>
            <w:noProof/>
          </w:rPr>
          <w:t>Tabla 139Informe de SPI de la CREG  a junio  de 2018</w:t>
        </w:r>
        <w:r w:rsidR="00352A4D">
          <w:rPr>
            <w:noProof/>
            <w:webHidden/>
          </w:rPr>
          <w:tab/>
        </w:r>
        <w:r w:rsidR="00352A4D">
          <w:rPr>
            <w:noProof/>
            <w:webHidden/>
          </w:rPr>
          <w:fldChar w:fldCharType="begin"/>
        </w:r>
        <w:r w:rsidR="00352A4D">
          <w:rPr>
            <w:noProof/>
            <w:webHidden/>
          </w:rPr>
          <w:instrText xml:space="preserve"> PAGEREF _Toc525652584 \h </w:instrText>
        </w:r>
        <w:r w:rsidR="00352A4D">
          <w:rPr>
            <w:noProof/>
            <w:webHidden/>
          </w:rPr>
        </w:r>
        <w:r w:rsidR="00352A4D">
          <w:rPr>
            <w:noProof/>
            <w:webHidden/>
          </w:rPr>
          <w:fldChar w:fldCharType="separate"/>
        </w:r>
        <w:r w:rsidR="00352A4D">
          <w:rPr>
            <w:noProof/>
            <w:webHidden/>
          </w:rPr>
          <w:t>188</w:t>
        </w:r>
        <w:r w:rsidR="00352A4D">
          <w:rPr>
            <w:noProof/>
            <w:webHidden/>
          </w:rPr>
          <w:fldChar w:fldCharType="end"/>
        </w:r>
      </w:hyperlink>
    </w:p>
    <w:p w14:paraId="56D8E2A6" w14:textId="77777777" w:rsidR="00352A4D" w:rsidRDefault="008B5E15">
      <w:pPr>
        <w:pStyle w:val="Tabladeilustraciones"/>
        <w:tabs>
          <w:tab w:val="right" w:leader="dot" w:pos="9394"/>
        </w:tabs>
        <w:rPr>
          <w:rFonts w:eastAsiaTheme="minorEastAsia"/>
          <w:noProof/>
          <w:lang w:val="es-ES" w:eastAsia="es-ES"/>
        </w:rPr>
      </w:pPr>
      <w:hyperlink w:anchor="_Toc525652585" w:history="1">
        <w:r w:rsidR="00352A4D" w:rsidRPr="0034296F">
          <w:rPr>
            <w:rStyle w:val="Hipervnculo"/>
            <w:noProof/>
          </w:rPr>
          <w:t>Tabla 140Proyectos Informe de SPI de la CREG  a junio de 201</w:t>
        </w:r>
        <w:r w:rsidR="00352A4D">
          <w:rPr>
            <w:noProof/>
            <w:webHidden/>
          </w:rPr>
          <w:tab/>
        </w:r>
        <w:r w:rsidR="00352A4D">
          <w:rPr>
            <w:noProof/>
            <w:webHidden/>
          </w:rPr>
          <w:fldChar w:fldCharType="begin"/>
        </w:r>
        <w:r w:rsidR="00352A4D">
          <w:rPr>
            <w:noProof/>
            <w:webHidden/>
          </w:rPr>
          <w:instrText xml:space="preserve"> PAGEREF _Toc525652585 \h </w:instrText>
        </w:r>
        <w:r w:rsidR="00352A4D">
          <w:rPr>
            <w:noProof/>
            <w:webHidden/>
          </w:rPr>
        </w:r>
        <w:r w:rsidR="00352A4D">
          <w:rPr>
            <w:noProof/>
            <w:webHidden/>
          </w:rPr>
          <w:fldChar w:fldCharType="separate"/>
        </w:r>
        <w:r w:rsidR="00352A4D">
          <w:rPr>
            <w:noProof/>
            <w:webHidden/>
          </w:rPr>
          <w:t>189</w:t>
        </w:r>
        <w:r w:rsidR="00352A4D">
          <w:rPr>
            <w:noProof/>
            <w:webHidden/>
          </w:rPr>
          <w:fldChar w:fldCharType="end"/>
        </w:r>
      </w:hyperlink>
    </w:p>
    <w:p w14:paraId="597BD471" w14:textId="77777777" w:rsidR="00352A4D" w:rsidRDefault="008B5E15">
      <w:pPr>
        <w:pStyle w:val="Tabladeilustraciones"/>
        <w:tabs>
          <w:tab w:val="right" w:leader="dot" w:pos="9394"/>
        </w:tabs>
        <w:rPr>
          <w:rFonts w:eastAsiaTheme="minorEastAsia"/>
          <w:noProof/>
          <w:lang w:val="es-ES" w:eastAsia="es-ES"/>
        </w:rPr>
      </w:pPr>
      <w:hyperlink r:id="rId97" w:anchor="_Toc525652586" w:history="1">
        <w:r w:rsidR="00352A4D" w:rsidRPr="0034296F">
          <w:rPr>
            <w:rStyle w:val="Hipervnculo"/>
            <w:noProof/>
          </w:rPr>
          <w:t>Tabla 141Informe de SPI del SGC a junio  de 2018</w:t>
        </w:r>
        <w:r w:rsidR="00352A4D">
          <w:rPr>
            <w:noProof/>
            <w:webHidden/>
          </w:rPr>
          <w:tab/>
        </w:r>
        <w:r w:rsidR="00352A4D">
          <w:rPr>
            <w:noProof/>
            <w:webHidden/>
          </w:rPr>
          <w:fldChar w:fldCharType="begin"/>
        </w:r>
        <w:r w:rsidR="00352A4D">
          <w:rPr>
            <w:noProof/>
            <w:webHidden/>
          </w:rPr>
          <w:instrText xml:space="preserve"> PAGEREF _Toc525652586 \h </w:instrText>
        </w:r>
        <w:r w:rsidR="00352A4D">
          <w:rPr>
            <w:noProof/>
            <w:webHidden/>
          </w:rPr>
        </w:r>
        <w:r w:rsidR="00352A4D">
          <w:rPr>
            <w:noProof/>
            <w:webHidden/>
          </w:rPr>
          <w:fldChar w:fldCharType="separate"/>
        </w:r>
        <w:r w:rsidR="00352A4D">
          <w:rPr>
            <w:noProof/>
            <w:webHidden/>
          </w:rPr>
          <w:t>190</w:t>
        </w:r>
        <w:r w:rsidR="00352A4D">
          <w:rPr>
            <w:noProof/>
            <w:webHidden/>
          </w:rPr>
          <w:fldChar w:fldCharType="end"/>
        </w:r>
      </w:hyperlink>
    </w:p>
    <w:p w14:paraId="7E91E098" w14:textId="77777777" w:rsidR="00352A4D" w:rsidRDefault="008B5E15">
      <w:pPr>
        <w:pStyle w:val="Tabladeilustraciones"/>
        <w:tabs>
          <w:tab w:val="right" w:leader="dot" w:pos="9394"/>
        </w:tabs>
        <w:rPr>
          <w:rFonts w:eastAsiaTheme="minorEastAsia"/>
          <w:noProof/>
          <w:lang w:val="es-ES" w:eastAsia="es-ES"/>
        </w:rPr>
      </w:pPr>
      <w:hyperlink w:anchor="_Toc525652587" w:history="1">
        <w:r w:rsidR="00352A4D" w:rsidRPr="0034296F">
          <w:rPr>
            <w:rStyle w:val="Hipervnculo"/>
            <w:noProof/>
          </w:rPr>
          <w:t>Tabla 142 Proyectos Informe de SPI del SGC a junio de 2018</w:t>
        </w:r>
        <w:r w:rsidR="00352A4D">
          <w:rPr>
            <w:noProof/>
            <w:webHidden/>
          </w:rPr>
          <w:tab/>
        </w:r>
        <w:r w:rsidR="00352A4D">
          <w:rPr>
            <w:noProof/>
            <w:webHidden/>
          </w:rPr>
          <w:fldChar w:fldCharType="begin"/>
        </w:r>
        <w:r w:rsidR="00352A4D">
          <w:rPr>
            <w:noProof/>
            <w:webHidden/>
          </w:rPr>
          <w:instrText xml:space="preserve"> PAGEREF _Toc525652587 \h </w:instrText>
        </w:r>
        <w:r w:rsidR="00352A4D">
          <w:rPr>
            <w:noProof/>
            <w:webHidden/>
          </w:rPr>
        </w:r>
        <w:r w:rsidR="00352A4D">
          <w:rPr>
            <w:noProof/>
            <w:webHidden/>
          </w:rPr>
          <w:fldChar w:fldCharType="separate"/>
        </w:r>
        <w:r w:rsidR="00352A4D">
          <w:rPr>
            <w:noProof/>
            <w:webHidden/>
          </w:rPr>
          <w:t>191</w:t>
        </w:r>
        <w:r w:rsidR="00352A4D">
          <w:rPr>
            <w:noProof/>
            <w:webHidden/>
          </w:rPr>
          <w:fldChar w:fldCharType="end"/>
        </w:r>
      </w:hyperlink>
    </w:p>
    <w:p w14:paraId="3D62167D" w14:textId="77777777" w:rsidR="00352A4D" w:rsidRDefault="008B5E15">
      <w:pPr>
        <w:pStyle w:val="Tabladeilustraciones"/>
        <w:tabs>
          <w:tab w:val="right" w:leader="dot" w:pos="9394"/>
        </w:tabs>
        <w:rPr>
          <w:rFonts w:eastAsiaTheme="minorEastAsia"/>
          <w:noProof/>
          <w:lang w:val="es-ES" w:eastAsia="es-ES"/>
        </w:rPr>
      </w:pPr>
      <w:hyperlink r:id="rId98" w:anchor="_Toc525652588" w:history="1">
        <w:r w:rsidR="00352A4D" w:rsidRPr="0034296F">
          <w:rPr>
            <w:rStyle w:val="Hipervnculo"/>
            <w:noProof/>
          </w:rPr>
          <w:t>Tabla 143Informe de SPI de la UPME a junio de 2018</w:t>
        </w:r>
        <w:r w:rsidR="00352A4D">
          <w:rPr>
            <w:noProof/>
            <w:webHidden/>
          </w:rPr>
          <w:tab/>
        </w:r>
        <w:r w:rsidR="00352A4D">
          <w:rPr>
            <w:noProof/>
            <w:webHidden/>
          </w:rPr>
          <w:fldChar w:fldCharType="begin"/>
        </w:r>
        <w:r w:rsidR="00352A4D">
          <w:rPr>
            <w:noProof/>
            <w:webHidden/>
          </w:rPr>
          <w:instrText xml:space="preserve"> PAGEREF _Toc525652588 \h </w:instrText>
        </w:r>
        <w:r w:rsidR="00352A4D">
          <w:rPr>
            <w:noProof/>
            <w:webHidden/>
          </w:rPr>
        </w:r>
        <w:r w:rsidR="00352A4D">
          <w:rPr>
            <w:noProof/>
            <w:webHidden/>
          </w:rPr>
          <w:fldChar w:fldCharType="separate"/>
        </w:r>
        <w:r w:rsidR="00352A4D">
          <w:rPr>
            <w:noProof/>
            <w:webHidden/>
          </w:rPr>
          <w:t>192</w:t>
        </w:r>
        <w:r w:rsidR="00352A4D">
          <w:rPr>
            <w:noProof/>
            <w:webHidden/>
          </w:rPr>
          <w:fldChar w:fldCharType="end"/>
        </w:r>
      </w:hyperlink>
    </w:p>
    <w:p w14:paraId="77058935" w14:textId="77777777" w:rsidR="00352A4D" w:rsidRDefault="008B5E15">
      <w:pPr>
        <w:pStyle w:val="Tabladeilustraciones"/>
        <w:tabs>
          <w:tab w:val="right" w:leader="dot" w:pos="9394"/>
        </w:tabs>
        <w:rPr>
          <w:rFonts w:eastAsiaTheme="minorEastAsia"/>
          <w:noProof/>
          <w:lang w:val="es-ES" w:eastAsia="es-ES"/>
        </w:rPr>
      </w:pPr>
      <w:hyperlink w:anchor="_Toc525652589" w:history="1">
        <w:r w:rsidR="00352A4D" w:rsidRPr="0034296F">
          <w:rPr>
            <w:rStyle w:val="Hipervnculo"/>
            <w:noProof/>
          </w:rPr>
          <w:t>Tabla 144 Proyectos Informe de SPI de la UPME a junio  de 2018</w:t>
        </w:r>
        <w:r w:rsidR="00352A4D">
          <w:rPr>
            <w:noProof/>
            <w:webHidden/>
          </w:rPr>
          <w:tab/>
        </w:r>
        <w:r w:rsidR="00352A4D">
          <w:rPr>
            <w:noProof/>
            <w:webHidden/>
          </w:rPr>
          <w:fldChar w:fldCharType="begin"/>
        </w:r>
        <w:r w:rsidR="00352A4D">
          <w:rPr>
            <w:noProof/>
            <w:webHidden/>
          </w:rPr>
          <w:instrText xml:space="preserve"> PAGEREF _Toc525652589 \h </w:instrText>
        </w:r>
        <w:r w:rsidR="00352A4D">
          <w:rPr>
            <w:noProof/>
            <w:webHidden/>
          </w:rPr>
        </w:r>
        <w:r w:rsidR="00352A4D">
          <w:rPr>
            <w:noProof/>
            <w:webHidden/>
          </w:rPr>
          <w:fldChar w:fldCharType="separate"/>
        </w:r>
        <w:r w:rsidR="00352A4D">
          <w:rPr>
            <w:noProof/>
            <w:webHidden/>
          </w:rPr>
          <w:t>193</w:t>
        </w:r>
        <w:r w:rsidR="00352A4D">
          <w:rPr>
            <w:noProof/>
            <w:webHidden/>
          </w:rPr>
          <w:fldChar w:fldCharType="end"/>
        </w:r>
      </w:hyperlink>
    </w:p>
    <w:p w14:paraId="2A6DA141" w14:textId="77777777" w:rsidR="00352A4D" w:rsidRDefault="008B5E15">
      <w:pPr>
        <w:pStyle w:val="Tabladeilustraciones"/>
        <w:tabs>
          <w:tab w:val="right" w:leader="dot" w:pos="9394"/>
        </w:tabs>
        <w:rPr>
          <w:rFonts w:eastAsiaTheme="minorEastAsia"/>
          <w:noProof/>
          <w:lang w:val="es-ES" w:eastAsia="es-ES"/>
        </w:rPr>
      </w:pPr>
      <w:hyperlink r:id="rId99" w:anchor="_Toc525652590" w:history="1">
        <w:r w:rsidR="00352A4D" w:rsidRPr="0034296F">
          <w:rPr>
            <w:rStyle w:val="Hipervnculo"/>
            <w:noProof/>
          </w:rPr>
          <w:t>Tabla 145 Informe de SPI de la ANM a junio de 2018</w:t>
        </w:r>
        <w:r w:rsidR="00352A4D">
          <w:rPr>
            <w:noProof/>
            <w:webHidden/>
          </w:rPr>
          <w:tab/>
        </w:r>
        <w:r w:rsidR="00352A4D">
          <w:rPr>
            <w:noProof/>
            <w:webHidden/>
          </w:rPr>
          <w:fldChar w:fldCharType="begin"/>
        </w:r>
        <w:r w:rsidR="00352A4D">
          <w:rPr>
            <w:noProof/>
            <w:webHidden/>
          </w:rPr>
          <w:instrText xml:space="preserve"> PAGEREF _Toc525652590 \h </w:instrText>
        </w:r>
        <w:r w:rsidR="00352A4D">
          <w:rPr>
            <w:noProof/>
            <w:webHidden/>
          </w:rPr>
        </w:r>
        <w:r w:rsidR="00352A4D">
          <w:rPr>
            <w:noProof/>
            <w:webHidden/>
          </w:rPr>
          <w:fldChar w:fldCharType="separate"/>
        </w:r>
        <w:r w:rsidR="00352A4D">
          <w:rPr>
            <w:noProof/>
            <w:webHidden/>
          </w:rPr>
          <w:t>194</w:t>
        </w:r>
        <w:r w:rsidR="00352A4D">
          <w:rPr>
            <w:noProof/>
            <w:webHidden/>
          </w:rPr>
          <w:fldChar w:fldCharType="end"/>
        </w:r>
      </w:hyperlink>
    </w:p>
    <w:p w14:paraId="4ACFFCC6" w14:textId="77777777" w:rsidR="00352A4D" w:rsidRDefault="008B5E15">
      <w:pPr>
        <w:pStyle w:val="Tabladeilustraciones"/>
        <w:tabs>
          <w:tab w:val="right" w:leader="dot" w:pos="9394"/>
        </w:tabs>
        <w:rPr>
          <w:rFonts w:eastAsiaTheme="minorEastAsia"/>
          <w:noProof/>
          <w:lang w:val="es-ES" w:eastAsia="es-ES"/>
        </w:rPr>
      </w:pPr>
      <w:hyperlink w:anchor="_Toc525652591" w:history="1">
        <w:r w:rsidR="00352A4D" w:rsidRPr="0034296F">
          <w:rPr>
            <w:rStyle w:val="Hipervnculo"/>
            <w:noProof/>
          </w:rPr>
          <w:t>Tabla 146 Proyectos Informe de SPI de la ANM a junio de 2018</w:t>
        </w:r>
        <w:r w:rsidR="00352A4D">
          <w:rPr>
            <w:noProof/>
            <w:webHidden/>
          </w:rPr>
          <w:tab/>
        </w:r>
        <w:r w:rsidR="00352A4D">
          <w:rPr>
            <w:noProof/>
            <w:webHidden/>
          </w:rPr>
          <w:fldChar w:fldCharType="begin"/>
        </w:r>
        <w:r w:rsidR="00352A4D">
          <w:rPr>
            <w:noProof/>
            <w:webHidden/>
          </w:rPr>
          <w:instrText xml:space="preserve"> PAGEREF _Toc525652591 \h </w:instrText>
        </w:r>
        <w:r w:rsidR="00352A4D">
          <w:rPr>
            <w:noProof/>
            <w:webHidden/>
          </w:rPr>
        </w:r>
        <w:r w:rsidR="00352A4D">
          <w:rPr>
            <w:noProof/>
            <w:webHidden/>
          </w:rPr>
          <w:fldChar w:fldCharType="separate"/>
        </w:r>
        <w:r w:rsidR="00352A4D">
          <w:rPr>
            <w:noProof/>
            <w:webHidden/>
          </w:rPr>
          <w:t>195</w:t>
        </w:r>
        <w:r w:rsidR="00352A4D">
          <w:rPr>
            <w:noProof/>
            <w:webHidden/>
          </w:rPr>
          <w:fldChar w:fldCharType="end"/>
        </w:r>
      </w:hyperlink>
    </w:p>
    <w:p w14:paraId="157117F4" w14:textId="77777777" w:rsidR="00C02282" w:rsidRPr="00C30731" w:rsidRDefault="00C02282" w:rsidP="00C02282">
      <w:pPr>
        <w:spacing w:after="0" w:line="240" w:lineRule="auto"/>
        <w:rPr>
          <w:rFonts w:asciiTheme="majorHAnsi" w:eastAsiaTheme="majorEastAsia" w:hAnsiTheme="majorHAnsi" w:cstheme="majorBidi"/>
          <w:color w:val="365F91" w:themeColor="accent1" w:themeShade="BF"/>
          <w:sz w:val="32"/>
          <w:szCs w:val="32"/>
          <w:lang w:val="es-ES" w:eastAsia="es-CO"/>
        </w:rPr>
      </w:pPr>
      <w:r w:rsidRPr="006B2A9D">
        <w:rPr>
          <w:rFonts w:asciiTheme="majorHAnsi" w:eastAsiaTheme="majorEastAsia" w:hAnsiTheme="majorHAnsi" w:cstheme="majorBidi"/>
          <w:color w:val="365F91" w:themeColor="accent1" w:themeShade="BF"/>
          <w:sz w:val="32"/>
          <w:szCs w:val="32"/>
          <w:lang w:val="es-ES" w:eastAsia="es-CO"/>
        </w:rPr>
        <w:fldChar w:fldCharType="end"/>
      </w:r>
    </w:p>
    <w:p w14:paraId="2EB0BA18" w14:textId="77777777" w:rsidR="00C02282" w:rsidRPr="00987CF3" w:rsidRDefault="00C02282" w:rsidP="00C02282">
      <w:pPr>
        <w:jc w:val="both"/>
        <w:rPr>
          <w:rFonts w:eastAsia="Times New Roman" w:cs="Arial"/>
          <w:b/>
          <w:color w:val="000000"/>
          <w:lang w:eastAsia="es-ES"/>
        </w:rPr>
      </w:pPr>
    </w:p>
    <w:p w14:paraId="51AF84F0" w14:textId="03D00716" w:rsidR="00AC2BFA" w:rsidRPr="003F176B" w:rsidRDefault="00AC2BFA" w:rsidP="003F176B">
      <w:pPr>
        <w:pStyle w:val="Textoindependiente"/>
        <w:jc w:val="left"/>
        <w:rPr>
          <w:rFonts w:cs="Arial"/>
          <w:sz w:val="16"/>
          <w:szCs w:val="16"/>
        </w:rPr>
      </w:pPr>
    </w:p>
    <w:sectPr w:rsidR="00AC2BFA" w:rsidRPr="003F176B" w:rsidSect="007E52E9">
      <w:headerReference w:type="default" r:id="rId100"/>
      <w:footerReference w:type="default" r:id="rId101"/>
      <w:pgSz w:w="12240" w:h="15840"/>
      <w:pgMar w:top="1701" w:right="1418" w:bottom="1134" w:left="1418" w:header="1559" w:footer="15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24AFB" w14:textId="77777777" w:rsidR="008B5E15" w:rsidRDefault="008B5E15" w:rsidP="00CD6908">
      <w:pPr>
        <w:spacing w:after="0" w:line="240" w:lineRule="auto"/>
      </w:pPr>
      <w:r>
        <w:separator/>
      </w:r>
    </w:p>
  </w:endnote>
  <w:endnote w:type="continuationSeparator" w:id="0">
    <w:p w14:paraId="72F6FC7C" w14:textId="77777777" w:rsidR="008B5E15" w:rsidRDefault="008B5E15" w:rsidP="00C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19E69" w14:textId="0F130415" w:rsidR="008B5E15" w:rsidRPr="006437B2" w:rsidRDefault="008B5E15" w:rsidP="006437B2">
    <w:pPr>
      <w:pStyle w:val="Piedepgina"/>
      <w:tabs>
        <w:tab w:val="clear" w:pos="4419"/>
      </w:tabs>
      <w:jc w:val="right"/>
      <w:rPr>
        <w:rFonts w:ascii="Arial" w:hAnsi="Arial" w:cs="Arial"/>
        <w:sz w:val="20"/>
        <w:szCs w:val="20"/>
      </w:rPr>
    </w:pPr>
    <w:r w:rsidRPr="006437B2">
      <w:rPr>
        <w:rFonts w:ascii="Arial" w:hAnsi="Arial" w:cs="Arial"/>
        <w:sz w:val="20"/>
        <w:szCs w:val="20"/>
      </w:rPr>
      <w:t xml:space="preserve">Página </w:t>
    </w:r>
    <w:r w:rsidRPr="006437B2">
      <w:rPr>
        <w:rFonts w:ascii="Arial" w:hAnsi="Arial" w:cs="Arial"/>
        <w:sz w:val="20"/>
        <w:szCs w:val="20"/>
      </w:rPr>
      <w:fldChar w:fldCharType="begin"/>
    </w:r>
    <w:r w:rsidRPr="006437B2">
      <w:rPr>
        <w:rFonts w:ascii="Arial" w:hAnsi="Arial" w:cs="Arial"/>
        <w:sz w:val="20"/>
        <w:szCs w:val="20"/>
      </w:rPr>
      <w:instrText xml:space="preserve"> PAGE  \* Arabic  \* MERGEFORMAT </w:instrText>
    </w:r>
    <w:r w:rsidRPr="006437B2">
      <w:rPr>
        <w:rFonts w:ascii="Arial" w:hAnsi="Arial" w:cs="Arial"/>
        <w:sz w:val="20"/>
        <w:szCs w:val="20"/>
      </w:rPr>
      <w:fldChar w:fldCharType="separate"/>
    </w:r>
    <w:r w:rsidR="004D0449">
      <w:rPr>
        <w:rFonts w:ascii="Arial" w:hAnsi="Arial" w:cs="Arial"/>
        <w:noProof/>
        <w:sz w:val="20"/>
        <w:szCs w:val="20"/>
      </w:rPr>
      <w:t>193</w:t>
    </w:r>
    <w:r w:rsidRPr="006437B2">
      <w:rPr>
        <w:rFonts w:ascii="Arial" w:hAnsi="Arial" w:cs="Arial"/>
        <w:sz w:val="20"/>
        <w:szCs w:val="20"/>
      </w:rPr>
      <w:fldChar w:fldCharType="end"/>
    </w:r>
    <w:r w:rsidRPr="006437B2">
      <w:rPr>
        <w:rFonts w:ascii="Arial" w:hAnsi="Arial" w:cs="Arial"/>
        <w:sz w:val="20"/>
        <w:szCs w:val="20"/>
      </w:rPr>
      <w:t xml:space="preserve"> de</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4D0449">
      <w:rPr>
        <w:rFonts w:ascii="Arial" w:hAnsi="Arial" w:cs="Arial"/>
        <w:noProof/>
        <w:sz w:val="20"/>
        <w:szCs w:val="20"/>
      </w:rPr>
      <w:t>193</w:t>
    </w:r>
    <w:r>
      <w:rPr>
        <w:rFonts w:ascii="Arial" w:hAnsi="Arial" w:cs="Arial"/>
        <w:sz w:val="20"/>
        <w:szCs w:val="20"/>
      </w:rPr>
      <w:fldChar w:fldCharType="end"/>
    </w:r>
  </w:p>
  <w:p w14:paraId="4A66E607" w14:textId="77777777" w:rsidR="008B5E15" w:rsidRDefault="008B5E15" w:rsidP="006A1018">
    <w:pPr>
      <w:pStyle w:val="Piedepgina"/>
      <w:jc w:val="center"/>
    </w:pPr>
    <w:r>
      <w:rPr>
        <w:noProof/>
        <w:sz w:val="20"/>
        <w:szCs w:val="20"/>
        <w:lang w:eastAsia="es-CO"/>
      </w:rPr>
      <w:drawing>
        <wp:anchor distT="0" distB="0" distL="114300" distR="114300" simplePos="0" relativeHeight="251660288" behindDoc="1" locked="0" layoutInCell="1" allowOverlap="1" wp14:anchorId="440099A9" wp14:editId="5072348C">
          <wp:simplePos x="0" y="0"/>
          <wp:positionH relativeFrom="page">
            <wp:posOffset>9528</wp:posOffset>
          </wp:positionH>
          <wp:positionV relativeFrom="page">
            <wp:posOffset>9096375</wp:posOffset>
          </wp:positionV>
          <wp:extent cx="7746515" cy="9454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aOficio-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6515" cy="9454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C68B9" w14:textId="77777777" w:rsidR="008B5E15" w:rsidRDefault="008B5E15" w:rsidP="00CD6908">
      <w:pPr>
        <w:spacing w:after="0" w:line="240" w:lineRule="auto"/>
      </w:pPr>
      <w:r>
        <w:separator/>
      </w:r>
    </w:p>
  </w:footnote>
  <w:footnote w:type="continuationSeparator" w:id="0">
    <w:p w14:paraId="25E28D2B" w14:textId="77777777" w:rsidR="008B5E15" w:rsidRDefault="008B5E15" w:rsidP="00CD6908">
      <w:pPr>
        <w:spacing w:after="0" w:line="240" w:lineRule="auto"/>
      </w:pPr>
      <w:r>
        <w:continuationSeparator/>
      </w:r>
    </w:p>
  </w:footnote>
  <w:footnote w:id="1">
    <w:p w14:paraId="27B17A9D" w14:textId="77777777" w:rsidR="008B5E15" w:rsidRPr="007E7047" w:rsidRDefault="008B5E15" w:rsidP="00025183">
      <w:pPr>
        <w:pStyle w:val="Textonotapie"/>
        <w:jc w:val="both"/>
        <w:rPr>
          <w:rFonts w:ascii="Arial Narrow" w:hAnsi="Arial Narrow"/>
          <w:sz w:val="18"/>
          <w:szCs w:val="18"/>
        </w:rPr>
      </w:pPr>
      <w:r w:rsidRPr="007E7047">
        <w:rPr>
          <w:rStyle w:val="Refdenotaalpie"/>
          <w:rFonts w:ascii="Arial Narrow" w:eastAsiaTheme="majorEastAsia" w:hAnsi="Arial Narrow"/>
          <w:sz w:val="18"/>
          <w:szCs w:val="18"/>
        </w:rPr>
        <w:footnoteRef/>
      </w:r>
      <w:r w:rsidRPr="007E7047">
        <w:rPr>
          <w:rFonts w:ascii="Arial Narrow" w:hAnsi="Arial Narrow"/>
          <w:sz w:val="18"/>
          <w:szCs w:val="18"/>
        </w:rPr>
        <w:t xml:space="preserve"> Por la cual se expide el Plan Nacional de Desarrollo 2014-2018 “Todos por un nuevo país.</w:t>
      </w:r>
    </w:p>
  </w:footnote>
  <w:footnote w:id="2">
    <w:p w14:paraId="1AEF2D50" w14:textId="77777777" w:rsidR="008B5E15" w:rsidRPr="007E7047" w:rsidRDefault="008B5E15" w:rsidP="00025183">
      <w:pPr>
        <w:pStyle w:val="Textonotapie"/>
        <w:jc w:val="both"/>
        <w:rPr>
          <w:rFonts w:ascii="Arial Narrow" w:hAnsi="Arial Narrow"/>
          <w:sz w:val="18"/>
          <w:szCs w:val="18"/>
          <w:lang w:val="es-CO"/>
        </w:rPr>
      </w:pPr>
      <w:r w:rsidRPr="007E7047">
        <w:rPr>
          <w:rStyle w:val="Refdenotaalpie"/>
          <w:rFonts w:ascii="Arial Narrow" w:eastAsiaTheme="majorEastAsia" w:hAnsi="Arial Narrow"/>
          <w:sz w:val="18"/>
          <w:szCs w:val="18"/>
        </w:rPr>
        <w:footnoteRef/>
      </w:r>
      <w:r w:rsidRPr="007E7047">
        <w:rPr>
          <w:rFonts w:ascii="Arial Narrow" w:hAnsi="Arial Narrow"/>
          <w:sz w:val="18"/>
          <w:szCs w:val="18"/>
        </w:rPr>
        <w:t xml:space="preserve"> Por la cual se decreta el Presupuesto de Rentas y Recursos de Capital y Ley de Apropiaciones para la vigencia fiscal del 1o de enero al 31 de diciembre de 201</w:t>
      </w:r>
      <w:r>
        <w:rPr>
          <w:rFonts w:ascii="Arial Narrow" w:hAnsi="Arial Narrow"/>
          <w:sz w:val="18"/>
          <w:szCs w:val="18"/>
        </w:rPr>
        <w:t>8</w:t>
      </w:r>
      <w:r w:rsidRPr="007E7047">
        <w:rPr>
          <w:rFonts w:ascii="Arial Narrow" w:hAnsi="Arial Narrow"/>
          <w:sz w:val="18"/>
          <w:szCs w:val="18"/>
        </w:rPr>
        <w:t>.</w:t>
      </w:r>
    </w:p>
  </w:footnote>
  <w:footnote w:id="3">
    <w:p w14:paraId="64AA09E9" w14:textId="77777777" w:rsidR="008B5E15" w:rsidRPr="007E7047" w:rsidRDefault="008B5E15" w:rsidP="00025183">
      <w:pPr>
        <w:pStyle w:val="Textonotapie"/>
        <w:jc w:val="both"/>
        <w:rPr>
          <w:rFonts w:ascii="Arial Narrow" w:hAnsi="Arial Narrow"/>
          <w:sz w:val="18"/>
          <w:szCs w:val="18"/>
          <w:lang w:val="es-CO"/>
        </w:rPr>
      </w:pPr>
      <w:r w:rsidRPr="007E7047">
        <w:rPr>
          <w:rStyle w:val="Refdenotaalpie"/>
          <w:rFonts w:ascii="Arial Narrow" w:eastAsiaTheme="majorEastAsia" w:hAnsi="Arial Narrow"/>
          <w:sz w:val="18"/>
          <w:szCs w:val="18"/>
        </w:rPr>
        <w:footnoteRef/>
      </w:r>
      <w:r w:rsidRPr="007E7047">
        <w:rPr>
          <w:rFonts w:ascii="Arial Narrow" w:hAnsi="Arial Narrow"/>
          <w:sz w:val="18"/>
          <w:szCs w:val="18"/>
        </w:rPr>
        <w:t xml:space="preserve"> Por el cual se liquida el Presupuesto General de la Nación para la vigencia fiscal de 201</w:t>
      </w:r>
      <w:r>
        <w:rPr>
          <w:rFonts w:ascii="Arial Narrow" w:hAnsi="Arial Narrow"/>
          <w:sz w:val="18"/>
          <w:szCs w:val="18"/>
        </w:rPr>
        <w:t>8</w:t>
      </w:r>
      <w:r w:rsidRPr="007E7047">
        <w:rPr>
          <w:rFonts w:ascii="Arial Narrow" w:hAnsi="Arial Narrow"/>
          <w:sz w:val="18"/>
          <w:szCs w:val="18"/>
        </w:rPr>
        <w:t>, se detallan las apropiaciones y se clasifican y definen los gastos.</w:t>
      </w:r>
    </w:p>
  </w:footnote>
  <w:footnote w:id="4">
    <w:p w14:paraId="1FBB36F2" w14:textId="77777777" w:rsidR="008B5E15" w:rsidRPr="00A100F7" w:rsidRDefault="008B5E15" w:rsidP="00025183">
      <w:pPr>
        <w:pStyle w:val="Textonotapie"/>
        <w:jc w:val="both"/>
        <w:rPr>
          <w:rFonts w:ascii="Arial Narrow" w:hAnsi="Arial Narrow"/>
          <w:sz w:val="18"/>
          <w:szCs w:val="18"/>
          <w:lang w:val="es-CO"/>
        </w:rPr>
      </w:pPr>
      <w:r w:rsidRPr="00A100F7">
        <w:rPr>
          <w:rStyle w:val="Refdenotaalpie"/>
          <w:rFonts w:ascii="Arial Narrow" w:eastAsiaTheme="majorEastAsia" w:hAnsi="Arial Narrow"/>
          <w:sz w:val="18"/>
          <w:szCs w:val="18"/>
        </w:rPr>
        <w:footnoteRef/>
      </w:r>
      <w:r w:rsidRPr="00A100F7">
        <w:rPr>
          <w:rFonts w:ascii="Arial Narrow" w:hAnsi="Arial Narrow"/>
          <w:sz w:val="18"/>
          <w:szCs w:val="18"/>
        </w:rPr>
        <w:t xml:space="preserve"> Por la cual se decreta el Presupuesto de Rentas y Recursos de Capital y Ley de Apropiaciones para la vigencia fiscal del 1o de enero al 31 de diciembre de 201</w:t>
      </w:r>
      <w:r>
        <w:rPr>
          <w:rFonts w:ascii="Arial Narrow" w:hAnsi="Arial Narrow"/>
          <w:sz w:val="18"/>
          <w:szCs w:val="18"/>
        </w:rPr>
        <w:t>8</w:t>
      </w:r>
      <w:r w:rsidRPr="00A100F7">
        <w:rPr>
          <w:rFonts w:ascii="Arial Narrow" w:hAnsi="Arial Narrow"/>
          <w:sz w:val="18"/>
          <w:szCs w:val="18"/>
        </w:rPr>
        <w:t>.</w:t>
      </w:r>
    </w:p>
  </w:footnote>
  <w:footnote w:id="5">
    <w:p w14:paraId="6C37A99E" w14:textId="77777777" w:rsidR="008B5E15" w:rsidRPr="00A100F7" w:rsidRDefault="008B5E15" w:rsidP="00025183">
      <w:pPr>
        <w:pStyle w:val="Textonotapie"/>
        <w:jc w:val="both"/>
        <w:rPr>
          <w:rFonts w:ascii="Arial Narrow" w:hAnsi="Arial Narrow"/>
          <w:sz w:val="18"/>
          <w:szCs w:val="18"/>
          <w:lang w:val="es-CO"/>
        </w:rPr>
      </w:pPr>
      <w:r w:rsidRPr="00A100F7">
        <w:rPr>
          <w:rStyle w:val="Refdenotaalpie"/>
          <w:rFonts w:ascii="Arial Narrow" w:eastAsiaTheme="majorEastAsia" w:hAnsi="Arial Narrow"/>
          <w:sz w:val="18"/>
          <w:szCs w:val="18"/>
        </w:rPr>
        <w:footnoteRef/>
      </w:r>
      <w:r w:rsidRPr="00A100F7">
        <w:rPr>
          <w:rFonts w:ascii="Arial Narrow" w:hAnsi="Arial Narrow"/>
          <w:sz w:val="18"/>
          <w:szCs w:val="18"/>
        </w:rPr>
        <w:t xml:space="preserve"> Por el cual se liquida el Presupuesto General de la Nación para la vigencia fiscal de 201</w:t>
      </w:r>
      <w:r>
        <w:rPr>
          <w:rFonts w:ascii="Arial Narrow" w:hAnsi="Arial Narrow"/>
          <w:sz w:val="18"/>
          <w:szCs w:val="18"/>
        </w:rPr>
        <w:t>8</w:t>
      </w:r>
      <w:r w:rsidRPr="00A100F7">
        <w:rPr>
          <w:rFonts w:ascii="Arial Narrow" w:hAnsi="Arial Narrow"/>
          <w:sz w:val="18"/>
          <w:szCs w:val="18"/>
        </w:rPr>
        <w:t>, se detallan las apropiaciones y se clasifican y definen los gastos.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D1EE6" w14:textId="77777777" w:rsidR="008B5E15" w:rsidRDefault="008B5E15" w:rsidP="004A4BFE">
    <w:pPr>
      <w:pStyle w:val="Encabezado"/>
      <w:jc w:val="center"/>
    </w:pPr>
    <w:r>
      <w:rPr>
        <w:noProof/>
        <w:lang w:eastAsia="es-CO"/>
      </w:rPr>
      <w:drawing>
        <wp:anchor distT="0" distB="0" distL="114300" distR="114300" simplePos="0" relativeHeight="251661312" behindDoc="0" locked="0" layoutInCell="1" allowOverlap="1" wp14:anchorId="79693C1C" wp14:editId="33FB70E9">
          <wp:simplePos x="0" y="0"/>
          <wp:positionH relativeFrom="margin">
            <wp:posOffset>-52070</wp:posOffset>
          </wp:positionH>
          <wp:positionV relativeFrom="page">
            <wp:posOffset>518795</wp:posOffset>
          </wp:positionV>
          <wp:extent cx="4206240" cy="382905"/>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Minas_LOGO-BN-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06240" cy="382905"/>
                  </a:xfrm>
                  <a:prstGeom prst="rect">
                    <a:avLst/>
                  </a:prstGeom>
                </pic:spPr>
              </pic:pic>
            </a:graphicData>
          </a:graphic>
          <wp14:sizeRelH relativeFrom="margin">
            <wp14:pctWidth>0</wp14:pctWidth>
          </wp14:sizeRelH>
          <wp14:sizeRelV relativeFrom="margin">
            <wp14:pctHeight>0</wp14:pctHeight>
          </wp14:sizeRelV>
        </wp:anchor>
      </w:drawing>
    </w:r>
  </w:p>
  <w:p w14:paraId="4CF75404" w14:textId="77777777" w:rsidR="008B5E15" w:rsidRPr="00966328" w:rsidRDefault="008B5E15" w:rsidP="004A4BF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27E7B1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41EF3"/>
    <w:multiLevelType w:val="multilevel"/>
    <w:tmpl w:val="FBD48020"/>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4D0B02"/>
    <w:multiLevelType w:val="multilevel"/>
    <w:tmpl w:val="03D42396"/>
    <w:lvl w:ilvl="0">
      <w:start w:val="1"/>
      <w:numFmt w:val="bullet"/>
      <w:lvlText w:val=""/>
      <w:lvlJc w:val="left"/>
      <w:pPr>
        <w:ind w:left="1080" w:hanging="360"/>
      </w:pPr>
      <w:rPr>
        <w:rFonts w:ascii="Wingdings" w:hAnsi="Wingding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4FF6885"/>
    <w:multiLevelType w:val="hybridMultilevel"/>
    <w:tmpl w:val="65DE56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7D2460"/>
    <w:multiLevelType w:val="hybridMultilevel"/>
    <w:tmpl w:val="7A3CB8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F91366"/>
    <w:multiLevelType w:val="multilevel"/>
    <w:tmpl w:val="C3261FFE"/>
    <w:styleLink w:val="LFO45"/>
    <w:lvl w:ilvl="0">
      <w:start w:val="1"/>
      <w:numFmt w:val="decimal"/>
      <w:pStyle w:val="Titulo1"/>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08206BB2"/>
    <w:multiLevelType w:val="multilevel"/>
    <w:tmpl w:val="DC1E17CA"/>
    <w:lvl w:ilvl="0">
      <w:start w:val="1"/>
      <w:numFmt w:val="decimal"/>
      <w:lvlText w:val="%1."/>
      <w:lvlJc w:val="left"/>
      <w:pPr>
        <w:ind w:left="420" w:hanging="420"/>
      </w:pPr>
      <w:rPr>
        <w:rFonts w:eastAsia="Calibri" w:hint="default"/>
      </w:rPr>
    </w:lvl>
    <w:lvl w:ilvl="1">
      <w:start w:val="1"/>
      <w:numFmt w:val="decimal"/>
      <w:lvlText w:val="%1.%2."/>
      <w:lvlJc w:val="left"/>
      <w:pPr>
        <w:ind w:left="720" w:hanging="720"/>
      </w:pPr>
      <w:rPr>
        <w:rFonts w:ascii="Arial" w:eastAsia="Calibri" w:hAnsi="Arial" w:cs="Arial" w:hint="default"/>
        <w:color w:val="auto"/>
        <w:sz w:val="22"/>
        <w:szCs w:val="22"/>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440" w:hanging="144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7" w15:restartNumberingAfterBreak="0">
    <w:nsid w:val="08AA1A5C"/>
    <w:multiLevelType w:val="hybridMultilevel"/>
    <w:tmpl w:val="2D2AEDE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EA2F71"/>
    <w:multiLevelType w:val="multilevel"/>
    <w:tmpl w:val="273816B8"/>
    <w:lvl w:ilvl="0">
      <w:start w:val="1"/>
      <w:numFmt w:val="decimal"/>
      <w:lvlText w:val="%1."/>
      <w:lvlJc w:val="left"/>
      <w:pPr>
        <w:ind w:left="786" w:hanging="360"/>
      </w:pPr>
      <w:rPr>
        <w:rFonts w:eastAsia="Arial"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9" w15:restartNumberingAfterBreak="0">
    <w:nsid w:val="0A17564C"/>
    <w:multiLevelType w:val="hybridMultilevel"/>
    <w:tmpl w:val="7FFEC036"/>
    <w:lvl w:ilvl="0" w:tplc="267CBA7A">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A8D7321"/>
    <w:multiLevelType w:val="hybridMultilevel"/>
    <w:tmpl w:val="1E74AD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D2D1CBA"/>
    <w:multiLevelType w:val="hybridMultilevel"/>
    <w:tmpl w:val="837499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D412476"/>
    <w:multiLevelType w:val="hybridMultilevel"/>
    <w:tmpl w:val="072A39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D442EB1"/>
    <w:multiLevelType w:val="hybridMultilevel"/>
    <w:tmpl w:val="00A28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EFA3BD2"/>
    <w:multiLevelType w:val="hybridMultilevel"/>
    <w:tmpl w:val="307092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FF0144D"/>
    <w:multiLevelType w:val="multilevel"/>
    <w:tmpl w:val="2756985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3F7025"/>
    <w:multiLevelType w:val="hybridMultilevel"/>
    <w:tmpl w:val="723E46EE"/>
    <w:lvl w:ilvl="0" w:tplc="498005EC">
      <w:start w:val="4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09567B9"/>
    <w:multiLevelType w:val="hybridMultilevel"/>
    <w:tmpl w:val="BD04F368"/>
    <w:lvl w:ilvl="0" w:tplc="214A71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09E42A9"/>
    <w:multiLevelType w:val="multilevel"/>
    <w:tmpl w:val="8A68597A"/>
    <w:lvl w:ilvl="0">
      <w:start w:val="1"/>
      <w:numFmt w:val="decimal"/>
      <w:lvlText w:val="%1."/>
      <w:lvlJc w:val="left"/>
      <w:pPr>
        <w:ind w:left="720" w:hanging="360"/>
      </w:pPr>
      <w:rPr>
        <w:rFonts w:hint="default"/>
        <w:b/>
      </w:rPr>
    </w:lvl>
    <w:lvl w:ilvl="1">
      <w:start w:val="2"/>
      <w:numFmt w:val="decimal"/>
      <w:isLgl/>
      <w:lvlText w:val="%1.%2."/>
      <w:lvlJc w:val="left"/>
      <w:pPr>
        <w:ind w:left="128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5499" w:hanging="108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565" w:hanging="144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631" w:hanging="1800"/>
      </w:pPr>
      <w:rPr>
        <w:rFonts w:hint="default"/>
      </w:rPr>
    </w:lvl>
    <w:lvl w:ilvl="8">
      <w:start w:val="1"/>
      <w:numFmt w:val="decimal"/>
      <w:isLgl/>
      <w:lvlText w:val="%1.%2.%3.%4.%5.%6.%7.%8.%9."/>
      <w:lvlJc w:val="left"/>
      <w:pPr>
        <w:ind w:left="12984" w:hanging="1800"/>
      </w:pPr>
      <w:rPr>
        <w:rFonts w:hint="default"/>
      </w:rPr>
    </w:lvl>
  </w:abstractNum>
  <w:abstractNum w:abstractNumId="19" w15:restartNumberingAfterBreak="0">
    <w:nsid w:val="10C17AA7"/>
    <w:multiLevelType w:val="hybridMultilevel"/>
    <w:tmpl w:val="4A9CD5F0"/>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2661211"/>
    <w:multiLevelType w:val="multilevel"/>
    <w:tmpl w:val="DE3EA76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1" w15:restartNumberingAfterBreak="0">
    <w:nsid w:val="12D40F42"/>
    <w:multiLevelType w:val="hybridMultilevel"/>
    <w:tmpl w:val="57502D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4E7059A"/>
    <w:multiLevelType w:val="hybridMultilevel"/>
    <w:tmpl w:val="1706BB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A24166D"/>
    <w:multiLevelType w:val="hybridMultilevel"/>
    <w:tmpl w:val="FC168AB2"/>
    <w:lvl w:ilvl="0" w:tplc="CA1C33AE">
      <w:start w:val="1"/>
      <w:numFmt w:val="decimalZero"/>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1CC67E72"/>
    <w:multiLevelType w:val="multilevel"/>
    <w:tmpl w:val="2C76372C"/>
    <w:lvl w:ilvl="0">
      <w:start w:val="1"/>
      <w:numFmt w:val="decimal"/>
      <w:lvlText w:val="%1."/>
      <w:lvlJc w:val="left"/>
      <w:pPr>
        <w:ind w:left="720" w:hanging="360"/>
      </w:pPr>
      <w:rPr>
        <w:rFonts w:eastAsia="Arial" w:hint="default"/>
        <w:b/>
      </w:rPr>
    </w:lvl>
    <w:lvl w:ilvl="1">
      <w:start w:val="2"/>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5" w15:restartNumberingAfterBreak="0">
    <w:nsid w:val="1FCE5BF1"/>
    <w:multiLevelType w:val="hybridMultilevel"/>
    <w:tmpl w:val="D19E40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16B469E"/>
    <w:multiLevelType w:val="hybridMultilevel"/>
    <w:tmpl w:val="F064DD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1766169"/>
    <w:multiLevelType w:val="multilevel"/>
    <w:tmpl w:val="7AAA7014"/>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72F70EA"/>
    <w:multiLevelType w:val="hybridMultilevel"/>
    <w:tmpl w:val="02EC5026"/>
    <w:lvl w:ilvl="0" w:tplc="240A000B">
      <w:start w:val="1"/>
      <w:numFmt w:val="bullet"/>
      <w:lvlText w:val=""/>
      <w:lvlJc w:val="left"/>
      <w:pPr>
        <w:ind w:left="426" w:hanging="360"/>
      </w:pPr>
      <w:rPr>
        <w:rFonts w:ascii="Wingdings" w:hAnsi="Wingdings" w:hint="default"/>
        <w:b/>
      </w:rPr>
    </w:lvl>
    <w:lvl w:ilvl="1" w:tplc="240A0019">
      <w:start w:val="1"/>
      <w:numFmt w:val="lowerLetter"/>
      <w:lvlText w:val="%2."/>
      <w:lvlJc w:val="left"/>
      <w:pPr>
        <w:ind w:left="1146" w:hanging="360"/>
      </w:pPr>
    </w:lvl>
    <w:lvl w:ilvl="2" w:tplc="240A001B" w:tentative="1">
      <w:start w:val="1"/>
      <w:numFmt w:val="lowerRoman"/>
      <w:lvlText w:val="%3."/>
      <w:lvlJc w:val="right"/>
      <w:pPr>
        <w:ind w:left="1866" w:hanging="180"/>
      </w:pPr>
    </w:lvl>
    <w:lvl w:ilvl="3" w:tplc="240A000F" w:tentative="1">
      <w:start w:val="1"/>
      <w:numFmt w:val="decimal"/>
      <w:lvlText w:val="%4."/>
      <w:lvlJc w:val="left"/>
      <w:pPr>
        <w:ind w:left="2586" w:hanging="360"/>
      </w:pPr>
    </w:lvl>
    <w:lvl w:ilvl="4" w:tplc="240A0019" w:tentative="1">
      <w:start w:val="1"/>
      <w:numFmt w:val="lowerLetter"/>
      <w:lvlText w:val="%5."/>
      <w:lvlJc w:val="left"/>
      <w:pPr>
        <w:ind w:left="3306" w:hanging="360"/>
      </w:pPr>
    </w:lvl>
    <w:lvl w:ilvl="5" w:tplc="240A001B" w:tentative="1">
      <w:start w:val="1"/>
      <w:numFmt w:val="lowerRoman"/>
      <w:lvlText w:val="%6."/>
      <w:lvlJc w:val="right"/>
      <w:pPr>
        <w:ind w:left="4026" w:hanging="180"/>
      </w:pPr>
    </w:lvl>
    <w:lvl w:ilvl="6" w:tplc="240A000F" w:tentative="1">
      <w:start w:val="1"/>
      <w:numFmt w:val="decimal"/>
      <w:lvlText w:val="%7."/>
      <w:lvlJc w:val="left"/>
      <w:pPr>
        <w:ind w:left="4746" w:hanging="360"/>
      </w:pPr>
    </w:lvl>
    <w:lvl w:ilvl="7" w:tplc="240A0019" w:tentative="1">
      <w:start w:val="1"/>
      <w:numFmt w:val="lowerLetter"/>
      <w:lvlText w:val="%8."/>
      <w:lvlJc w:val="left"/>
      <w:pPr>
        <w:ind w:left="5466" w:hanging="360"/>
      </w:pPr>
    </w:lvl>
    <w:lvl w:ilvl="8" w:tplc="240A001B" w:tentative="1">
      <w:start w:val="1"/>
      <w:numFmt w:val="lowerRoman"/>
      <w:lvlText w:val="%9."/>
      <w:lvlJc w:val="right"/>
      <w:pPr>
        <w:ind w:left="6186" w:hanging="180"/>
      </w:pPr>
    </w:lvl>
  </w:abstractNum>
  <w:abstractNum w:abstractNumId="29" w15:restartNumberingAfterBreak="0">
    <w:nsid w:val="2D013BA8"/>
    <w:multiLevelType w:val="multilevel"/>
    <w:tmpl w:val="E2823876"/>
    <w:lvl w:ilvl="0">
      <w:start w:val="1"/>
      <w:numFmt w:val="decimal"/>
      <w:lvlText w:val="%1."/>
      <w:lvlJc w:val="left"/>
      <w:pPr>
        <w:ind w:left="360" w:hanging="360"/>
      </w:pPr>
      <w:rPr>
        <w:rFonts w:hint="default"/>
        <w:b/>
      </w:rPr>
    </w:lvl>
    <w:lvl w:ilvl="1">
      <w:start w:val="2"/>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2D3B5C27"/>
    <w:multiLevelType w:val="hybridMultilevel"/>
    <w:tmpl w:val="525E50C0"/>
    <w:lvl w:ilvl="0" w:tplc="F46EA4C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DB537C3"/>
    <w:multiLevelType w:val="hybridMultilevel"/>
    <w:tmpl w:val="F0E040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E3D0B49"/>
    <w:multiLevelType w:val="hybridMultilevel"/>
    <w:tmpl w:val="27F4455E"/>
    <w:lvl w:ilvl="0" w:tplc="240A000B">
      <w:start w:val="1"/>
      <w:numFmt w:val="bullet"/>
      <w:lvlText w:val=""/>
      <w:lvlJc w:val="left"/>
      <w:pPr>
        <w:ind w:left="360" w:hanging="360"/>
      </w:pPr>
      <w:rPr>
        <w:rFonts w:ascii="Wingdings" w:hAnsi="Wingding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301724AA"/>
    <w:multiLevelType w:val="multilevel"/>
    <w:tmpl w:val="8C843C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27C0EA6"/>
    <w:multiLevelType w:val="hybridMultilevel"/>
    <w:tmpl w:val="4CFA638C"/>
    <w:lvl w:ilvl="0" w:tplc="214A71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2F04D3D"/>
    <w:multiLevelType w:val="multilevel"/>
    <w:tmpl w:val="4D16B488"/>
    <w:lvl w:ilvl="0">
      <w:start w:val="1"/>
      <w:numFmt w:val="decimal"/>
      <w:lvlText w:val="%1."/>
      <w:lvlJc w:val="left"/>
      <w:pPr>
        <w:ind w:left="720" w:hanging="360"/>
      </w:pPr>
      <w:rPr>
        <w:rFonts w:eastAsia="Arial"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34222B95"/>
    <w:multiLevelType w:val="hybridMultilevel"/>
    <w:tmpl w:val="3FB46E9E"/>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3FF01538"/>
    <w:multiLevelType w:val="hybridMultilevel"/>
    <w:tmpl w:val="7A580B96"/>
    <w:lvl w:ilvl="0" w:tplc="5EA6A0A6">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41564067"/>
    <w:multiLevelType w:val="hybridMultilevel"/>
    <w:tmpl w:val="D5581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33620EF"/>
    <w:multiLevelType w:val="multilevel"/>
    <w:tmpl w:val="5B28A29E"/>
    <w:lvl w:ilvl="0">
      <w:start w:val="1"/>
      <w:numFmt w:val="bullet"/>
      <w:lvlText w:val=""/>
      <w:lvlJc w:val="left"/>
      <w:pPr>
        <w:ind w:left="786" w:hanging="360"/>
      </w:pPr>
      <w:rPr>
        <w:rFonts w:ascii="Wingdings" w:hAnsi="Wingdings" w:hint="default"/>
        <w:color w:val="auto"/>
      </w:rPr>
    </w:lvl>
    <w:lvl w:ilvl="1">
      <w:start w:val="5"/>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40" w15:restartNumberingAfterBreak="0">
    <w:nsid w:val="43E1478C"/>
    <w:multiLevelType w:val="hybridMultilevel"/>
    <w:tmpl w:val="01601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4407F45"/>
    <w:multiLevelType w:val="hybridMultilevel"/>
    <w:tmpl w:val="B71A008E"/>
    <w:lvl w:ilvl="0" w:tplc="240A000B">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42" w15:restartNumberingAfterBreak="0">
    <w:nsid w:val="4443003B"/>
    <w:multiLevelType w:val="hybridMultilevel"/>
    <w:tmpl w:val="EBCC7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B7F1E26"/>
    <w:multiLevelType w:val="hybridMultilevel"/>
    <w:tmpl w:val="58448C3A"/>
    <w:lvl w:ilvl="0" w:tplc="5B869652">
      <w:start w:val="1"/>
      <w:numFmt w:val="decimal"/>
      <w:lvlText w:val="%1."/>
      <w:lvlJc w:val="left"/>
      <w:pPr>
        <w:ind w:left="786" w:hanging="360"/>
      </w:pPr>
      <w:rPr>
        <w:rFonts w:eastAsia="Arial" w:hint="default"/>
        <w:b/>
      </w:r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4" w15:restartNumberingAfterBreak="0">
    <w:nsid w:val="4BD8519D"/>
    <w:multiLevelType w:val="hybridMultilevel"/>
    <w:tmpl w:val="8C168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4D0E5212"/>
    <w:multiLevelType w:val="hybridMultilevel"/>
    <w:tmpl w:val="91D62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4DB73B81"/>
    <w:multiLevelType w:val="multilevel"/>
    <w:tmpl w:val="05B4361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color w:val="000000" w:themeColor="text1"/>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15:restartNumberingAfterBreak="0">
    <w:nsid w:val="4E304FC4"/>
    <w:multiLevelType w:val="hybridMultilevel"/>
    <w:tmpl w:val="940E8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00E5FF4"/>
    <w:multiLevelType w:val="hybridMultilevel"/>
    <w:tmpl w:val="E18C409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16F5E0C"/>
    <w:multiLevelType w:val="hybridMultilevel"/>
    <w:tmpl w:val="615C677A"/>
    <w:lvl w:ilvl="0" w:tplc="214A710C">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0" w15:restartNumberingAfterBreak="0">
    <w:nsid w:val="51C36C11"/>
    <w:multiLevelType w:val="multilevel"/>
    <w:tmpl w:val="9FDC3B8C"/>
    <w:lvl w:ilvl="0">
      <w:start w:val="1"/>
      <w:numFmt w:val="decimal"/>
      <w:lvlText w:val="%1."/>
      <w:lvlJc w:val="left"/>
      <w:pPr>
        <w:ind w:left="720" w:hanging="360"/>
      </w:pPr>
      <w:rPr>
        <w:rFonts w:eastAsia="Arial" w:hint="default"/>
        <w:b/>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4F80495"/>
    <w:multiLevelType w:val="hybridMultilevel"/>
    <w:tmpl w:val="D88899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580A328E"/>
    <w:multiLevelType w:val="hybridMultilevel"/>
    <w:tmpl w:val="024EB25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58F57A54"/>
    <w:multiLevelType w:val="hybridMultilevel"/>
    <w:tmpl w:val="8A625D6E"/>
    <w:lvl w:ilvl="0" w:tplc="747C1EA8">
      <w:start w:val="1"/>
      <w:numFmt w:val="decimal"/>
      <w:lvlText w:val="%1."/>
      <w:lvlJc w:val="left"/>
      <w:pPr>
        <w:ind w:left="720" w:hanging="360"/>
      </w:pPr>
      <w:rPr>
        <w:rFonts w:eastAsia="Arial"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D8A4CF0"/>
    <w:multiLevelType w:val="hybridMultilevel"/>
    <w:tmpl w:val="B77C88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EFF187C"/>
    <w:multiLevelType w:val="hybridMultilevel"/>
    <w:tmpl w:val="1A20865E"/>
    <w:lvl w:ilvl="0" w:tplc="240A000B">
      <w:start w:val="1"/>
      <w:numFmt w:val="bullet"/>
      <w:lvlText w:val=""/>
      <w:lvlJc w:val="left"/>
      <w:pPr>
        <w:ind w:left="644" w:hanging="360"/>
      </w:pPr>
      <w:rPr>
        <w:rFonts w:ascii="Wingdings" w:hAnsi="Wingding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6" w15:restartNumberingAfterBreak="0">
    <w:nsid w:val="60A31742"/>
    <w:multiLevelType w:val="hybridMultilevel"/>
    <w:tmpl w:val="5A283180"/>
    <w:lvl w:ilvl="0" w:tplc="0324F750">
      <w:start w:val="1"/>
      <w:numFmt w:val="decimal"/>
      <w:lvlText w:val="%1."/>
      <w:lvlJc w:val="left"/>
      <w:pPr>
        <w:ind w:left="36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7" w15:restartNumberingAfterBreak="0">
    <w:nsid w:val="610138C6"/>
    <w:multiLevelType w:val="multilevel"/>
    <w:tmpl w:val="94A04442"/>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8" w15:restartNumberingAfterBreak="0">
    <w:nsid w:val="622573E8"/>
    <w:multiLevelType w:val="hybridMultilevel"/>
    <w:tmpl w:val="5DBEC25A"/>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9" w15:restartNumberingAfterBreak="0">
    <w:nsid w:val="636310F9"/>
    <w:multiLevelType w:val="hybridMultilevel"/>
    <w:tmpl w:val="AF4EE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4AB41C6"/>
    <w:multiLevelType w:val="hybridMultilevel"/>
    <w:tmpl w:val="31E6D5AA"/>
    <w:lvl w:ilvl="0" w:tplc="240A000B">
      <w:start w:val="1"/>
      <w:numFmt w:val="bullet"/>
      <w:lvlText w:val=""/>
      <w:lvlJc w:val="left"/>
      <w:pPr>
        <w:ind w:left="720" w:hanging="360"/>
      </w:pPr>
      <w:rPr>
        <w:rFonts w:ascii="Wingdings" w:hAnsi="Wingding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5972F44"/>
    <w:multiLevelType w:val="hybridMultilevel"/>
    <w:tmpl w:val="16180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E1C659E"/>
    <w:multiLevelType w:val="multilevel"/>
    <w:tmpl w:val="6C1E25F4"/>
    <w:lvl w:ilvl="0">
      <w:start w:val="1"/>
      <w:numFmt w:val="decimal"/>
      <w:lvlText w:val="%1."/>
      <w:lvlJc w:val="left"/>
      <w:pPr>
        <w:ind w:left="720" w:hanging="360"/>
      </w:pPr>
      <w:rPr>
        <w:rFonts w:eastAsia="Arial" w:hint="default"/>
        <w:b/>
      </w:rPr>
    </w:lvl>
    <w:lvl w:ilvl="1">
      <w:start w:val="1"/>
      <w:numFmt w:val="decimal"/>
      <w:isLgl/>
      <w:lvlText w:val="%1.%2."/>
      <w:lvlJc w:val="left"/>
      <w:pPr>
        <w:ind w:left="1288" w:hanging="720"/>
      </w:pPr>
      <w:rPr>
        <w:rFonts w:hint="default"/>
        <w:b/>
        <w:color w:val="000000" w:themeColor="text1"/>
      </w:rPr>
    </w:lvl>
    <w:lvl w:ilvl="2">
      <w:start w:val="1"/>
      <w:numFmt w:val="decimal"/>
      <w:isLgl/>
      <w:lvlText w:val="%1.%2.%3."/>
      <w:lvlJc w:val="left"/>
      <w:pPr>
        <w:ind w:left="1713"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3" w15:restartNumberingAfterBreak="0">
    <w:nsid w:val="6E5912DD"/>
    <w:multiLevelType w:val="hybridMultilevel"/>
    <w:tmpl w:val="983A8BAC"/>
    <w:lvl w:ilvl="0" w:tplc="59B62626">
      <w:start w:val="2"/>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738F0E6B"/>
    <w:multiLevelType w:val="hybridMultilevel"/>
    <w:tmpl w:val="BBCE4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5C844B5"/>
    <w:multiLevelType w:val="multilevel"/>
    <w:tmpl w:val="28AC9934"/>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C966720"/>
    <w:multiLevelType w:val="hybridMultilevel"/>
    <w:tmpl w:val="F9E8D026"/>
    <w:lvl w:ilvl="0" w:tplc="240A000B">
      <w:start w:val="1"/>
      <w:numFmt w:val="bullet"/>
      <w:lvlText w:val=""/>
      <w:lvlJc w:val="left"/>
      <w:pPr>
        <w:ind w:left="360" w:hanging="360"/>
      </w:pPr>
      <w:rPr>
        <w:rFonts w:ascii="Wingdings" w:hAnsi="Wingding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7" w15:restartNumberingAfterBreak="0">
    <w:nsid w:val="7D4F010E"/>
    <w:multiLevelType w:val="hybridMultilevel"/>
    <w:tmpl w:val="418AD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EC63BF7"/>
    <w:multiLevelType w:val="hybridMultilevel"/>
    <w:tmpl w:val="4FDAD0E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52"/>
  </w:num>
  <w:num w:numId="3">
    <w:abstractNumId w:val="42"/>
  </w:num>
  <w:num w:numId="4">
    <w:abstractNumId w:val="24"/>
  </w:num>
  <w:num w:numId="5">
    <w:abstractNumId w:val="6"/>
  </w:num>
  <w:num w:numId="6">
    <w:abstractNumId w:val="15"/>
  </w:num>
  <w:num w:numId="7">
    <w:abstractNumId w:val="5"/>
  </w:num>
  <w:num w:numId="8">
    <w:abstractNumId w:val="38"/>
  </w:num>
  <w:num w:numId="9">
    <w:abstractNumId w:val="67"/>
  </w:num>
  <w:num w:numId="10">
    <w:abstractNumId w:val="47"/>
  </w:num>
  <w:num w:numId="11">
    <w:abstractNumId w:val="20"/>
  </w:num>
  <w:num w:numId="12">
    <w:abstractNumId w:val="62"/>
  </w:num>
  <w:num w:numId="13">
    <w:abstractNumId w:val="35"/>
  </w:num>
  <w:num w:numId="14">
    <w:abstractNumId w:val="40"/>
  </w:num>
  <w:num w:numId="15">
    <w:abstractNumId w:val="64"/>
  </w:num>
  <w:num w:numId="16">
    <w:abstractNumId w:val="45"/>
  </w:num>
  <w:num w:numId="17">
    <w:abstractNumId w:val="12"/>
  </w:num>
  <w:num w:numId="18">
    <w:abstractNumId w:val="59"/>
  </w:num>
  <w:num w:numId="19">
    <w:abstractNumId w:val="63"/>
  </w:num>
  <w:num w:numId="20">
    <w:abstractNumId w:val="30"/>
  </w:num>
  <w:num w:numId="21">
    <w:abstractNumId w:val="53"/>
  </w:num>
  <w:num w:numId="22">
    <w:abstractNumId w:val="58"/>
  </w:num>
  <w:num w:numId="23">
    <w:abstractNumId w:val="26"/>
  </w:num>
  <w:num w:numId="24">
    <w:abstractNumId w:val="8"/>
  </w:num>
  <w:num w:numId="25">
    <w:abstractNumId w:val="11"/>
  </w:num>
  <w:num w:numId="26">
    <w:abstractNumId w:val="21"/>
  </w:num>
  <w:num w:numId="27">
    <w:abstractNumId w:val="46"/>
  </w:num>
  <w:num w:numId="28">
    <w:abstractNumId w:val="3"/>
  </w:num>
  <w:num w:numId="29">
    <w:abstractNumId w:val="7"/>
  </w:num>
  <w:num w:numId="30">
    <w:abstractNumId w:val="18"/>
  </w:num>
  <w:num w:numId="31">
    <w:abstractNumId w:val="29"/>
  </w:num>
  <w:num w:numId="32">
    <w:abstractNumId w:val="44"/>
  </w:num>
  <w:num w:numId="33">
    <w:abstractNumId w:val="37"/>
  </w:num>
  <w:num w:numId="34">
    <w:abstractNumId w:val="43"/>
  </w:num>
  <w:num w:numId="35">
    <w:abstractNumId w:val="57"/>
  </w:num>
  <w:num w:numId="36">
    <w:abstractNumId w:val="56"/>
  </w:num>
  <w:num w:numId="37">
    <w:abstractNumId w:val="17"/>
  </w:num>
  <w:num w:numId="38">
    <w:abstractNumId w:val="34"/>
  </w:num>
  <w:num w:numId="39">
    <w:abstractNumId w:val="16"/>
  </w:num>
  <w:num w:numId="40">
    <w:abstractNumId w:val="49"/>
  </w:num>
  <w:num w:numId="41">
    <w:abstractNumId w:val="41"/>
  </w:num>
  <w:num w:numId="42">
    <w:abstractNumId w:val="22"/>
  </w:num>
  <w:num w:numId="43">
    <w:abstractNumId w:val="25"/>
  </w:num>
  <w:num w:numId="44">
    <w:abstractNumId w:val="68"/>
  </w:num>
  <w:num w:numId="45">
    <w:abstractNumId w:val="9"/>
  </w:num>
  <w:num w:numId="46">
    <w:abstractNumId w:val="31"/>
  </w:num>
  <w:num w:numId="47">
    <w:abstractNumId w:val="13"/>
  </w:num>
  <w:num w:numId="48">
    <w:abstractNumId w:val="23"/>
  </w:num>
  <w:num w:numId="49">
    <w:abstractNumId w:val="54"/>
  </w:num>
  <w:num w:numId="50">
    <w:abstractNumId w:val="4"/>
  </w:num>
  <w:num w:numId="51">
    <w:abstractNumId w:val="10"/>
  </w:num>
  <w:num w:numId="52">
    <w:abstractNumId w:val="14"/>
  </w:num>
  <w:num w:numId="53">
    <w:abstractNumId w:val="33"/>
  </w:num>
  <w:num w:numId="54">
    <w:abstractNumId w:val="65"/>
  </w:num>
  <w:num w:numId="55">
    <w:abstractNumId w:val="51"/>
  </w:num>
  <w:num w:numId="56">
    <w:abstractNumId w:val="1"/>
  </w:num>
  <w:num w:numId="57">
    <w:abstractNumId w:val="61"/>
  </w:num>
  <w:num w:numId="58">
    <w:abstractNumId w:val="50"/>
  </w:num>
  <w:num w:numId="59">
    <w:abstractNumId w:val="27"/>
  </w:num>
  <w:num w:numId="60">
    <w:abstractNumId w:val="39"/>
  </w:num>
  <w:num w:numId="61">
    <w:abstractNumId w:val="48"/>
  </w:num>
  <w:num w:numId="62">
    <w:abstractNumId w:val="32"/>
  </w:num>
  <w:num w:numId="63">
    <w:abstractNumId w:val="66"/>
  </w:num>
  <w:num w:numId="64">
    <w:abstractNumId w:val="2"/>
  </w:num>
  <w:num w:numId="65">
    <w:abstractNumId w:val="19"/>
  </w:num>
  <w:num w:numId="66">
    <w:abstractNumId w:val="60"/>
  </w:num>
  <w:num w:numId="67">
    <w:abstractNumId w:val="55"/>
  </w:num>
  <w:num w:numId="68">
    <w:abstractNumId w:val="28"/>
  </w:num>
  <w:num w:numId="69">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ES"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908"/>
    <w:rsid w:val="00003392"/>
    <w:rsid w:val="000134D7"/>
    <w:rsid w:val="0002281B"/>
    <w:rsid w:val="00025183"/>
    <w:rsid w:val="00033594"/>
    <w:rsid w:val="00034519"/>
    <w:rsid w:val="000359CD"/>
    <w:rsid w:val="00036F9A"/>
    <w:rsid w:val="00037C13"/>
    <w:rsid w:val="00055075"/>
    <w:rsid w:val="000551AB"/>
    <w:rsid w:val="00055F7C"/>
    <w:rsid w:val="000612BF"/>
    <w:rsid w:val="000645F0"/>
    <w:rsid w:val="000A2979"/>
    <w:rsid w:val="000A5D7D"/>
    <w:rsid w:val="000B179D"/>
    <w:rsid w:val="000B2806"/>
    <w:rsid w:val="000B3201"/>
    <w:rsid w:val="000C432D"/>
    <w:rsid w:val="000D3BA7"/>
    <w:rsid w:val="000D4084"/>
    <w:rsid w:val="000E0FA8"/>
    <w:rsid w:val="00106D5C"/>
    <w:rsid w:val="00123CD8"/>
    <w:rsid w:val="00124680"/>
    <w:rsid w:val="001362EF"/>
    <w:rsid w:val="00165C80"/>
    <w:rsid w:val="0017602D"/>
    <w:rsid w:val="00182EDF"/>
    <w:rsid w:val="00191B4F"/>
    <w:rsid w:val="00195CDA"/>
    <w:rsid w:val="001B582A"/>
    <w:rsid w:val="001B6056"/>
    <w:rsid w:val="001C75A2"/>
    <w:rsid w:val="001E6A54"/>
    <w:rsid w:val="001F24ED"/>
    <w:rsid w:val="00206A80"/>
    <w:rsid w:val="002149CF"/>
    <w:rsid w:val="0023152F"/>
    <w:rsid w:val="00232EB5"/>
    <w:rsid w:val="0024572D"/>
    <w:rsid w:val="00271E3A"/>
    <w:rsid w:val="0027339A"/>
    <w:rsid w:val="00284CAB"/>
    <w:rsid w:val="002A04AE"/>
    <w:rsid w:val="002A39A3"/>
    <w:rsid w:val="002B2F4A"/>
    <w:rsid w:val="002D3798"/>
    <w:rsid w:val="002F41CF"/>
    <w:rsid w:val="00315C11"/>
    <w:rsid w:val="00327659"/>
    <w:rsid w:val="0033558C"/>
    <w:rsid w:val="00350B93"/>
    <w:rsid w:val="00352A4D"/>
    <w:rsid w:val="003613B0"/>
    <w:rsid w:val="00361E41"/>
    <w:rsid w:val="00370FD8"/>
    <w:rsid w:val="00381C87"/>
    <w:rsid w:val="003914D2"/>
    <w:rsid w:val="003A1CBE"/>
    <w:rsid w:val="003A4FB5"/>
    <w:rsid w:val="003B208C"/>
    <w:rsid w:val="003C1D99"/>
    <w:rsid w:val="003C5B73"/>
    <w:rsid w:val="003F0E52"/>
    <w:rsid w:val="003F176B"/>
    <w:rsid w:val="003F5145"/>
    <w:rsid w:val="00402D56"/>
    <w:rsid w:val="004242A7"/>
    <w:rsid w:val="004779E8"/>
    <w:rsid w:val="00481592"/>
    <w:rsid w:val="00485284"/>
    <w:rsid w:val="004A2D6D"/>
    <w:rsid w:val="004A4BFE"/>
    <w:rsid w:val="004A6C3B"/>
    <w:rsid w:val="004B29BF"/>
    <w:rsid w:val="004C7599"/>
    <w:rsid w:val="004D0449"/>
    <w:rsid w:val="004E4B1E"/>
    <w:rsid w:val="0051729F"/>
    <w:rsid w:val="005203DF"/>
    <w:rsid w:val="005245DC"/>
    <w:rsid w:val="00535378"/>
    <w:rsid w:val="00574675"/>
    <w:rsid w:val="00576641"/>
    <w:rsid w:val="0057681C"/>
    <w:rsid w:val="005A60CE"/>
    <w:rsid w:val="005B76F4"/>
    <w:rsid w:val="005D08EE"/>
    <w:rsid w:val="005E4353"/>
    <w:rsid w:val="005E526E"/>
    <w:rsid w:val="00602A7F"/>
    <w:rsid w:val="00611489"/>
    <w:rsid w:val="006223E6"/>
    <w:rsid w:val="00624AB4"/>
    <w:rsid w:val="006437B2"/>
    <w:rsid w:val="006738BC"/>
    <w:rsid w:val="00675778"/>
    <w:rsid w:val="006A1018"/>
    <w:rsid w:val="006A3250"/>
    <w:rsid w:val="006A67B4"/>
    <w:rsid w:val="006B2A9D"/>
    <w:rsid w:val="006B5A0F"/>
    <w:rsid w:val="006B782B"/>
    <w:rsid w:val="006C2302"/>
    <w:rsid w:val="006E4DE1"/>
    <w:rsid w:val="00700E06"/>
    <w:rsid w:val="00720EA3"/>
    <w:rsid w:val="00754431"/>
    <w:rsid w:val="00760F85"/>
    <w:rsid w:val="00774384"/>
    <w:rsid w:val="0077490D"/>
    <w:rsid w:val="007A1B63"/>
    <w:rsid w:val="007A1C0E"/>
    <w:rsid w:val="007B4146"/>
    <w:rsid w:val="007B6220"/>
    <w:rsid w:val="007B73C3"/>
    <w:rsid w:val="007C0E06"/>
    <w:rsid w:val="007C4DF8"/>
    <w:rsid w:val="007D4FE6"/>
    <w:rsid w:val="007E52E9"/>
    <w:rsid w:val="00803CC6"/>
    <w:rsid w:val="008112A2"/>
    <w:rsid w:val="00817006"/>
    <w:rsid w:val="008230EB"/>
    <w:rsid w:val="00832D75"/>
    <w:rsid w:val="008531F5"/>
    <w:rsid w:val="008718D3"/>
    <w:rsid w:val="0088265C"/>
    <w:rsid w:val="008A4B8C"/>
    <w:rsid w:val="008B378D"/>
    <w:rsid w:val="008B4625"/>
    <w:rsid w:val="008B5E15"/>
    <w:rsid w:val="008C08F4"/>
    <w:rsid w:val="008C5F6D"/>
    <w:rsid w:val="008D5DA6"/>
    <w:rsid w:val="008F6E8C"/>
    <w:rsid w:val="00902D75"/>
    <w:rsid w:val="0090561A"/>
    <w:rsid w:val="00936D34"/>
    <w:rsid w:val="00953331"/>
    <w:rsid w:val="00965F03"/>
    <w:rsid w:val="00966328"/>
    <w:rsid w:val="00982053"/>
    <w:rsid w:val="009921B0"/>
    <w:rsid w:val="00992463"/>
    <w:rsid w:val="009A02CD"/>
    <w:rsid w:val="009A305C"/>
    <w:rsid w:val="009A6BF3"/>
    <w:rsid w:val="009D561B"/>
    <w:rsid w:val="009D7293"/>
    <w:rsid w:val="009E5C47"/>
    <w:rsid w:val="00A3028C"/>
    <w:rsid w:val="00A353D2"/>
    <w:rsid w:val="00A45803"/>
    <w:rsid w:val="00A87800"/>
    <w:rsid w:val="00AB5F40"/>
    <w:rsid w:val="00AC2BFA"/>
    <w:rsid w:val="00AD63CB"/>
    <w:rsid w:val="00B00584"/>
    <w:rsid w:val="00B03366"/>
    <w:rsid w:val="00B25FAD"/>
    <w:rsid w:val="00B316A8"/>
    <w:rsid w:val="00B33CF7"/>
    <w:rsid w:val="00B33FC1"/>
    <w:rsid w:val="00B6251B"/>
    <w:rsid w:val="00B759F7"/>
    <w:rsid w:val="00BC00A0"/>
    <w:rsid w:val="00BC1C03"/>
    <w:rsid w:val="00BD29F2"/>
    <w:rsid w:val="00BD589E"/>
    <w:rsid w:val="00BE14D1"/>
    <w:rsid w:val="00BF0F07"/>
    <w:rsid w:val="00C015D8"/>
    <w:rsid w:val="00C02282"/>
    <w:rsid w:val="00C06BC9"/>
    <w:rsid w:val="00C1555F"/>
    <w:rsid w:val="00C15C80"/>
    <w:rsid w:val="00C20FD6"/>
    <w:rsid w:val="00C243CC"/>
    <w:rsid w:val="00C43FCE"/>
    <w:rsid w:val="00C60EC6"/>
    <w:rsid w:val="00C70D2D"/>
    <w:rsid w:val="00C7469E"/>
    <w:rsid w:val="00C810A6"/>
    <w:rsid w:val="00C8362C"/>
    <w:rsid w:val="00CB679C"/>
    <w:rsid w:val="00CC5938"/>
    <w:rsid w:val="00CC62DC"/>
    <w:rsid w:val="00CD0599"/>
    <w:rsid w:val="00CD5AA1"/>
    <w:rsid w:val="00CD6908"/>
    <w:rsid w:val="00CE0467"/>
    <w:rsid w:val="00CE0FBB"/>
    <w:rsid w:val="00CF0652"/>
    <w:rsid w:val="00D07914"/>
    <w:rsid w:val="00D07B6A"/>
    <w:rsid w:val="00D10189"/>
    <w:rsid w:val="00D26CE6"/>
    <w:rsid w:val="00D33CEC"/>
    <w:rsid w:val="00D41D3A"/>
    <w:rsid w:val="00D43C28"/>
    <w:rsid w:val="00D460AB"/>
    <w:rsid w:val="00D55B09"/>
    <w:rsid w:val="00D625DE"/>
    <w:rsid w:val="00D62C16"/>
    <w:rsid w:val="00D71409"/>
    <w:rsid w:val="00D75F2D"/>
    <w:rsid w:val="00D85753"/>
    <w:rsid w:val="00D93790"/>
    <w:rsid w:val="00D97D2D"/>
    <w:rsid w:val="00DA60C6"/>
    <w:rsid w:val="00DB0A2A"/>
    <w:rsid w:val="00DB2D67"/>
    <w:rsid w:val="00DF7DF9"/>
    <w:rsid w:val="00E071DB"/>
    <w:rsid w:val="00E073C1"/>
    <w:rsid w:val="00E24439"/>
    <w:rsid w:val="00E344BB"/>
    <w:rsid w:val="00E5260C"/>
    <w:rsid w:val="00E73A81"/>
    <w:rsid w:val="00E84C6B"/>
    <w:rsid w:val="00E856A5"/>
    <w:rsid w:val="00E93203"/>
    <w:rsid w:val="00E95757"/>
    <w:rsid w:val="00EB5F42"/>
    <w:rsid w:val="00ED0ACD"/>
    <w:rsid w:val="00EE118A"/>
    <w:rsid w:val="00EF684A"/>
    <w:rsid w:val="00F01441"/>
    <w:rsid w:val="00F15BFE"/>
    <w:rsid w:val="00F24A4E"/>
    <w:rsid w:val="00F42BE2"/>
    <w:rsid w:val="00F43728"/>
    <w:rsid w:val="00F50B09"/>
    <w:rsid w:val="00F53114"/>
    <w:rsid w:val="00F55996"/>
    <w:rsid w:val="00F57370"/>
    <w:rsid w:val="00F604EC"/>
    <w:rsid w:val="00F77263"/>
    <w:rsid w:val="00F806E2"/>
    <w:rsid w:val="00F87B51"/>
    <w:rsid w:val="00FA2F9C"/>
    <w:rsid w:val="00FC1414"/>
    <w:rsid w:val="00FC4515"/>
    <w:rsid w:val="00FE1111"/>
    <w:rsid w:val="00FE4D8A"/>
    <w:rsid w:val="00FF77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A202B7"/>
  <w15:docId w15:val="{E3267B70-8437-4B70-B1EF-94C168AB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282"/>
  </w:style>
  <w:style w:type="paragraph" w:styleId="Ttulo1">
    <w:name w:val="heading 1"/>
    <w:basedOn w:val="Normal"/>
    <w:next w:val="Normal"/>
    <w:link w:val="Ttulo1Car"/>
    <w:uiPriority w:val="9"/>
    <w:qFormat/>
    <w:rsid w:val="00350B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022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0228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C0228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908"/>
  </w:style>
  <w:style w:type="paragraph" w:styleId="Piedepgina">
    <w:name w:val="footer"/>
    <w:basedOn w:val="Normal"/>
    <w:link w:val="PiedepginaCar"/>
    <w:uiPriority w:val="99"/>
    <w:unhideWhenUsed/>
    <w:rsid w:val="00CD69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908"/>
  </w:style>
  <w:style w:type="paragraph" w:styleId="NormalWeb">
    <w:name w:val="Normal (Web)"/>
    <w:basedOn w:val="Normal"/>
    <w:uiPriority w:val="99"/>
    <w:unhideWhenUsed/>
    <w:qFormat/>
    <w:rsid w:val="00CD6908"/>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deglobo">
    <w:name w:val="Balloon Text"/>
    <w:basedOn w:val="Normal"/>
    <w:link w:val="TextodegloboCar"/>
    <w:uiPriority w:val="99"/>
    <w:unhideWhenUsed/>
    <w:rsid w:val="00871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8718D3"/>
    <w:rPr>
      <w:rFonts w:ascii="Tahoma" w:hAnsi="Tahoma" w:cs="Tahoma"/>
      <w:sz w:val="16"/>
      <w:szCs w:val="16"/>
    </w:rPr>
  </w:style>
  <w:style w:type="table" w:styleId="Tablaconcuadrcula">
    <w:name w:val="Table Grid"/>
    <w:basedOn w:val="Tablanormal"/>
    <w:uiPriority w:val="59"/>
    <w:rsid w:val="00BD5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BD58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BD589E"/>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aliases w:val="TABLA DE CONTENIDO 3,bt,body text,body tesx,contents,Subsection Body Text"/>
    <w:basedOn w:val="Normal"/>
    <w:link w:val="TextoindependienteCar"/>
    <w:rsid w:val="0000339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aliases w:val="TABLA DE CONTENIDO 3 Car,bt Car,body text Car,body tesx Car,contents Car,Subsection Body Text Car"/>
    <w:basedOn w:val="Fuentedeprrafopredeter"/>
    <w:link w:val="Textoindependiente"/>
    <w:rsid w:val="00003392"/>
    <w:rPr>
      <w:rFonts w:ascii="Arial" w:eastAsia="Times New Roman" w:hAnsi="Arial" w:cs="Times New Roman"/>
      <w:sz w:val="24"/>
      <w:szCs w:val="20"/>
      <w:lang w:val="es-ES_tradnl" w:eastAsia="es-ES"/>
    </w:rPr>
  </w:style>
  <w:style w:type="paragraph" w:styleId="Prrafodelista">
    <w:name w:val="List Paragraph"/>
    <w:aliases w:val="Bullet List,FooterText,List Paragraph1,numbered,Paragraphe de liste1,Bulletr List Paragraph,Foot,列出段落,列出段落1,List Paragraph2,List Paragraph21,Párrafo de lista1,Parágrafo da Lista1,リスト段落1,Listeafsnit1,Bolita,List Paragraph,HOJA,BOLA,Guión"/>
    <w:basedOn w:val="Normal"/>
    <w:link w:val="PrrafodelistaCar"/>
    <w:uiPriority w:val="34"/>
    <w:qFormat/>
    <w:rsid w:val="00003392"/>
    <w:pPr>
      <w:ind w:left="708"/>
    </w:pPr>
    <w:rPr>
      <w:rFonts w:ascii="Arial" w:eastAsia="Arial" w:hAnsi="Arial" w:cs="Times New Roman"/>
    </w:rPr>
  </w:style>
  <w:style w:type="character" w:customStyle="1" w:styleId="Ttulo1Car">
    <w:name w:val="Título 1 Car"/>
    <w:basedOn w:val="Fuentedeprrafopredeter"/>
    <w:link w:val="Ttulo1"/>
    <w:uiPriority w:val="9"/>
    <w:rsid w:val="00350B93"/>
    <w:rPr>
      <w:rFonts w:asciiTheme="majorHAnsi" w:eastAsiaTheme="majorEastAsia" w:hAnsiTheme="majorHAnsi" w:cstheme="majorBidi"/>
      <w:color w:val="365F91" w:themeColor="accent1" w:themeShade="BF"/>
      <w:sz w:val="32"/>
      <w:szCs w:val="32"/>
    </w:rPr>
  </w:style>
  <w:style w:type="paragraph" w:styleId="Listaconvietas2">
    <w:name w:val="List Bullet 2"/>
    <w:basedOn w:val="Normal"/>
    <w:uiPriority w:val="99"/>
    <w:unhideWhenUsed/>
    <w:rsid w:val="00350B93"/>
    <w:pPr>
      <w:numPr>
        <w:numId w:val="1"/>
      </w:numPr>
      <w:contextualSpacing/>
    </w:pPr>
  </w:style>
  <w:style w:type="paragraph" w:styleId="Firma">
    <w:name w:val="Signature"/>
    <w:basedOn w:val="Normal"/>
    <w:link w:val="FirmaCar"/>
    <w:uiPriority w:val="99"/>
    <w:unhideWhenUsed/>
    <w:rsid w:val="00350B93"/>
    <w:pPr>
      <w:spacing w:after="0" w:line="240" w:lineRule="auto"/>
      <w:ind w:left="4252"/>
    </w:pPr>
  </w:style>
  <w:style w:type="character" w:customStyle="1" w:styleId="FirmaCar">
    <w:name w:val="Firma Car"/>
    <w:basedOn w:val="Fuentedeprrafopredeter"/>
    <w:link w:val="Firma"/>
    <w:uiPriority w:val="99"/>
    <w:rsid w:val="00350B93"/>
  </w:style>
  <w:style w:type="paragraph" w:styleId="Sangradetextonormal">
    <w:name w:val="Body Text Indent"/>
    <w:basedOn w:val="Normal"/>
    <w:link w:val="SangradetextonormalCar"/>
    <w:uiPriority w:val="99"/>
    <w:unhideWhenUsed/>
    <w:rsid w:val="00350B93"/>
    <w:pPr>
      <w:spacing w:after="120"/>
      <w:ind w:left="283"/>
    </w:pPr>
  </w:style>
  <w:style w:type="character" w:customStyle="1" w:styleId="SangradetextonormalCar">
    <w:name w:val="Sangría de texto normal Car"/>
    <w:basedOn w:val="Fuentedeprrafopredeter"/>
    <w:link w:val="Sangradetextonormal"/>
    <w:uiPriority w:val="99"/>
    <w:rsid w:val="00350B93"/>
  </w:style>
  <w:style w:type="paragraph" w:styleId="Textoindependienteprimerasangra">
    <w:name w:val="Body Text First Indent"/>
    <w:basedOn w:val="Textoindependiente"/>
    <w:link w:val="TextoindependienteprimerasangraCar"/>
    <w:uiPriority w:val="99"/>
    <w:unhideWhenUsed/>
    <w:rsid w:val="00350B93"/>
    <w:pPr>
      <w:spacing w:after="200" w:line="276" w:lineRule="auto"/>
      <w:ind w:firstLine="360"/>
      <w:jc w:val="left"/>
    </w:pPr>
    <w:rPr>
      <w:rFonts w:asciiTheme="minorHAnsi" w:eastAsiaTheme="minorHAnsi" w:hAnsiTheme="minorHAnsi" w:cstheme="minorBidi"/>
      <w:sz w:val="22"/>
      <w:szCs w:val="22"/>
      <w:lang w:val="es-CO" w:eastAsia="en-US"/>
    </w:rPr>
  </w:style>
  <w:style w:type="character" w:customStyle="1" w:styleId="TextoindependienteprimerasangraCar">
    <w:name w:val="Texto independiente primera sangría Car"/>
    <w:basedOn w:val="TextoindependienteCar"/>
    <w:link w:val="Textoindependienteprimerasangra"/>
    <w:uiPriority w:val="99"/>
    <w:rsid w:val="00350B93"/>
    <w:rPr>
      <w:rFonts w:ascii="Arial" w:eastAsia="Times New Roman" w:hAnsi="Arial" w:cs="Times New Roman"/>
      <w:sz w:val="24"/>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350B9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50B93"/>
  </w:style>
  <w:style w:type="character" w:styleId="Hipervnculo">
    <w:name w:val="Hyperlink"/>
    <w:basedOn w:val="Fuentedeprrafopredeter"/>
    <w:uiPriority w:val="99"/>
    <w:unhideWhenUsed/>
    <w:rsid w:val="00350B93"/>
    <w:rPr>
      <w:color w:val="0000FF" w:themeColor="hyperlink"/>
      <w:u w:val="single"/>
    </w:rPr>
  </w:style>
  <w:style w:type="character" w:customStyle="1" w:styleId="Ttulo2Car">
    <w:name w:val="Título 2 Car"/>
    <w:basedOn w:val="Fuentedeprrafopredeter"/>
    <w:link w:val="Ttulo2"/>
    <w:uiPriority w:val="9"/>
    <w:rsid w:val="00C0228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C0228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C02282"/>
    <w:rPr>
      <w:rFonts w:asciiTheme="majorHAnsi" w:eastAsiaTheme="majorEastAsia" w:hAnsiTheme="majorHAnsi" w:cstheme="majorBidi"/>
      <w:color w:val="365F91" w:themeColor="accent1" w:themeShade="BF"/>
    </w:rPr>
  </w:style>
  <w:style w:type="table" w:customStyle="1" w:styleId="Tabladecuadrcula1clara1">
    <w:name w:val="Tabla de cuadrícula 1 clara1"/>
    <w:basedOn w:val="Tablanormal"/>
    <w:uiPriority w:val="46"/>
    <w:rsid w:val="00C0228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C02282"/>
  </w:style>
  <w:style w:type="paragraph" w:customStyle="1" w:styleId="Cuadrculamediana2-nfasis11">
    <w:name w:val="Cuadrícula mediana 2 - Énfasis 11"/>
    <w:uiPriority w:val="1"/>
    <w:qFormat/>
    <w:rsid w:val="00C02282"/>
    <w:pPr>
      <w:spacing w:after="0" w:line="240" w:lineRule="auto"/>
    </w:pPr>
    <w:rPr>
      <w:rFonts w:ascii="Arial" w:eastAsia="Arial" w:hAnsi="Arial" w:cs="Times New Roman"/>
    </w:rPr>
  </w:style>
  <w:style w:type="paragraph" w:styleId="Sinespaciado">
    <w:name w:val="No Spacing"/>
    <w:link w:val="SinespaciadoCar"/>
    <w:uiPriority w:val="1"/>
    <w:qFormat/>
    <w:rsid w:val="00C02282"/>
    <w:pPr>
      <w:spacing w:after="0" w:line="240" w:lineRule="auto"/>
    </w:pPr>
    <w:rPr>
      <w:rFonts w:ascii="Calibri" w:eastAsia="Calibri" w:hAnsi="Calibri" w:cs="Times New Roman"/>
    </w:rPr>
  </w:style>
  <w:style w:type="character" w:customStyle="1" w:styleId="descriptionid32424771siteid978">
    <w:name w:val="descriptionid32424771siteid978"/>
    <w:basedOn w:val="Fuentedeprrafopredeter"/>
    <w:rsid w:val="00C02282"/>
  </w:style>
  <w:style w:type="paragraph" w:customStyle="1" w:styleId="contenido">
    <w:name w:val="contenido"/>
    <w:basedOn w:val="Normal"/>
    <w:link w:val="contenidoCar"/>
    <w:qFormat/>
    <w:rsid w:val="00C02282"/>
    <w:pPr>
      <w:spacing w:after="80"/>
      <w:ind w:left="-11"/>
      <w:jc w:val="both"/>
    </w:pPr>
    <w:rPr>
      <w:rFonts w:eastAsia="Calibri" w:cs="Times New Roman"/>
    </w:rPr>
  </w:style>
  <w:style w:type="character" w:customStyle="1" w:styleId="contenidoCar">
    <w:name w:val="contenido Car"/>
    <w:link w:val="contenido"/>
    <w:rsid w:val="00C02282"/>
    <w:rPr>
      <w:rFonts w:eastAsia="Calibri" w:cs="Times New Roman"/>
    </w:rPr>
  </w:style>
  <w:style w:type="paragraph" w:styleId="Textoindependiente3">
    <w:name w:val="Body Text 3"/>
    <w:basedOn w:val="Normal"/>
    <w:link w:val="Textoindependiente3Car"/>
    <w:uiPriority w:val="99"/>
    <w:unhideWhenUsed/>
    <w:rsid w:val="00C02282"/>
    <w:pPr>
      <w:spacing w:after="120" w:line="240" w:lineRule="auto"/>
    </w:pPr>
    <w:rPr>
      <w:rFonts w:ascii="CG Times" w:eastAsia="Times New Roman" w:hAnsi="CG Times"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C02282"/>
    <w:rPr>
      <w:rFonts w:ascii="CG Times" w:eastAsia="Times New Roman" w:hAnsi="CG Times" w:cs="Times New Roman"/>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C02282"/>
    <w:pPr>
      <w:pBdr>
        <w:bottom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PrincipiodelformularioCar">
    <w:name w:val="z-Principio del formulario Car"/>
    <w:basedOn w:val="Fuentedeprrafopredeter"/>
    <w:link w:val="z-Principiodelformulario"/>
    <w:uiPriority w:val="99"/>
    <w:semiHidden/>
    <w:rsid w:val="00C02282"/>
    <w:rPr>
      <w:rFonts w:ascii="Arial" w:eastAsia="Times New Roman" w:hAnsi="Arial" w:cs="Arial"/>
      <w:vanish/>
      <w:sz w:val="16"/>
      <w:szCs w:val="16"/>
      <w:lang w:eastAsia="es-CO"/>
    </w:rPr>
  </w:style>
  <w:style w:type="paragraph" w:styleId="z-Finaldelformulario">
    <w:name w:val="HTML Bottom of Form"/>
    <w:basedOn w:val="Normal"/>
    <w:next w:val="Normal"/>
    <w:link w:val="z-FinaldelformularioCar"/>
    <w:hidden/>
    <w:uiPriority w:val="99"/>
    <w:semiHidden/>
    <w:unhideWhenUsed/>
    <w:rsid w:val="00C02282"/>
    <w:pPr>
      <w:pBdr>
        <w:top w:val="single" w:sz="6" w:space="1" w:color="auto"/>
      </w:pBdr>
      <w:spacing w:after="0" w:line="240" w:lineRule="auto"/>
      <w:jc w:val="center"/>
    </w:pPr>
    <w:rPr>
      <w:rFonts w:ascii="Arial" w:eastAsia="Times New Roman" w:hAnsi="Arial" w:cs="Arial"/>
      <w:vanish/>
      <w:sz w:val="16"/>
      <w:szCs w:val="16"/>
      <w:lang w:eastAsia="es-CO"/>
    </w:rPr>
  </w:style>
  <w:style w:type="character" w:customStyle="1" w:styleId="z-FinaldelformularioCar">
    <w:name w:val="z-Final del formulario Car"/>
    <w:basedOn w:val="Fuentedeprrafopredeter"/>
    <w:link w:val="z-Finaldelformulario"/>
    <w:uiPriority w:val="99"/>
    <w:semiHidden/>
    <w:rsid w:val="00C02282"/>
    <w:rPr>
      <w:rFonts w:ascii="Arial" w:eastAsia="Times New Roman" w:hAnsi="Arial" w:cs="Arial"/>
      <w:vanish/>
      <w:sz w:val="16"/>
      <w:szCs w:val="16"/>
      <w:lang w:eastAsia="es-CO"/>
    </w:rPr>
  </w:style>
  <w:style w:type="character" w:customStyle="1" w:styleId="titulo">
    <w:name w:val="titulo"/>
    <w:basedOn w:val="Fuentedeprrafopredeter"/>
    <w:rsid w:val="00C02282"/>
  </w:style>
  <w:style w:type="character" w:customStyle="1" w:styleId="titpeqazul">
    <w:name w:val="tit_peq_azul"/>
    <w:basedOn w:val="Fuentedeprrafopredeter"/>
    <w:rsid w:val="00C02282"/>
  </w:style>
  <w:style w:type="character" w:styleId="Refdecomentario">
    <w:name w:val="annotation reference"/>
    <w:basedOn w:val="Fuentedeprrafopredeter"/>
    <w:uiPriority w:val="99"/>
    <w:semiHidden/>
    <w:unhideWhenUsed/>
    <w:rsid w:val="00C02282"/>
    <w:rPr>
      <w:sz w:val="16"/>
      <w:szCs w:val="16"/>
    </w:rPr>
  </w:style>
  <w:style w:type="paragraph" w:styleId="Textocomentario">
    <w:name w:val="annotation text"/>
    <w:basedOn w:val="Normal"/>
    <w:link w:val="TextocomentarioCar"/>
    <w:uiPriority w:val="99"/>
    <w:unhideWhenUsed/>
    <w:rsid w:val="00C02282"/>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C02282"/>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C02282"/>
    <w:rPr>
      <w:b/>
      <w:bCs/>
    </w:rPr>
  </w:style>
  <w:style w:type="character" w:customStyle="1" w:styleId="AsuntodelcomentarioCar">
    <w:name w:val="Asunto del comentario Car"/>
    <w:basedOn w:val="TextocomentarioCar"/>
    <w:link w:val="Asuntodelcomentario"/>
    <w:uiPriority w:val="99"/>
    <w:rsid w:val="00C02282"/>
    <w:rPr>
      <w:rFonts w:ascii="Calibri" w:eastAsia="Calibri" w:hAnsi="Calibri" w:cs="Times New Roman"/>
      <w:b/>
      <w:bCs/>
      <w:sz w:val="20"/>
      <w:szCs w:val="20"/>
    </w:rPr>
  </w:style>
  <w:style w:type="paragraph" w:styleId="Revisin">
    <w:name w:val="Revision"/>
    <w:hidden/>
    <w:uiPriority w:val="99"/>
    <w:semiHidden/>
    <w:rsid w:val="00C02282"/>
    <w:pPr>
      <w:spacing w:after="0" w:line="240" w:lineRule="auto"/>
    </w:pPr>
    <w:rPr>
      <w:rFonts w:ascii="Calibri" w:eastAsia="Calibri" w:hAnsi="Calibri" w:cs="Times New Roman"/>
    </w:rPr>
  </w:style>
  <w:style w:type="paragraph" w:customStyle="1" w:styleId="WW-Contenidodelatabla">
    <w:name w:val="WW-Contenido de la tabla"/>
    <w:basedOn w:val="Textoindependiente"/>
    <w:rsid w:val="00C02282"/>
    <w:pPr>
      <w:widowControl w:val="0"/>
      <w:suppressLineNumbers/>
      <w:suppressAutoHyphens/>
      <w:spacing w:after="120"/>
      <w:jc w:val="left"/>
    </w:pPr>
    <w:rPr>
      <w:rFonts w:ascii="Times New Roman" w:eastAsia="Arial Unicode MS" w:hAnsi="Times New Roman"/>
      <w:szCs w:val="24"/>
      <w:lang w:eastAsia="es-ES_tradnl"/>
    </w:rPr>
  </w:style>
  <w:style w:type="paragraph" w:customStyle="1" w:styleId="textocontenidogeneral">
    <w:name w:val="texto_contenido_general"/>
    <w:basedOn w:val="Normal"/>
    <w:rsid w:val="00C02282"/>
    <w:pPr>
      <w:spacing w:before="100" w:beforeAutospacing="1" w:after="100" w:afterAutospacing="1" w:line="240" w:lineRule="auto"/>
    </w:pPr>
    <w:rPr>
      <w:rFonts w:ascii="Arial" w:eastAsia="Times New Roman" w:hAnsi="Arial" w:cs="Arial"/>
      <w:color w:val="666666"/>
      <w:sz w:val="20"/>
      <w:szCs w:val="20"/>
      <w:lang w:val="es-ES" w:eastAsia="es-ES"/>
    </w:rPr>
  </w:style>
  <w:style w:type="paragraph" w:styleId="Descripcin">
    <w:name w:val="caption"/>
    <w:basedOn w:val="Normal"/>
    <w:next w:val="Normal"/>
    <w:uiPriority w:val="35"/>
    <w:unhideWhenUsed/>
    <w:qFormat/>
    <w:rsid w:val="00C02282"/>
    <w:pPr>
      <w:spacing w:line="240" w:lineRule="auto"/>
    </w:pPr>
    <w:rPr>
      <w:rFonts w:ascii="Times New Roman" w:eastAsia="Times New Roman" w:hAnsi="Times New Roman" w:cs="Times New Roman"/>
      <w:i/>
      <w:iCs/>
      <w:color w:val="1F497D" w:themeColor="text2"/>
      <w:sz w:val="18"/>
      <w:szCs w:val="18"/>
      <w:lang w:val="es-ES" w:eastAsia="es-ES"/>
    </w:rPr>
  </w:style>
  <w:style w:type="table" w:customStyle="1" w:styleId="Tabladelista1clara1">
    <w:name w:val="Tabla de lista 1 clara1"/>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List Paragraph1 Car,numbered Car,Paragraphe de liste1 Car,Bulletr List Paragraph Car,Foot Car,列出段落 Car,列出段落1 Car,List Paragraph2 Car,List Paragraph21 Car,Párrafo de lista1 Car,Parágrafo da Lista1 Car"/>
    <w:link w:val="Prrafodelista"/>
    <w:uiPriority w:val="34"/>
    <w:rsid w:val="00C02282"/>
    <w:rPr>
      <w:rFonts w:ascii="Arial" w:eastAsia="Arial" w:hAnsi="Arial" w:cs="Times New Roman"/>
    </w:rPr>
  </w:style>
  <w:style w:type="paragraph" w:customStyle="1" w:styleId="Estilo1">
    <w:name w:val="Estilo1"/>
    <w:basedOn w:val="Normal"/>
    <w:rsid w:val="00C02282"/>
    <w:pPr>
      <w:autoSpaceDN w:val="0"/>
      <w:spacing w:after="0" w:line="240" w:lineRule="auto"/>
    </w:pPr>
    <w:rPr>
      <w:rFonts w:ascii="Arial" w:hAnsi="Arial" w:cs="Arial"/>
      <w:sz w:val="20"/>
      <w:szCs w:val="20"/>
      <w:lang w:eastAsia="es-ES"/>
    </w:rPr>
  </w:style>
  <w:style w:type="character" w:customStyle="1" w:styleId="Fuentedeprrafopredeter1">
    <w:name w:val="Fuente de párrafo predeter.1"/>
    <w:rsid w:val="00C02282"/>
  </w:style>
  <w:style w:type="table" w:customStyle="1" w:styleId="Tabladelista1clara2">
    <w:name w:val="Tabla de lista 1 clara2"/>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59"/>
    <w:rsid w:val="00C02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texto de nota al pie,fn,footnote text"/>
    <w:basedOn w:val="Normal"/>
    <w:link w:val="TextonotapieCar"/>
    <w:uiPriority w:val="99"/>
    <w:rsid w:val="00C02282"/>
    <w:pPr>
      <w:suppressAutoHyphens/>
      <w:autoSpaceDN w:val="0"/>
      <w:spacing w:after="0" w:line="240" w:lineRule="auto"/>
      <w:textAlignment w:val="baseline"/>
    </w:pPr>
    <w:rPr>
      <w:rFonts w:ascii="Courier New" w:eastAsia="Times New Roman" w:hAnsi="Courier New" w:cs="Times New Roman"/>
      <w:b/>
      <w:szCs w:val="20"/>
      <w:lang w:val="es-ES" w:eastAsia="es-ES"/>
    </w:rPr>
  </w:style>
  <w:style w:type="character" w:customStyle="1" w:styleId="TextonotapieCar">
    <w:name w:val="Texto nota pie Car"/>
    <w:aliases w:val="texto de nota al pie Car,fn Car,footnote text Car"/>
    <w:basedOn w:val="Fuentedeprrafopredeter"/>
    <w:link w:val="Textonotapie"/>
    <w:uiPriority w:val="99"/>
    <w:rsid w:val="00C02282"/>
    <w:rPr>
      <w:rFonts w:ascii="Courier New" w:eastAsia="Times New Roman" w:hAnsi="Courier New" w:cs="Times New Roman"/>
      <w:b/>
      <w:szCs w:val="20"/>
      <w:lang w:val="es-ES" w:eastAsia="es-ES"/>
    </w:rPr>
  </w:style>
  <w:style w:type="character" w:styleId="Refdenotaalpie">
    <w:name w:val="footnote reference"/>
    <w:uiPriority w:val="99"/>
    <w:semiHidden/>
    <w:unhideWhenUsed/>
    <w:rsid w:val="00C02282"/>
    <w:rPr>
      <w:vertAlign w:val="superscript"/>
    </w:rPr>
  </w:style>
  <w:style w:type="character" w:customStyle="1" w:styleId="SinespaciadoCar">
    <w:name w:val="Sin espaciado Car"/>
    <w:link w:val="Sinespaciado"/>
    <w:uiPriority w:val="1"/>
    <w:rsid w:val="00C02282"/>
    <w:rPr>
      <w:rFonts w:ascii="Calibri" w:eastAsia="Calibri" w:hAnsi="Calibri" w:cs="Times New Roman"/>
    </w:rPr>
  </w:style>
  <w:style w:type="character" w:customStyle="1" w:styleId="DefaultCar">
    <w:name w:val="Default Car"/>
    <w:link w:val="Default"/>
    <w:locked/>
    <w:rsid w:val="00C02282"/>
    <w:rPr>
      <w:rFonts w:ascii="Arial" w:hAnsi="Arial" w:cs="Arial"/>
      <w:color w:val="000000"/>
      <w:sz w:val="24"/>
      <w:szCs w:val="24"/>
    </w:rPr>
  </w:style>
  <w:style w:type="paragraph" w:customStyle="1" w:styleId="Default">
    <w:name w:val="Default"/>
    <w:link w:val="DefaultCar"/>
    <w:qFormat/>
    <w:rsid w:val="00C02282"/>
    <w:pPr>
      <w:autoSpaceDE w:val="0"/>
      <w:autoSpaceDN w:val="0"/>
      <w:adjustRightInd w:val="0"/>
      <w:spacing w:after="0" w:line="240" w:lineRule="auto"/>
    </w:pPr>
    <w:rPr>
      <w:rFonts w:ascii="Arial" w:hAnsi="Arial" w:cs="Arial"/>
      <w:color w:val="000000"/>
      <w:sz w:val="24"/>
      <w:szCs w:val="24"/>
    </w:rPr>
  </w:style>
  <w:style w:type="table" w:customStyle="1" w:styleId="Tabladelista1clara3">
    <w:name w:val="Tabla de lista 1 clara3"/>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2">
    <w:name w:val="Body Text 2"/>
    <w:basedOn w:val="Normal"/>
    <w:link w:val="Textoindependiente2Car"/>
    <w:uiPriority w:val="99"/>
    <w:unhideWhenUsed/>
    <w:rsid w:val="00C02282"/>
    <w:pPr>
      <w:widowControl w:val="0"/>
      <w:suppressAutoHyphens/>
      <w:spacing w:after="120" w:line="480" w:lineRule="auto"/>
    </w:pPr>
    <w:rPr>
      <w:rFonts w:ascii="Times New Roman" w:eastAsia="Arial Unicode MS" w:hAnsi="Times New Roman" w:cs="Times New Roman"/>
      <w:sz w:val="24"/>
      <w:szCs w:val="24"/>
      <w:lang w:val="es-ES_tradnl" w:eastAsia="ar-SA"/>
    </w:rPr>
  </w:style>
  <w:style w:type="character" w:customStyle="1" w:styleId="Textoindependiente2Car">
    <w:name w:val="Texto independiente 2 Car"/>
    <w:basedOn w:val="Fuentedeprrafopredeter"/>
    <w:link w:val="Textoindependiente2"/>
    <w:uiPriority w:val="99"/>
    <w:rsid w:val="00C02282"/>
    <w:rPr>
      <w:rFonts w:ascii="Times New Roman" w:eastAsia="Arial Unicode MS" w:hAnsi="Times New Roman" w:cs="Times New Roman"/>
      <w:sz w:val="24"/>
      <w:szCs w:val="24"/>
      <w:lang w:val="es-ES_tradnl" w:eastAsia="ar-SA"/>
    </w:rPr>
  </w:style>
  <w:style w:type="paragraph" w:styleId="HTMLconformatoprevio">
    <w:name w:val="HTML Preformatted"/>
    <w:basedOn w:val="Normal"/>
    <w:link w:val="HTMLconformatoprevioCar"/>
    <w:uiPriority w:val="99"/>
    <w:rsid w:val="00C02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ar-SA"/>
    </w:rPr>
  </w:style>
  <w:style w:type="character" w:customStyle="1" w:styleId="HTMLconformatoprevioCar">
    <w:name w:val="HTML con formato previo Car"/>
    <w:basedOn w:val="Fuentedeprrafopredeter"/>
    <w:link w:val="HTMLconformatoprevio"/>
    <w:uiPriority w:val="99"/>
    <w:rsid w:val="00C02282"/>
    <w:rPr>
      <w:rFonts w:ascii="Courier New" w:eastAsia="Times New Roman" w:hAnsi="Courier New" w:cs="Courier New"/>
      <w:sz w:val="20"/>
      <w:szCs w:val="20"/>
      <w:lang w:val="es-ES" w:eastAsia="ar-SA"/>
    </w:rPr>
  </w:style>
  <w:style w:type="table" w:customStyle="1" w:styleId="Tabladelista1clara11">
    <w:name w:val="Tabla de lista 1 clara11"/>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ontinuarlista">
    <w:name w:val="List Continue"/>
    <w:basedOn w:val="Normal"/>
    <w:uiPriority w:val="99"/>
    <w:unhideWhenUsed/>
    <w:rsid w:val="00C02282"/>
    <w:pPr>
      <w:suppressAutoHyphens/>
      <w:autoSpaceDN w:val="0"/>
      <w:spacing w:after="120" w:line="240" w:lineRule="auto"/>
      <w:ind w:left="283"/>
      <w:contextualSpacing/>
      <w:textAlignment w:val="baseline"/>
    </w:pPr>
    <w:rPr>
      <w:rFonts w:ascii="Times New Roman" w:eastAsia="Times New Roman" w:hAnsi="Times New Roman" w:cs="Times New Roman"/>
      <w:sz w:val="24"/>
      <w:szCs w:val="24"/>
      <w:lang w:val="es-ES" w:eastAsia="es-ES"/>
    </w:rPr>
  </w:style>
  <w:style w:type="table" w:customStyle="1" w:styleId="Tabladecuadrcula1clara-nfasis11">
    <w:name w:val="Tabla de cuadrícula 1 clara - Énfasis 11"/>
    <w:basedOn w:val="Tablanormal"/>
    <w:uiPriority w:val="46"/>
    <w:rsid w:val="00C0228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C0228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C022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Encabezamientoizquierdo">
    <w:name w:val="Encabezamiento izquierdo"/>
    <w:basedOn w:val="Normal"/>
    <w:rsid w:val="00C02282"/>
    <w:pPr>
      <w:widowControl w:val="0"/>
      <w:suppressLineNumbers/>
      <w:tabs>
        <w:tab w:val="center" w:pos="4818"/>
        <w:tab w:val="right" w:pos="9637"/>
      </w:tabs>
      <w:suppressAutoHyphens/>
      <w:spacing w:after="0" w:line="240" w:lineRule="auto"/>
    </w:pPr>
    <w:rPr>
      <w:rFonts w:ascii="Times New Roman" w:eastAsia="Arial Unicode MS" w:hAnsi="Times New Roman" w:cs="Times New Roman"/>
      <w:sz w:val="24"/>
      <w:szCs w:val="24"/>
      <w:lang w:val="es-ES_tradnl" w:eastAsia="es-ES_tradnl"/>
    </w:rPr>
  </w:style>
  <w:style w:type="table" w:customStyle="1" w:styleId="Tabladelista1clara12">
    <w:name w:val="Tabla de lista 1 clara12"/>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13">
    <w:name w:val="Tabla de lista 1 clara13"/>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14">
    <w:name w:val="Tabla de lista 1 clara14"/>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next w:val="Tablaconcuadrcula"/>
    <w:uiPriority w:val="39"/>
    <w:rsid w:val="00C02282"/>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C02282"/>
    <w:pPr>
      <w:widowControl w:val="0"/>
      <w:suppressAutoHyphens/>
      <w:autoSpaceDN w:val="0"/>
      <w:spacing w:after="120" w:line="240" w:lineRule="auto"/>
      <w:textAlignment w:val="baseline"/>
    </w:pPr>
    <w:rPr>
      <w:rFonts w:ascii="Arial" w:eastAsia="Arial Unicode MS" w:hAnsi="Arial" w:cs="Arial"/>
      <w:kern w:val="3"/>
      <w:lang w:val="es-ES" w:eastAsia="es-CO"/>
    </w:rPr>
  </w:style>
  <w:style w:type="table" w:customStyle="1" w:styleId="Tabladelista1clara15">
    <w:name w:val="Tabla de lista 1 clara15"/>
    <w:basedOn w:val="Tablanormal"/>
    <w:uiPriority w:val="46"/>
    <w:rsid w:val="00C02282"/>
    <w:pPr>
      <w:spacing w:after="0" w:line="240" w:lineRule="auto"/>
    </w:p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nfasis1">
    <w:name w:val="Light List Accent 1"/>
    <w:basedOn w:val="Tablanormal"/>
    <w:uiPriority w:val="61"/>
    <w:rsid w:val="00C022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
    <w:name w:val="Lista clara - Énfasis 11"/>
    <w:basedOn w:val="Tablanormal"/>
    <w:next w:val="Listaclara-nfasis1"/>
    <w:uiPriority w:val="61"/>
    <w:rsid w:val="00C022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next w:val="Listaclara-nfasis1"/>
    <w:uiPriority w:val="61"/>
    <w:rsid w:val="00C022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nfasissutil">
    <w:name w:val="Subtle Emphasis"/>
    <w:basedOn w:val="Fuentedeprrafopredeter"/>
    <w:uiPriority w:val="19"/>
    <w:qFormat/>
    <w:rsid w:val="00C02282"/>
    <w:rPr>
      <w:rFonts w:asciiTheme="minorHAnsi" w:hAnsiTheme="minorHAnsi"/>
      <w:i/>
      <w:sz w:val="23"/>
    </w:rPr>
  </w:style>
  <w:style w:type="table" w:customStyle="1" w:styleId="Tablanormal11">
    <w:name w:val="Tabla normal 11"/>
    <w:basedOn w:val="Tablanormal"/>
    <w:uiPriority w:val="41"/>
    <w:rsid w:val="00C02282"/>
    <w:pPr>
      <w:spacing w:after="0" w:line="240" w:lineRule="auto"/>
    </w:pPr>
    <w:rPr>
      <w:rFonts w:ascii="Calibri" w:eastAsia="Times New Roman" w:hAnsi="Calibri" w:cs="Calibri"/>
      <w:color w:val="000000"/>
      <w:sz w:val="19"/>
      <w:szCs w:val="19"/>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0">
    <w:name w:val="estilo1"/>
    <w:basedOn w:val="Normal"/>
    <w:rsid w:val="00C02282"/>
    <w:pPr>
      <w:autoSpaceDN w:val="0"/>
      <w:spacing w:before="100" w:after="100" w:line="240" w:lineRule="auto"/>
    </w:pPr>
    <w:rPr>
      <w:rFonts w:ascii="Times New Roman" w:eastAsia="Times New Roman" w:hAnsi="Times New Roman" w:cs="Times New Roman"/>
      <w:sz w:val="24"/>
      <w:szCs w:val="24"/>
      <w:lang w:eastAsia="es-CO"/>
    </w:rPr>
  </w:style>
  <w:style w:type="table" w:customStyle="1" w:styleId="Tabladecuadrcula1clara2">
    <w:name w:val="Tabla de cuadrícula 1 clara2"/>
    <w:basedOn w:val="Tablanormal"/>
    <w:uiPriority w:val="46"/>
    <w:rsid w:val="00C02282"/>
    <w:pPr>
      <w:spacing w:after="0" w:line="240" w:lineRule="auto"/>
    </w:pPr>
    <w:rPr>
      <w:rFonts w:ascii="Calibri" w:eastAsia="Times New Roman" w:hAnsi="Calibri" w:cs="Calibri"/>
      <w:color w:val="000000"/>
      <w:sz w:val="19"/>
      <w:szCs w:val="19"/>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2">
    <w:name w:val="Tabla normal 12"/>
    <w:basedOn w:val="Tablanormal"/>
    <w:uiPriority w:val="41"/>
    <w:rsid w:val="00C02282"/>
    <w:pPr>
      <w:spacing w:after="0" w:line="240" w:lineRule="auto"/>
    </w:pPr>
    <w:rPr>
      <w:rFonts w:ascii="Calibri" w:eastAsia="Times New Roman" w:hAnsi="Calibri" w:cs="Calibri"/>
      <w:color w:val="000000"/>
      <w:sz w:val="19"/>
      <w:szCs w:val="19"/>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ubheader">
    <w:name w:val="subheader"/>
    <w:basedOn w:val="Fuentedeprrafopredeter"/>
    <w:rsid w:val="00C02282"/>
  </w:style>
  <w:style w:type="character" w:customStyle="1" w:styleId="WW-Absatz-Standardschriftart1">
    <w:name w:val="WW-Absatz-Standardschriftart1"/>
    <w:rsid w:val="00C02282"/>
  </w:style>
  <w:style w:type="paragraph" w:styleId="TDC1">
    <w:name w:val="toc 1"/>
    <w:basedOn w:val="Normal"/>
    <w:next w:val="Normal"/>
    <w:autoRedefine/>
    <w:uiPriority w:val="39"/>
    <w:unhideWhenUsed/>
    <w:qFormat/>
    <w:rsid w:val="00C02282"/>
    <w:pPr>
      <w:spacing w:after="100"/>
    </w:pPr>
  </w:style>
  <w:style w:type="paragraph" w:styleId="TtuloTDC">
    <w:name w:val="TOC Heading"/>
    <w:basedOn w:val="Ttulo1"/>
    <w:next w:val="Normal"/>
    <w:uiPriority w:val="39"/>
    <w:unhideWhenUsed/>
    <w:qFormat/>
    <w:rsid w:val="00C02282"/>
    <w:pPr>
      <w:spacing w:line="259" w:lineRule="auto"/>
      <w:outlineLvl w:val="9"/>
    </w:pPr>
    <w:rPr>
      <w:lang w:eastAsia="es-CO"/>
    </w:rPr>
  </w:style>
  <w:style w:type="paragraph" w:styleId="TDC2">
    <w:name w:val="toc 2"/>
    <w:basedOn w:val="Normal"/>
    <w:next w:val="Normal"/>
    <w:autoRedefine/>
    <w:uiPriority w:val="39"/>
    <w:unhideWhenUsed/>
    <w:qFormat/>
    <w:rsid w:val="00C02282"/>
    <w:pPr>
      <w:spacing w:after="100" w:line="259" w:lineRule="auto"/>
      <w:ind w:left="220"/>
    </w:pPr>
    <w:rPr>
      <w:rFonts w:eastAsiaTheme="minorEastAsia" w:cs="Times New Roman"/>
      <w:lang w:eastAsia="es-CO"/>
    </w:rPr>
  </w:style>
  <w:style w:type="paragraph" w:styleId="TDC3">
    <w:name w:val="toc 3"/>
    <w:basedOn w:val="Normal"/>
    <w:next w:val="Normal"/>
    <w:autoRedefine/>
    <w:uiPriority w:val="39"/>
    <w:unhideWhenUsed/>
    <w:qFormat/>
    <w:rsid w:val="00C02282"/>
    <w:pPr>
      <w:spacing w:after="100" w:line="259" w:lineRule="auto"/>
      <w:ind w:left="440"/>
    </w:pPr>
    <w:rPr>
      <w:rFonts w:eastAsiaTheme="minorEastAsia" w:cs="Times New Roman"/>
      <w:lang w:eastAsia="es-CO"/>
    </w:rPr>
  </w:style>
  <w:style w:type="paragraph" w:styleId="Subttulo">
    <w:name w:val="Subtitle"/>
    <w:basedOn w:val="Normal"/>
    <w:next w:val="Normal"/>
    <w:link w:val="SubttuloCar"/>
    <w:uiPriority w:val="11"/>
    <w:qFormat/>
    <w:rsid w:val="00C02282"/>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02282"/>
    <w:rPr>
      <w:rFonts w:eastAsiaTheme="minorEastAsia"/>
      <w:color w:val="5A5A5A" w:themeColor="text1" w:themeTint="A5"/>
      <w:spacing w:val="15"/>
    </w:rPr>
  </w:style>
  <w:style w:type="paragraph" w:styleId="Tabladeilustraciones">
    <w:name w:val="table of figures"/>
    <w:basedOn w:val="Normal"/>
    <w:next w:val="Normal"/>
    <w:uiPriority w:val="99"/>
    <w:unhideWhenUsed/>
    <w:rsid w:val="00C02282"/>
    <w:pPr>
      <w:spacing w:after="0"/>
    </w:pPr>
  </w:style>
  <w:style w:type="table" w:customStyle="1" w:styleId="TableNormal">
    <w:name w:val="Table Normal"/>
    <w:uiPriority w:val="59"/>
    <w:rsid w:val="00C02282"/>
    <w:pPr>
      <w:spacing w:after="0" w:line="240" w:lineRule="auto"/>
    </w:pPr>
    <w:rPr>
      <w:rFonts w:ascii="Calibri" w:eastAsia="Times New Roman" w:hAnsi="Calibri" w:cs="Calibri"/>
      <w:color w:val="000000"/>
      <w:sz w:val="19"/>
      <w:szCs w:val="19"/>
      <w:lang w:eastAsia="es-CO"/>
    </w:rPr>
    <w:tblPr>
      <w:tblCellMar>
        <w:top w:w="0" w:type="dxa"/>
        <w:left w:w="75" w:type="dxa"/>
        <w:bottom w:w="0" w:type="dxa"/>
        <w:right w:w="75" w:type="dxa"/>
      </w:tblCellMar>
    </w:tblPr>
  </w:style>
  <w:style w:type="paragraph" w:customStyle="1" w:styleId="Standard">
    <w:name w:val="Standard"/>
    <w:rsid w:val="00C02282"/>
    <w:pPr>
      <w:spacing w:after="0" w:line="240" w:lineRule="auto"/>
    </w:pPr>
    <w:rPr>
      <w:rFonts w:ascii="Times New Roman" w:eastAsia="Times New Roman" w:hAnsi="Times New Roman" w:cs="Times New Roman"/>
      <w:color w:val="000000"/>
      <w:sz w:val="19"/>
      <w:szCs w:val="19"/>
      <w:lang w:eastAsia="es-CO"/>
    </w:rPr>
  </w:style>
  <w:style w:type="character" w:customStyle="1" w:styleId="Fuentedeprrafopredeter0">
    <w:name w:val="Fuente de párrafo predeter"/>
    <w:rsid w:val="00C02282"/>
  </w:style>
  <w:style w:type="character" w:styleId="Nmerodepgina">
    <w:name w:val="page number"/>
    <w:rsid w:val="00C02282"/>
  </w:style>
  <w:style w:type="paragraph" w:customStyle="1" w:styleId="Heading">
    <w:name w:val="Heading"/>
    <w:basedOn w:val="Normal"/>
    <w:rsid w:val="00C02282"/>
    <w:pPr>
      <w:tabs>
        <w:tab w:val="center" w:pos="4252"/>
        <w:tab w:val="right" w:pos="8504"/>
      </w:tabs>
      <w:suppressAutoHyphens/>
      <w:autoSpaceDN w:val="0"/>
      <w:spacing w:after="0" w:line="240" w:lineRule="auto"/>
      <w:textAlignment w:val="baseline"/>
    </w:pPr>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
    <w:name w:val="Car Car Car Car Car Car Car Car Car Car Car Car Car Car Car Car Car Car Car Car Car Car Car"/>
    <w:basedOn w:val="Normal"/>
    <w:rsid w:val="00C02282"/>
    <w:pPr>
      <w:suppressAutoHyphens/>
      <w:autoSpaceDN w:val="0"/>
      <w:spacing w:after="160" w:line="240" w:lineRule="exact"/>
      <w:textAlignment w:val="baseline"/>
    </w:pPr>
    <w:rPr>
      <w:rFonts w:ascii="Verdana" w:eastAsia="Times New Roman" w:hAnsi="Verdana" w:cs="Times New Roman"/>
      <w:sz w:val="20"/>
      <w:szCs w:val="20"/>
      <w:lang w:val="en-US"/>
    </w:rPr>
  </w:style>
  <w:style w:type="paragraph" w:customStyle="1" w:styleId="CharChar1">
    <w:name w:val="Char Char1"/>
    <w:basedOn w:val="Normal"/>
    <w:rsid w:val="00C02282"/>
    <w:pPr>
      <w:suppressAutoHyphens/>
      <w:autoSpaceDN w:val="0"/>
      <w:spacing w:after="160" w:line="240" w:lineRule="exact"/>
      <w:textAlignment w:val="baseline"/>
    </w:pPr>
    <w:rPr>
      <w:rFonts w:ascii="Verdana" w:eastAsia="Times New Roman" w:hAnsi="Verdana" w:cs="Times New Roman"/>
      <w:sz w:val="20"/>
      <w:szCs w:val="20"/>
      <w:lang w:val="en-US"/>
    </w:rPr>
  </w:style>
  <w:style w:type="paragraph" w:styleId="Textosinformato">
    <w:name w:val="Plain Text"/>
    <w:basedOn w:val="Normal"/>
    <w:link w:val="TextosinformatoCar"/>
    <w:rsid w:val="00C02282"/>
    <w:pPr>
      <w:suppressAutoHyphens/>
      <w:autoSpaceDN w:val="0"/>
      <w:spacing w:after="0" w:line="240" w:lineRule="auto"/>
      <w:textAlignment w:val="baseline"/>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02282"/>
    <w:rPr>
      <w:rFonts w:ascii="Courier New" w:eastAsia="Times New Roman" w:hAnsi="Courier New" w:cs="Courier New"/>
      <w:sz w:val="20"/>
      <w:szCs w:val="20"/>
      <w:lang w:val="es-ES" w:eastAsia="es-ES"/>
    </w:rPr>
  </w:style>
  <w:style w:type="paragraph" w:styleId="Continuarlista4">
    <w:name w:val="List Continue 4"/>
    <w:basedOn w:val="Normal"/>
    <w:rsid w:val="00C02282"/>
    <w:pPr>
      <w:suppressAutoHyphens/>
      <w:autoSpaceDN w:val="0"/>
      <w:spacing w:after="120" w:line="240" w:lineRule="auto"/>
      <w:ind w:left="1132"/>
      <w:textAlignment w:val="baseline"/>
    </w:pPr>
    <w:rPr>
      <w:rFonts w:ascii="Tahoma" w:eastAsia="Times New Roman" w:hAnsi="Tahoma" w:cs="Tahoma"/>
      <w:bCs/>
      <w:sz w:val="24"/>
      <w:szCs w:val="24"/>
      <w:lang w:eastAsia="es-ES"/>
    </w:rPr>
  </w:style>
  <w:style w:type="paragraph" w:customStyle="1" w:styleId="ecmsonormal">
    <w:name w:val="ec_msonormal"/>
    <w:basedOn w:val="Normal"/>
    <w:rsid w:val="00C02282"/>
    <w:pPr>
      <w:suppressAutoHyphens/>
      <w:autoSpaceDN w:val="0"/>
      <w:spacing w:after="324" w:line="240" w:lineRule="auto"/>
      <w:textAlignment w:val="baseline"/>
    </w:pPr>
    <w:rPr>
      <w:rFonts w:ascii="Times New Roman" w:eastAsia="Times New Roman" w:hAnsi="Times New Roman" w:cs="Times New Roman"/>
      <w:sz w:val="24"/>
      <w:szCs w:val="24"/>
      <w:lang w:val="es-ES" w:eastAsia="es-ES"/>
    </w:rPr>
  </w:style>
  <w:style w:type="paragraph" w:customStyle="1" w:styleId="Titulo1">
    <w:name w:val="Titulo 1"/>
    <w:basedOn w:val="Normal"/>
    <w:rsid w:val="00C02282"/>
    <w:pPr>
      <w:numPr>
        <w:numId w:val="7"/>
      </w:numPr>
      <w:suppressAutoHyphens/>
      <w:autoSpaceDN w:val="0"/>
      <w:jc w:val="both"/>
      <w:textAlignment w:val="baseline"/>
    </w:pPr>
    <w:rPr>
      <w:rFonts w:ascii="Calibri" w:eastAsia="Calibri" w:hAnsi="Calibri" w:cs="Times New Roman"/>
      <w:b/>
    </w:rPr>
  </w:style>
  <w:style w:type="character" w:customStyle="1" w:styleId="Refdenotaalpie0">
    <w:name w:val="Ref.de nota al pie"/>
    <w:rsid w:val="00C02282"/>
    <w:rPr>
      <w:position w:val="0"/>
      <w:vertAlign w:val="superscript"/>
    </w:rPr>
  </w:style>
  <w:style w:type="character" w:styleId="nfasis">
    <w:name w:val="Emphasis"/>
    <w:rsid w:val="00C02282"/>
    <w:rPr>
      <w:i/>
      <w:iCs/>
    </w:rPr>
  </w:style>
  <w:style w:type="character" w:customStyle="1" w:styleId="Refdecomentario0">
    <w:name w:val="Ref.de comentario"/>
    <w:rsid w:val="00C02282"/>
    <w:rPr>
      <w:sz w:val="16"/>
      <w:szCs w:val="16"/>
    </w:rPr>
  </w:style>
  <w:style w:type="character" w:customStyle="1" w:styleId="Titulo1Car">
    <w:name w:val="Titulo 1 Car"/>
    <w:rsid w:val="00C02282"/>
    <w:rPr>
      <w:rFonts w:ascii="Calibri" w:eastAsia="Calibri" w:hAnsi="Calibri"/>
      <w:b/>
      <w:sz w:val="22"/>
      <w:szCs w:val="22"/>
      <w:lang w:val="es-CO" w:eastAsia="en-US"/>
    </w:rPr>
  </w:style>
  <w:style w:type="character" w:customStyle="1" w:styleId="Internetlink">
    <w:name w:val="Internet link"/>
    <w:rsid w:val="00C02282"/>
    <w:rPr>
      <w:color w:val="000080"/>
      <w:u w:val="single"/>
    </w:rPr>
  </w:style>
  <w:style w:type="character" w:customStyle="1" w:styleId="FootnoteSymbol">
    <w:name w:val="Footnote Symbol"/>
    <w:rsid w:val="00C02282"/>
  </w:style>
  <w:style w:type="character" w:customStyle="1" w:styleId="PiedepginaCar1">
    <w:name w:val="Pie de página Car1"/>
    <w:rsid w:val="00C02282"/>
    <w:rPr>
      <w:sz w:val="24"/>
      <w:szCs w:val="24"/>
    </w:rPr>
  </w:style>
  <w:style w:type="numbering" w:customStyle="1" w:styleId="LFO45">
    <w:name w:val="LFO45"/>
    <w:basedOn w:val="Sinlista"/>
    <w:rsid w:val="00C02282"/>
    <w:pPr>
      <w:numPr>
        <w:numId w:val="7"/>
      </w:numPr>
    </w:pPr>
  </w:style>
  <w:style w:type="numbering" w:customStyle="1" w:styleId="Sinlista11">
    <w:name w:val="Sin lista11"/>
    <w:next w:val="Sinlista"/>
    <w:uiPriority w:val="99"/>
    <w:semiHidden/>
    <w:unhideWhenUsed/>
    <w:rsid w:val="00C02282"/>
  </w:style>
  <w:style w:type="paragraph" w:customStyle="1" w:styleId="TablaBoris">
    <w:name w:val="Tabla Boris"/>
    <w:basedOn w:val="Normal"/>
    <w:rsid w:val="00C02282"/>
    <w:pPr>
      <w:suppressAutoHyphens/>
      <w:autoSpaceDN w:val="0"/>
      <w:spacing w:before="60" w:after="60" w:line="240" w:lineRule="auto"/>
      <w:textAlignment w:val="baseline"/>
    </w:pPr>
    <w:rPr>
      <w:rFonts w:ascii="Calibri" w:eastAsia="Times New Roman" w:hAnsi="Calibri" w:cs="Times New Roman"/>
      <w:sz w:val="18"/>
      <w:szCs w:val="24"/>
      <w:lang w:val="es-ES" w:eastAsia="es-ES"/>
    </w:rPr>
  </w:style>
  <w:style w:type="paragraph" w:customStyle="1" w:styleId="CM2">
    <w:name w:val="CM2"/>
    <w:basedOn w:val="Default"/>
    <w:next w:val="Default"/>
    <w:rsid w:val="00C02282"/>
    <w:pPr>
      <w:adjustRightInd/>
    </w:pPr>
    <w:rPr>
      <w:rFonts w:eastAsia="Times New Roman"/>
      <w:color w:val="auto"/>
      <w:lang w:eastAsia="es-CO"/>
    </w:rPr>
  </w:style>
  <w:style w:type="character" w:customStyle="1" w:styleId="ms-rtefontface-1">
    <w:name w:val="ms-rtefontface-1"/>
    <w:rsid w:val="00C02282"/>
  </w:style>
  <w:style w:type="character" w:styleId="Textoennegrita">
    <w:name w:val="Strong"/>
    <w:uiPriority w:val="22"/>
    <w:qFormat/>
    <w:rsid w:val="00C02282"/>
    <w:rPr>
      <w:b/>
      <w:bCs/>
    </w:rPr>
  </w:style>
  <w:style w:type="paragraph" w:styleId="Sangra3detindependiente">
    <w:name w:val="Body Text Indent 3"/>
    <w:basedOn w:val="Normal"/>
    <w:link w:val="Sangra3detindependienteCar"/>
    <w:uiPriority w:val="99"/>
    <w:semiHidden/>
    <w:unhideWhenUsed/>
    <w:rsid w:val="00C02282"/>
    <w:pPr>
      <w:spacing w:after="120"/>
      <w:ind w:left="283"/>
    </w:pPr>
    <w:rPr>
      <w:rFonts w:ascii="Calibri" w:eastAsia="Times New Roman" w:hAnsi="Calibri" w:cs="Times New Roman"/>
      <w:sz w:val="16"/>
      <w:szCs w:val="16"/>
      <w:lang w:eastAsia="es-CO"/>
    </w:rPr>
  </w:style>
  <w:style w:type="character" w:customStyle="1" w:styleId="Sangra3detindependienteCar">
    <w:name w:val="Sangría 3 de t. independiente Car"/>
    <w:basedOn w:val="Fuentedeprrafopredeter"/>
    <w:link w:val="Sangra3detindependiente"/>
    <w:uiPriority w:val="99"/>
    <w:semiHidden/>
    <w:rsid w:val="00C02282"/>
    <w:rPr>
      <w:rFonts w:ascii="Calibri" w:eastAsia="Times New Roman" w:hAnsi="Calibri" w:cs="Times New Roman"/>
      <w:sz w:val="16"/>
      <w:szCs w:val="16"/>
      <w:lang w:eastAsia="es-CO"/>
    </w:rPr>
  </w:style>
  <w:style w:type="character" w:styleId="Referenciaintensa">
    <w:name w:val="Intense Reference"/>
    <w:uiPriority w:val="32"/>
    <w:qFormat/>
    <w:rsid w:val="00C02282"/>
    <w:rPr>
      <w:b/>
      <w:bCs/>
      <w:smallCaps/>
      <w:color w:val="C0504D"/>
      <w:spacing w:val="5"/>
      <w:u w:val="single"/>
    </w:rPr>
  </w:style>
  <w:style w:type="table" w:customStyle="1" w:styleId="Tablanormal13">
    <w:name w:val="Tabla normal 13"/>
    <w:basedOn w:val="Tablanormal"/>
    <w:uiPriority w:val="41"/>
    <w:rsid w:val="00C02282"/>
    <w:pPr>
      <w:spacing w:after="0" w:line="240" w:lineRule="auto"/>
    </w:pPr>
    <w:rPr>
      <w:rFonts w:ascii="Calibri" w:eastAsia="Times New Roman" w:hAnsi="Calibri" w:cs="Calibri"/>
      <w:color w:val="000000"/>
      <w:sz w:val="19"/>
      <w:szCs w:val="19"/>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3">
    <w:name w:val="Tabla de cuadrícula 1 clara3"/>
    <w:basedOn w:val="Tablanormal"/>
    <w:uiPriority w:val="46"/>
    <w:rsid w:val="00C02282"/>
    <w:pPr>
      <w:spacing w:after="0" w:line="240" w:lineRule="auto"/>
    </w:pPr>
    <w:rPr>
      <w:rFonts w:ascii="Calibri" w:eastAsia="Times New Roman" w:hAnsi="Calibri" w:cs="Calibri"/>
      <w:color w:val="000000"/>
      <w:sz w:val="19"/>
      <w:szCs w:val="19"/>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C02282"/>
    <w:pPr>
      <w:spacing w:after="100"/>
      <w:ind w:left="660"/>
    </w:pPr>
    <w:rPr>
      <w:rFonts w:eastAsiaTheme="minorEastAsia"/>
      <w:lang w:eastAsia="es-CO"/>
    </w:rPr>
  </w:style>
  <w:style w:type="paragraph" w:styleId="TDC5">
    <w:name w:val="toc 5"/>
    <w:basedOn w:val="Normal"/>
    <w:next w:val="Normal"/>
    <w:autoRedefine/>
    <w:uiPriority w:val="39"/>
    <w:unhideWhenUsed/>
    <w:rsid w:val="00C02282"/>
    <w:pPr>
      <w:spacing w:after="100"/>
      <w:ind w:left="880"/>
    </w:pPr>
    <w:rPr>
      <w:rFonts w:eastAsiaTheme="minorEastAsia"/>
      <w:lang w:eastAsia="es-CO"/>
    </w:rPr>
  </w:style>
  <w:style w:type="paragraph" w:styleId="TDC6">
    <w:name w:val="toc 6"/>
    <w:basedOn w:val="Normal"/>
    <w:next w:val="Normal"/>
    <w:autoRedefine/>
    <w:uiPriority w:val="39"/>
    <w:unhideWhenUsed/>
    <w:rsid w:val="00C02282"/>
    <w:pPr>
      <w:spacing w:after="100"/>
      <w:ind w:left="1100"/>
    </w:pPr>
    <w:rPr>
      <w:rFonts w:eastAsiaTheme="minorEastAsia"/>
      <w:lang w:eastAsia="es-CO"/>
    </w:rPr>
  </w:style>
  <w:style w:type="paragraph" w:styleId="TDC7">
    <w:name w:val="toc 7"/>
    <w:basedOn w:val="Normal"/>
    <w:next w:val="Normal"/>
    <w:autoRedefine/>
    <w:uiPriority w:val="39"/>
    <w:unhideWhenUsed/>
    <w:rsid w:val="00C02282"/>
    <w:pPr>
      <w:spacing w:after="100"/>
      <w:ind w:left="1320"/>
    </w:pPr>
    <w:rPr>
      <w:rFonts w:eastAsiaTheme="minorEastAsia"/>
      <w:lang w:eastAsia="es-CO"/>
    </w:rPr>
  </w:style>
  <w:style w:type="paragraph" w:styleId="TDC8">
    <w:name w:val="toc 8"/>
    <w:basedOn w:val="Normal"/>
    <w:next w:val="Normal"/>
    <w:autoRedefine/>
    <w:uiPriority w:val="39"/>
    <w:unhideWhenUsed/>
    <w:rsid w:val="00C02282"/>
    <w:pPr>
      <w:spacing w:after="100"/>
      <w:ind w:left="1540"/>
    </w:pPr>
    <w:rPr>
      <w:rFonts w:eastAsiaTheme="minorEastAsia"/>
      <w:lang w:eastAsia="es-CO"/>
    </w:rPr>
  </w:style>
  <w:style w:type="paragraph" w:styleId="TDC9">
    <w:name w:val="toc 9"/>
    <w:basedOn w:val="Normal"/>
    <w:next w:val="Normal"/>
    <w:autoRedefine/>
    <w:uiPriority w:val="39"/>
    <w:unhideWhenUsed/>
    <w:rsid w:val="00C02282"/>
    <w:pPr>
      <w:spacing w:after="100"/>
      <w:ind w:left="1760"/>
    </w:pPr>
    <w:rPr>
      <w:rFonts w:eastAsiaTheme="minorEastAsia"/>
      <w:lang w:eastAsia="es-CO"/>
    </w:rPr>
  </w:style>
  <w:style w:type="table" w:customStyle="1" w:styleId="Tabladecuadrcula1clara4">
    <w:name w:val="Tabla de cuadrícula 1 clara4"/>
    <w:basedOn w:val="Tablanormal"/>
    <w:uiPriority w:val="46"/>
    <w:rsid w:val="00123CD8"/>
    <w:pPr>
      <w:spacing w:after="0" w:line="240" w:lineRule="auto"/>
    </w:pPr>
    <w:rPr>
      <w:rFonts w:ascii="Calibri" w:eastAsia="Times New Roman" w:hAnsi="Calibri" w:cs="Calibri"/>
      <w:color w:val="000000"/>
      <w:sz w:val="19"/>
      <w:szCs w:val="19"/>
      <w:lang w:eastAsia="es-CO"/>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14">
    <w:name w:val="Tabla normal 14"/>
    <w:basedOn w:val="Tablanormal"/>
    <w:uiPriority w:val="41"/>
    <w:rsid w:val="00123CD8"/>
    <w:pPr>
      <w:spacing w:after="0" w:line="240" w:lineRule="auto"/>
    </w:pPr>
    <w:rPr>
      <w:rFonts w:ascii="Calibri" w:eastAsia="Times New Roman" w:hAnsi="Calibri" w:cs="Calibri"/>
      <w:color w:val="000000"/>
      <w:sz w:val="19"/>
      <w:szCs w:val="19"/>
      <w:lang w:eastAsia="es-CO"/>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8318213416379073911m7735347144948819683m-3074868710556714411m7902939941877142309gmail-m-824229206186899089gmail-il">
    <w:name w:val="m_8318213416379073911m_7735347144948819683m-3074868710556714411m7902939941877142309gmail-m-824229206186899089gmail-il"/>
    <w:basedOn w:val="Fuentedeprrafopredeter"/>
    <w:rsid w:val="00CD5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2981">
      <w:bodyDiv w:val="1"/>
      <w:marLeft w:val="0"/>
      <w:marRight w:val="0"/>
      <w:marTop w:val="0"/>
      <w:marBottom w:val="0"/>
      <w:divBdr>
        <w:top w:val="none" w:sz="0" w:space="0" w:color="auto"/>
        <w:left w:val="none" w:sz="0" w:space="0" w:color="auto"/>
        <w:bottom w:val="none" w:sz="0" w:space="0" w:color="auto"/>
        <w:right w:val="none" w:sz="0" w:space="0" w:color="auto"/>
      </w:divBdr>
    </w:div>
    <w:div w:id="51777199">
      <w:bodyDiv w:val="1"/>
      <w:marLeft w:val="0"/>
      <w:marRight w:val="0"/>
      <w:marTop w:val="0"/>
      <w:marBottom w:val="0"/>
      <w:divBdr>
        <w:top w:val="none" w:sz="0" w:space="0" w:color="auto"/>
        <w:left w:val="none" w:sz="0" w:space="0" w:color="auto"/>
        <w:bottom w:val="none" w:sz="0" w:space="0" w:color="auto"/>
        <w:right w:val="none" w:sz="0" w:space="0" w:color="auto"/>
      </w:divBdr>
    </w:div>
    <w:div w:id="80421030">
      <w:bodyDiv w:val="1"/>
      <w:marLeft w:val="0"/>
      <w:marRight w:val="0"/>
      <w:marTop w:val="0"/>
      <w:marBottom w:val="0"/>
      <w:divBdr>
        <w:top w:val="none" w:sz="0" w:space="0" w:color="auto"/>
        <w:left w:val="none" w:sz="0" w:space="0" w:color="auto"/>
        <w:bottom w:val="none" w:sz="0" w:space="0" w:color="auto"/>
        <w:right w:val="none" w:sz="0" w:space="0" w:color="auto"/>
      </w:divBdr>
    </w:div>
    <w:div w:id="82916560">
      <w:bodyDiv w:val="1"/>
      <w:marLeft w:val="0"/>
      <w:marRight w:val="0"/>
      <w:marTop w:val="0"/>
      <w:marBottom w:val="0"/>
      <w:divBdr>
        <w:top w:val="none" w:sz="0" w:space="0" w:color="auto"/>
        <w:left w:val="none" w:sz="0" w:space="0" w:color="auto"/>
        <w:bottom w:val="none" w:sz="0" w:space="0" w:color="auto"/>
        <w:right w:val="none" w:sz="0" w:space="0" w:color="auto"/>
      </w:divBdr>
    </w:div>
    <w:div w:id="89930439">
      <w:bodyDiv w:val="1"/>
      <w:marLeft w:val="0"/>
      <w:marRight w:val="0"/>
      <w:marTop w:val="0"/>
      <w:marBottom w:val="0"/>
      <w:divBdr>
        <w:top w:val="none" w:sz="0" w:space="0" w:color="auto"/>
        <w:left w:val="none" w:sz="0" w:space="0" w:color="auto"/>
        <w:bottom w:val="none" w:sz="0" w:space="0" w:color="auto"/>
        <w:right w:val="none" w:sz="0" w:space="0" w:color="auto"/>
      </w:divBdr>
    </w:div>
    <w:div w:id="156770658">
      <w:bodyDiv w:val="1"/>
      <w:marLeft w:val="0"/>
      <w:marRight w:val="0"/>
      <w:marTop w:val="0"/>
      <w:marBottom w:val="0"/>
      <w:divBdr>
        <w:top w:val="none" w:sz="0" w:space="0" w:color="auto"/>
        <w:left w:val="none" w:sz="0" w:space="0" w:color="auto"/>
        <w:bottom w:val="none" w:sz="0" w:space="0" w:color="auto"/>
        <w:right w:val="none" w:sz="0" w:space="0" w:color="auto"/>
      </w:divBdr>
    </w:div>
    <w:div w:id="161707503">
      <w:bodyDiv w:val="1"/>
      <w:marLeft w:val="0"/>
      <w:marRight w:val="0"/>
      <w:marTop w:val="0"/>
      <w:marBottom w:val="0"/>
      <w:divBdr>
        <w:top w:val="none" w:sz="0" w:space="0" w:color="auto"/>
        <w:left w:val="none" w:sz="0" w:space="0" w:color="auto"/>
        <w:bottom w:val="none" w:sz="0" w:space="0" w:color="auto"/>
        <w:right w:val="none" w:sz="0" w:space="0" w:color="auto"/>
      </w:divBdr>
    </w:div>
    <w:div w:id="180317755">
      <w:bodyDiv w:val="1"/>
      <w:marLeft w:val="0"/>
      <w:marRight w:val="0"/>
      <w:marTop w:val="0"/>
      <w:marBottom w:val="0"/>
      <w:divBdr>
        <w:top w:val="none" w:sz="0" w:space="0" w:color="auto"/>
        <w:left w:val="none" w:sz="0" w:space="0" w:color="auto"/>
        <w:bottom w:val="none" w:sz="0" w:space="0" w:color="auto"/>
        <w:right w:val="none" w:sz="0" w:space="0" w:color="auto"/>
      </w:divBdr>
    </w:div>
    <w:div w:id="180626711">
      <w:bodyDiv w:val="1"/>
      <w:marLeft w:val="0"/>
      <w:marRight w:val="0"/>
      <w:marTop w:val="0"/>
      <w:marBottom w:val="0"/>
      <w:divBdr>
        <w:top w:val="none" w:sz="0" w:space="0" w:color="auto"/>
        <w:left w:val="none" w:sz="0" w:space="0" w:color="auto"/>
        <w:bottom w:val="none" w:sz="0" w:space="0" w:color="auto"/>
        <w:right w:val="none" w:sz="0" w:space="0" w:color="auto"/>
      </w:divBdr>
    </w:div>
    <w:div w:id="183446600">
      <w:bodyDiv w:val="1"/>
      <w:marLeft w:val="0"/>
      <w:marRight w:val="0"/>
      <w:marTop w:val="0"/>
      <w:marBottom w:val="0"/>
      <w:divBdr>
        <w:top w:val="none" w:sz="0" w:space="0" w:color="auto"/>
        <w:left w:val="none" w:sz="0" w:space="0" w:color="auto"/>
        <w:bottom w:val="none" w:sz="0" w:space="0" w:color="auto"/>
        <w:right w:val="none" w:sz="0" w:space="0" w:color="auto"/>
      </w:divBdr>
    </w:div>
    <w:div w:id="187333786">
      <w:bodyDiv w:val="1"/>
      <w:marLeft w:val="0"/>
      <w:marRight w:val="0"/>
      <w:marTop w:val="0"/>
      <w:marBottom w:val="0"/>
      <w:divBdr>
        <w:top w:val="none" w:sz="0" w:space="0" w:color="auto"/>
        <w:left w:val="none" w:sz="0" w:space="0" w:color="auto"/>
        <w:bottom w:val="none" w:sz="0" w:space="0" w:color="auto"/>
        <w:right w:val="none" w:sz="0" w:space="0" w:color="auto"/>
      </w:divBdr>
    </w:div>
    <w:div w:id="212623184">
      <w:bodyDiv w:val="1"/>
      <w:marLeft w:val="0"/>
      <w:marRight w:val="0"/>
      <w:marTop w:val="0"/>
      <w:marBottom w:val="0"/>
      <w:divBdr>
        <w:top w:val="none" w:sz="0" w:space="0" w:color="auto"/>
        <w:left w:val="none" w:sz="0" w:space="0" w:color="auto"/>
        <w:bottom w:val="none" w:sz="0" w:space="0" w:color="auto"/>
        <w:right w:val="none" w:sz="0" w:space="0" w:color="auto"/>
      </w:divBdr>
    </w:div>
    <w:div w:id="231428838">
      <w:bodyDiv w:val="1"/>
      <w:marLeft w:val="0"/>
      <w:marRight w:val="0"/>
      <w:marTop w:val="0"/>
      <w:marBottom w:val="0"/>
      <w:divBdr>
        <w:top w:val="none" w:sz="0" w:space="0" w:color="auto"/>
        <w:left w:val="none" w:sz="0" w:space="0" w:color="auto"/>
        <w:bottom w:val="none" w:sz="0" w:space="0" w:color="auto"/>
        <w:right w:val="none" w:sz="0" w:space="0" w:color="auto"/>
      </w:divBdr>
    </w:div>
    <w:div w:id="243229210">
      <w:bodyDiv w:val="1"/>
      <w:marLeft w:val="0"/>
      <w:marRight w:val="0"/>
      <w:marTop w:val="0"/>
      <w:marBottom w:val="0"/>
      <w:divBdr>
        <w:top w:val="none" w:sz="0" w:space="0" w:color="auto"/>
        <w:left w:val="none" w:sz="0" w:space="0" w:color="auto"/>
        <w:bottom w:val="none" w:sz="0" w:space="0" w:color="auto"/>
        <w:right w:val="none" w:sz="0" w:space="0" w:color="auto"/>
      </w:divBdr>
    </w:div>
    <w:div w:id="280188268">
      <w:bodyDiv w:val="1"/>
      <w:marLeft w:val="0"/>
      <w:marRight w:val="0"/>
      <w:marTop w:val="0"/>
      <w:marBottom w:val="0"/>
      <w:divBdr>
        <w:top w:val="none" w:sz="0" w:space="0" w:color="auto"/>
        <w:left w:val="none" w:sz="0" w:space="0" w:color="auto"/>
        <w:bottom w:val="none" w:sz="0" w:space="0" w:color="auto"/>
        <w:right w:val="none" w:sz="0" w:space="0" w:color="auto"/>
      </w:divBdr>
    </w:div>
    <w:div w:id="281113040">
      <w:bodyDiv w:val="1"/>
      <w:marLeft w:val="0"/>
      <w:marRight w:val="0"/>
      <w:marTop w:val="0"/>
      <w:marBottom w:val="0"/>
      <w:divBdr>
        <w:top w:val="none" w:sz="0" w:space="0" w:color="auto"/>
        <w:left w:val="none" w:sz="0" w:space="0" w:color="auto"/>
        <w:bottom w:val="none" w:sz="0" w:space="0" w:color="auto"/>
        <w:right w:val="none" w:sz="0" w:space="0" w:color="auto"/>
      </w:divBdr>
    </w:div>
    <w:div w:id="304312562">
      <w:bodyDiv w:val="1"/>
      <w:marLeft w:val="0"/>
      <w:marRight w:val="0"/>
      <w:marTop w:val="0"/>
      <w:marBottom w:val="0"/>
      <w:divBdr>
        <w:top w:val="none" w:sz="0" w:space="0" w:color="auto"/>
        <w:left w:val="none" w:sz="0" w:space="0" w:color="auto"/>
        <w:bottom w:val="none" w:sz="0" w:space="0" w:color="auto"/>
        <w:right w:val="none" w:sz="0" w:space="0" w:color="auto"/>
      </w:divBdr>
    </w:div>
    <w:div w:id="306201356">
      <w:bodyDiv w:val="1"/>
      <w:marLeft w:val="0"/>
      <w:marRight w:val="0"/>
      <w:marTop w:val="0"/>
      <w:marBottom w:val="0"/>
      <w:divBdr>
        <w:top w:val="none" w:sz="0" w:space="0" w:color="auto"/>
        <w:left w:val="none" w:sz="0" w:space="0" w:color="auto"/>
        <w:bottom w:val="none" w:sz="0" w:space="0" w:color="auto"/>
        <w:right w:val="none" w:sz="0" w:space="0" w:color="auto"/>
      </w:divBdr>
    </w:div>
    <w:div w:id="328754045">
      <w:bodyDiv w:val="1"/>
      <w:marLeft w:val="0"/>
      <w:marRight w:val="0"/>
      <w:marTop w:val="0"/>
      <w:marBottom w:val="0"/>
      <w:divBdr>
        <w:top w:val="none" w:sz="0" w:space="0" w:color="auto"/>
        <w:left w:val="none" w:sz="0" w:space="0" w:color="auto"/>
        <w:bottom w:val="none" w:sz="0" w:space="0" w:color="auto"/>
        <w:right w:val="none" w:sz="0" w:space="0" w:color="auto"/>
      </w:divBdr>
    </w:div>
    <w:div w:id="360588775">
      <w:bodyDiv w:val="1"/>
      <w:marLeft w:val="0"/>
      <w:marRight w:val="0"/>
      <w:marTop w:val="0"/>
      <w:marBottom w:val="0"/>
      <w:divBdr>
        <w:top w:val="none" w:sz="0" w:space="0" w:color="auto"/>
        <w:left w:val="none" w:sz="0" w:space="0" w:color="auto"/>
        <w:bottom w:val="none" w:sz="0" w:space="0" w:color="auto"/>
        <w:right w:val="none" w:sz="0" w:space="0" w:color="auto"/>
      </w:divBdr>
    </w:div>
    <w:div w:id="372970458">
      <w:bodyDiv w:val="1"/>
      <w:marLeft w:val="0"/>
      <w:marRight w:val="0"/>
      <w:marTop w:val="0"/>
      <w:marBottom w:val="0"/>
      <w:divBdr>
        <w:top w:val="none" w:sz="0" w:space="0" w:color="auto"/>
        <w:left w:val="none" w:sz="0" w:space="0" w:color="auto"/>
        <w:bottom w:val="none" w:sz="0" w:space="0" w:color="auto"/>
        <w:right w:val="none" w:sz="0" w:space="0" w:color="auto"/>
      </w:divBdr>
    </w:div>
    <w:div w:id="378865438">
      <w:bodyDiv w:val="1"/>
      <w:marLeft w:val="0"/>
      <w:marRight w:val="0"/>
      <w:marTop w:val="0"/>
      <w:marBottom w:val="0"/>
      <w:divBdr>
        <w:top w:val="none" w:sz="0" w:space="0" w:color="auto"/>
        <w:left w:val="none" w:sz="0" w:space="0" w:color="auto"/>
        <w:bottom w:val="none" w:sz="0" w:space="0" w:color="auto"/>
        <w:right w:val="none" w:sz="0" w:space="0" w:color="auto"/>
      </w:divBdr>
    </w:div>
    <w:div w:id="388768486">
      <w:bodyDiv w:val="1"/>
      <w:marLeft w:val="0"/>
      <w:marRight w:val="0"/>
      <w:marTop w:val="0"/>
      <w:marBottom w:val="0"/>
      <w:divBdr>
        <w:top w:val="none" w:sz="0" w:space="0" w:color="auto"/>
        <w:left w:val="none" w:sz="0" w:space="0" w:color="auto"/>
        <w:bottom w:val="none" w:sz="0" w:space="0" w:color="auto"/>
        <w:right w:val="none" w:sz="0" w:space="0" w:color="auto"/>
      </w:divBdr>
    </w:div>
    <w:div w:id="390691134">
      <w:bodyDiv w:val="1"/>
      <w:marLeft w:val="0"/>
      <w:marRight w:val="0"/>
      <w:marTop w:val="0"/>
      <w:marBottom w:val="0"/>
      <w:divBdr>
        <w:top w:val="none" w:sz="0" w:space="0" w:color="auto"/>
        <w:left w:val="none" w:sz="0" w:space="0" w:color="auto"/>
        <w:bottom w:val="none" w:sz="0" w:space="0" w:color="auto"/>
        <w:right w:val="none" w:sz="0" w:space="0" w:color="auto"/>
      </w:divBdr>
    </w:div>
    <w:div w:id="425658264">
      <w:bodyDiv w:val="1"/>
      <w:marLeft w:val="0"/>
      <w:marRight w:val="0"/>
      <w:marTop w:val="0"/>
      <w:marBottom w:val="0"/>
      <w:divBdr>
        <w:top w:val="none" w:sz="0" w:space="0" w:color="auto"/>
        <w:left w:val="none" w:sz="0" w:space="0" w:color="auto"/>
        <w:bottom w:val="none" w:sz="0" w:space="0" w:color="auto"/>
        <w:right w:val="none" w:sz="0" w:space="0" w:color="auto"/>
      </w:divBdr>
    </w:div>
    <w:div w:id="463355941">
      <w:bodyDiv w:val="1"/>
      <w:marLeft w:val="0"/>
      <w:marRight w:val="0"/>
      <w:marTop w:val="0"/>
      <w:marBottom w:val="0"/>
      <w:divBdr>
        <w:top w:val="none" w:sz="0" w:space="0" w:color="auto"/>
        <w:left w:val="none" w:sz="0" w:space="0" w:color="auto"/>
        <w:bottom w:val="none" w:sz="0" w:space="0" w:color="auto"/>
        <w:right w:val="none" w:sz="0" w:space="0" w:color="auto"/>
      </w:divBdr>
    </w:div>
    <w:div w:id="463892695">
      <w:bodyDiv w:val="1"/>
      <w:marLeft w:val="0"/>
      <w:marRight w:val="0"/>
      <w:marTop w:val="0"/>
      <w:marBottom w:val="0"/>
      <w:divBdr>
        <w:top w:val="none" w:sz="0" w:space="0" w:color="auto"/>
        <w:left w:val="none" w:sz="0" w:space="0" w:color="auto"/>
        <w:bottom w:val="none" w:sz="0" w:space="0" w:color="auto"/>
        <w:right w:val="none" w:sz="0" w:space="0" w:color="auto"/>
      </w:divBdr>
    </w:div>
    <w:div w:id="478230366">
      <w:bodyDiv w:val="1"/>
      <w:marLeft w:val="0"/>
      <w:marRight w:val="0"/>
      <w:marTop w:val="0"/>
      <w:marBottom w:val="0"/>
      <w:divBdr>
        <w:top w:val="none" w:sz="0" w:space="0" w:color="auto"/>
        <w:left w:val="none" w:sz="0" w:space="0" w:color="auto"/>
        <w:bottom w:val="none" w:sz="0" w:space="0" w:color="auto"/>
        <w:right w:val="none" w:sz="0" w:space="0" w:color="auto"/>
      </w:divBdr>
    </w:div>
    <w:div w:id="491484319">
      <w:bodyDiv w:val="1"/>
      <w:marLeft w:val="0"/>
      <w:marRight w:val="0"/>
      <w:marTop w:val="0"/>
      <w:marBottom w:val="0"/>
      <w:divBdr>
        <w:top w:val="none" w:sz="0" w:space="0" w:color="auto"/>
        <w:left w:val="none" w:sz="0" w:space="0" w:color="auto"/>
        <w:bottom w:val="none" w:sz="0" w:space="0" w:color="auto"/>
        <w:right w:val="none" w:sz="0" w:space="0" w:color="auto"/>
      </w:divBdr>
    </w:div>
    <w:div w:id="494221214">
      <w:bodyDiv w:val="1"/>
      <w:marLeft w:val="0"/>
      <w:marRight w:val="0"/>
      <w:marTop w:val="0"/>
      <w:marBottom w:val="0"/>
      <w:divBdr>
        <w:top w:val="none" w:sz="0" w:space="0" w:color="auto"/>
        <w:left w:val="none" w:sz="0" w:space="0" w:color="auto"/>
        <w:bottom w:val="none" w:sz="0" w:space="0" w:color="auto"/>
        <w:right w:val="none" w:sz="0" w:space="0" w:color="auto"/>
      </w:divBdr>
    </w:div>
    <w:div w:id="525215825">
      <w:bodyDiv w:val="1"/>
      <w:marLeft w:val="0"/>
      <w:marRight w:val="0"/>
      <w:marTop w:val="0"/>
      <w:marBottom w:val="0"/>
      <w:divBdr>
        <w:top w:val="none" w:sz="0" w:space="0" w:color="auto"/>
        <w:left w:val="none" w:sz="0" w:space="0" w:color="auto"/>
        <w:bottom w:val="none" w:sz="0" w:space="0" w:color="auto"/>
        <w:right w:val="none" w:sz="0" w:space="0" w:color="auto"/>
      </w:divBdr>
    </w:div>
    <w:div w:id="526069847">
      <w:bodyDiv w:val="1"/>
      <w:marLeft w:val="0"/>
      <w:marRight w:val="0"/>
      <w:marTop w:val="0"/>
      <w:marBottom w:val="0"/>
      <w:divBdr>
        <w:top w:val="none" w:sz="0" w:space="0" w:color="auto"/>
        <w:left w:val="none" w:sz="0" w:space="0" w:color="auto"/>
        <w:bottom w:val="none" w:sz="0" w:space="0" w:color="auto"/>
        <w:right w:val="none" w:sz="0" w:space="0" w:color="auto"/>
      </w:divBdr>
    </w:div>
    <w:div w:id="531651874">
      <w:bodyDiv w:val="1"/>
      <w:marLeft w:val="0"/>
      <w:marRight w:val="0"/>
      <w:marTop w:val="0"/>
      <w:marBottom w:val="0"/>
      <w:divBdr>
        <w:top w:val="none" w:sz="0" w:space="0" w:color="auto"/>
        <w:left w:val="none" w:sz="0" w:space="0" w:color="auto"/>
        <w:bottom w:val="none" w:sz="0" w:space="0" w:color="auto"/>
        <w:right w:val="none" w:sz="0" w:space="0" w:color="auto"/>
      </w:divBdr>
    </w:div>
    <w:div w:id="536233988">
      <w:bodyDiv w:val="1"/>
      <w:marLeft w:val="0"/>
      <w:marRight w:val="0"/>
      <w:marTop w:val="0"/>
      <w:marBottom w:val="0"/>
      <w:divBdr>
        <w:top w:val="none" w:sz="0" w:space="0" w:color="auto"/>
        <w:left w:val="none" w:sz="0" w:space="0" w:color="auto"/>
        <w:bottom w:val="none" w:sz="0" w:space="0" w:color="auto"/>
        <w:right w:val="none" w:sz="0" w:space="0" w:color="auto"/>
      </w:divBdr>
    </w:div>
    <w:div w:id="558633275">
      <w:bodyDiv w:val="1"/>
      <w:marLeft w:val="0"/>
      <w:marRight w:val="0"/>
      <w:marTop w:val="0"/>
      <w:marBottom w:val="0"/>
      <w:divBdr>
        <w:top w:val="none" w:sz="0" w:space="0" w:color="auto"/>
        <w:left w:val="none" w:sz="0" w:space="0" w:color="auto"/>
        <w:bottom w:val="none" w:sz="0" w:space="0" w:color="auto"/>
        <w:right w:val="none" w:sz="0" w:space="0" w:color="auto"/>
      </w:divBdr>
    </w:div>
    <w:div w:id="568418079">
      <w:bodyDiv w:val="1"/>
      <w:marLeft w:val="0"/>
      <w:marRight w:val="0"/>
      <w:marTop w:val="0"/>
      <w:marBottom w:val="0"/>
      <w:divBdr>
        <w:top w:val="none" w:sz="0" w:space="0" w:color="auto"/>
        <w:left w:val="none" w:sz="0" w:space="0" w:color="auto"/>
        <w:bottom w:val="none" w:sz="0" w:space="0" w:color="auto"/>
        <w:right w:val="none" w:sz="0" w:space="0" w:color="auto"/>
      </w:divBdr>
    </w:div>
    <w:div w:id="585962357">
      <w:bodyDiv w:val="1"/>
      <w:marLeft w:val="0"/>
      <w:marRight w:val="0"/>
      <w:marTop w:val="0"/>
      <w:marBottom w:val="0"/>
      <w:divBdr>
        <w:top w:val="none" w:sz="0" w:space="0" w:color="auto"/>
        <w:left w:val="none" w:sz="0" w:space="0" w:color="auto"/>
        <w:bottom w:val="none" w:sz="0" w:space="0" w:color="auto"/>
        <w:right w:val="none" w:sz="0" w:space="0" w:color="auto"/>
      </w:divBdr>
    </w:div>
    <w:div w:id="593978459">
      <w:bodyDiv w:val="1"/>
      <w:marLeft w:val="0"/>
      <w:marRight w:val="0"/>
      <w:marTop w:val="0"/>
      <w:marBottom w:val="0"/>
      <w:divBdr>
        <w:top w:val="none" w:sz="0" w:space="0" w:color="auto"/>
        <w:left w:val="none" w:sz="0" w:space="0" w:color="auto"/>
        <w:bottom w:val="none" w:sz="0" w:space="0" w:color="auto"/>
        <w:right w:val="none" w:sz="0" w:space="0" w:color="auto"/>
      </w:divBdr>
    </w:div>
    <w:div w:id="597181597">
      <w:bodyDiv w:val="1"/>
      <w:marLeft w:val="0"/>
      <w:marRight w:val="0"/>
      <w:marTop w:val="0"/>
      <w:marBottom w:val="0"/>
      <w:divBdr>
        <w:top w:val="none" w:sz="0" w:space="0" w:color="auto"/>
        <w:left w:val="none" w:sz="0" w:space="0" w:color="auto"/>
        <w:bottom w:val="none" w:sz="0" w:space="0" w:color="auto"/>
        <w:right w:val="none" w:sz="0" w:space="0" w:color="auto"/>
      </w:divBdr>
    </w:div>
    <w:div w:id="673532569">
      <w:bodyDiv w:val="1"/>
      <w:marLeft w:val="0"/>
      <w:marRight w:val="0"/>
      <w:marTop w:val="0"/>
      <w:marBottom w:val="0"/>
      <w:divBdr>
        <w:top w:val="none" w:sz="0" w:space="0" w:color="auto"/>
        <w:left w:val="none" w:sz="0" w:space="0" w:color="auto"/>
        <w:bottom w:val="none" w:sz="0" w:space="0" w:color="auto"/>
        <w:right w:val="none" w:sz="0" w:space="0" w:color="auto"/>
      </w:divBdr>
    </w:div>
    <w:div w:id="676620944">
      <w:bodyDiv w:val="1"/>
      <w:marLeft w:val="0"/>
      <w:marRight w:val="0"/>
      <w:marTop w:val="0"/>
      <w:marBottom w:val="0"/>
      <w:divBdr>
        <w:top w:val="none" w:sz="0" w:space="0" w:color="auto"/>
        <w:left w:val="none" w:sz="0" w:space="0" w:color="auto"/>
        <w:bottom w:val="none" w:sz="0" w:space="0" w:color="auto"/>
        <w:right w:val="none" w:sz="0" w:space="0" w:color="auto"/>
      </w:divBdr>
    </w:div>
    <w:div w:id="683828027">
      <w:bodyDiv w:val="1"/>
      <w:marLeft w:val="0"/>
      <w:marRight w:val="0"/>
      <w:marTop w:val="0"/>
      <w:marBottom w:val="0"/>
      <w:divBdr>
        <w:top w:val="none" w:sz="0" w:space="0" w:color="auto"/>
        <w:left w:val="none" w:sz="0" w:space="0" w:color="auto"/>
        <w:bottom w:val="none" w:sz="0" w:space="0" w:color="auto"/>
        <w:right w:val="none" w:sz="0" w:space="0" w:color="auto"/>
      </w:divBdr>
    </w:div>
    <w:div w:id="688138057">
      <w:bodyDiv w:val="1"/>
      <w:marLeft w:val="0"/>
      <w:marRight w:val="0"/>
      <w:marTop w:val="0"/>
      <w:marBottom w:val="0"/>
      <w:divBdr>
        <w:top w:val="none" w:sz="0" w:space="0" w:color="auto"/>
        <w:left w:val="none" w:sz="0" w:space="0" w:color="auto"/>
        <w:bottom w:val="none" w:sz="0" w:space="0" w:color="auto"/>
        <w:right w:val="none" w:sz="0" w:space="0" w:color="auto"/>
      </w:divBdr>
    </w:div>
    <w:div w:id="696588072">
      <w:bodyDiv w:val="1"/>
      <w:marLeft w:val="0"/>
      <w:marRight w:val="0"/>
      <w:marTop w:val="0"/>
      <w:marBottom w:val="0"/>
      <w:divBdr>
        <w:top w:val="none" w:sz="0" w:space="0" w:color="auto"/>
        <w:left w:val="none" w:sz="0" w:space="0" w:color="auto"/>
        <w:bottom w:val="none" w:sz="0" w:space="0" w:color="auto"/>
        <w:right w:val="none" w:sz="0" w:space="0" w:color="auto"/>
      </w:divBdr>
    </w:div>
    <w:div w:id="703217648">
      <w:bodyDiv w:val="1"/>
      <w:marLeft w:val="0"/>
      <w:marRight w:val="0"/>
      <w:marTop w:val="0"/>
      <w:marBottom w:val="0"/>
      <w:divBdr>
        <w:top w:val="none" w:sz="0" w:space="0" w:color="auto"/>
        <w:left w:val="none" w:sz="0" w:space="0" w:color="auto"/>
        <w:bottom w:val="none" w:sz="0" w:space="0" w:color="auto"/>
        <w:right w:val="none" w:sz="0" w:space="0" w:color="auto"/>
      </w:divBdr>
    </w:div>
    <w:div w:id="715469462">
      <w:bodyDiv w:val="1"/>
      <w:marLeft w:val="0"/>
      <w:marRight w:val="0"/>
      <w:marTop w:val="0"/>
      <w:marBottom w:val="0"/>
      <w:divBdr>
        <w:top w:val="none" w:sz="0" w:space="0" w:color="auto"/>
        <w:left w:val="none" w:sz="0" w:space="0" w:color="auto"/>
        <w:bottom w:val="none" w:sz="0" w:space="0" w:color="auto"/>
        <w:right w:val="none" w:sz="0" w:space="0" w:color="auto"/>
      </w:divBdr>
    </w:div>
    <w:div w:id="736246988">
      <w:bodyDiv w:val="1"/>
      <w:marLeft w:val="0"/>
      <w:marRight w:val="0"/>
      <w:marTop w:val="0"/>
      <w:marBottom w:val="0"/>
      <w:divBdr>
        <w:top w:val="none" w:sz="0" w:space="0" w:color="auto"/>
        <w:left w:val="none" w:sz="0" w:space="0" w:color="auto"/>
        <w:bottom w:val="none" w:sz="0" w:space="0" w:color="auto"/>
        <w:right w:val="none" w:sz="0" w:space="0" w:color="auto"/>
      </w:divBdr>
    </w:div>
    <w:div w:id="753553218">
      <w:bodyDiv w:val="1"/>
      <w:marLeft w:val="0"/>
      <w:marRight w:val="0"/>
      <w:marTop w:val="0"/>
      <w:marBottom w:val="0"/>
      <w:divBdr>
        <w:top w:val="none" w:sz="0" w:space="0" w:color="auto"/>
        <w:left w:val="none" w:sz="0" w:space="0" w:color="auto"/>
        <w:bottom w:val="none" w:sz="0" w:space="0" w:color="auto"/>
        <w:right w:val="none" w:sz="0" w:space="0" w:color="auto"/>
      </w:divBdr>
    </w:div>
    <w:div w:id="765810961">
      <w:bodyDiv w:val="1"/>
      <w:marLeft w:val="0"/>
      <w:marRight w:val="0"/>
      <w:marTop w:val="0"/>
      <w:marBottom w:val="0"/>
      <w:divBdr>
        <w:top w:val="none" w:sz="0" w:space="0" w:color="auto"/>
        <w:left w:val="none" w:sz="0" w:space="0" w:color="auto"/>
        <w:bottom w:val="none" w:sz="0" w:space="0" w:color="auto"/>
        <w:right w:val="none" w:sz="0" w:space="0" w:color="auto"/>
      </w:divBdr>
    </w:div>
    <w:div w:id="773014102">
      <w:bodyDiv w:val="1"/>
      <w:marLeft w:val="0"/>
      <w:marRight w:val="0"/>
      <w:marTop w:val="0"/>
      <w:marBottom w:val="0"/>
      <w:divBdr>
        <w:top w:val="none" w:sz="0" w:space="0" w:color="auto"/>
        <w:left w:val="none" w:sz="0" w:space="0" w:color="auto"/>
        <w:bottom w:val="none" w:sz="0" w:space="0" w:color="auto"/>
        <w:right w:val="none" w:sz="0" w:space="0" w:color="auto"/>
      </w:divBdr>
    </w:div>
    <w:div w:id="777483370">
      <w:bodyDiv w:val="1"/>
      <w:marLeft w:val="0"/>
      <w:marRight w:val="0"/>
      <w:marTop w:val="0"/>
      <w:marBottom w:val="0"/>
      <w:divBdr>
        <w:top w:val="none" w:sz="0" w:space="0" w:color="auto"/>
        <w:left w:val="none" w:sz="0" w:space="0" w:color="auto"/>
        <w:bottom w:val="none" w:sz="0" w:space="0" w:color="auto"/>
        <w:right w:val="none" w:sz="0" w:space="0" w:color="auto"/>
      </w:divBdr>
    </w:div>
    <w:div w:id="793135677">
      <w:bodyDiv w:val="1"/>
      <w:marLeft w:val="0"/>
      <w:marRight w:val="0"/>
      <w:marTop w:val="0"/>
      <w:marBottom w:val="0"/>
      <w:divBdr>
        <w:top w:val="none" w:sz="0" w:space="0" w:color="auto"/>
        <w:left w:val="none" w:sz="0" w:space="0" w:color="auto"/>
        <w:bottom w:val="none" w:sz="0" w:space="0" w:color="auto"/>
        <w:right w:val="none" w:sz="0" w:space="0" w:color="auto"/>
      </w:divBdr>
    </w:div>
    <w:div w:id="799493318">
      <w:bodyDiv w:val="1"/>
      <w:marLeft w:val="0"/>
      <w:marRight w:val="0"/>
      <w:marTop w:val="0"/>
      <w:marBottom w:val="0"/>
      <w:divBdr>
        <w:top w:val="none" w:sz="0" w:space="0" w:color="auto"/>
        <w:left w:val="none" w:sz="0" w:space="0" w:color="auto"/>
        <w:bottom w:val="none" w:sz="0" w:space="0" w:color="auto"/>
        <w:right w:val="none" w:sz="0" w:space="0" w:color="auto"/>
      </w:divBdr>
    </w:div>
    <w:div w:id="808740382">
      <w:bodyDiv w:val="1"/>
      <w:marLeft w:val="0"/>
      <w:marRight w:val="0"/>
      <w:marTop w:val="0"/>
      <w:marBottom w:val="0"/>
      <w:divBdr>
        <w:top w:val="none" w:sz="0" w:space="0" w:color="auto"/>
        <w:left w:val="none" w:sz="0" w:space="0" w:color="auto"/>
        <w:bottom w:val="none" w:sz="0" w:space="0" w:color="auto"/>
        <w:right w:val="none" w:sz="0" w:space="0" w:color="auto"/>
      </w:divBdr>
    </w:div>
    <w:div w:id="864367939">
      <w:bodyDiv w:val="1"/>
      <w:marLeft w:val="0"/>
      <w:marRight w:val="0"/>
      <w:marTop w:val="0"/>
      <w:marBottom w:val="0"/>
      <w:divBdr>
        <w:top w:val="none" w:sz="0" w:space="0" w:color="auto"/>
        <w:left w:val="none" w:sz="0" w:space="0" w:color="auto"/>
        <w:bottom w:val="none" w:sz="0" w:space="0" w:color="auto"/>
        <w:right w:val="none" w:sz="0" w:space="0" w:color="auto"/>
      </w:divBdr>
    </w:div>
    <w:div w:id="879393182">
      <w:bodyDiv w:val="1"/>
      <w:marLeft w:val="0"/>
      <w:marRight w:val="0"/>
      <w:marTop w:val="0"/>
      <w:marBottom w:val="0"/>
      <w:divBdr>
        <w:top w:val="none" w:sz="0" w:space="0" w:color="auto"/>
        <w:left w:val="none" w:sz="0" w:space="0" w:color="auto"/>
        <w:bottom w:val="none" w:sz="0" w:space="0" w:color="auto"/>
        <w:right w:val="none" w:sz="0" w:space="0" w:color="auto"/>
      </w:divBdr>
    </w:div>
    <w:div w:id="902790783">
      <w:bodyDiv w:val="1"/>
      <w:marLeft w:val="0"/>
      <w:marRight w:val="0"/>
      <w:marTop w:val="0"/>
      <w:marBottom w:val="0"/>
      <w:divBdr>
        <w:top w:val="none" w:sz="0" w:space="0" w:color="auto"/>
        <w:left w:val="none" w:sz="0" w:space="0" w:color="auto"/>
        <w:bottom w:val="none" w:sz="0" w:space="0" w:color="auto"/>
        <w:right w:val="none" w:sz="0" w:space="0" w:color="auto"/>
      </w:divBdr>
    </w:div>
    <w:div w:id="905190927">
      <w:bodyDiv w:val="1"/>
      <w:marLeft w:val="0"/>
      <w:marRight w:val="0"/>
      <w:marTop w:val="0"/>
      <w:marBottom w:val="0"/>
      <w:divBdr>
        <w:top w:val="none" w:sz="0" w:space="0" w:color="auto"/>
        <w:left w:val="none" w:sz="0" w:space="0" w:color="auto"/>
        <w:bottom w:val="none" w:sz="0" w:space="0" w:color="auto"/>
        <w:right w:val="none" w:sz="0" w:space="0" w:color="auto"/>
      </w:divBdr>
    </w:div>
    <w:div w:id="907036384">
      <w:bodyDiv w:val="1"/>
      <w:marLeft w:val="0"/>
      <w:marRight w:val="0"/>
      <w:marTop w:val="0"/>
      <w:marBottom w:val="0"/>
      <w:divBdr>
        <w:top w:val="none" w:sz="0" w:space="0" w:color="auto"/>
        <w:left w:val="none" w:sz="0" w:space="0" w:color="auto"/>
        <w:bottom w:val="none" w:sz="0" w:space="0" w:color="auto"/>
        <w:right w:val="none" w:sz="0" w:space="0" w:color="auto"/>
      </w:divBdr>
    </w:div>
    <w:div w:id="908147832">
      <w:bodyDiv w:val="1"/>
      <w:marLeft w:val="0"/>
      <w:marRight w:val="0"/>
      <w:marTop w:val="0"/>
      <w:marBottom w:val="0"/>
      <w:divBdr>
        <w:top w:val="none" w:sz="0" w:space="0" w:color="auto"/>
        <w:left w:val="none" w:sz="0" w:space="0" w:color="auto"/>
        <w:bottom w:val="none" w:sz="0" w:space="0" w:color="auto"/>
        <w:right w:val="none" w:sz="0" w:space="0" w:color="auto"/>
      </w:divBdr>
    </w:div>
    <w:div w:id="921524845">
      <w:bodyDiv w:val="1"/>
      <w:marLeft w:val="0"/>
      <w:marRight w:val="0"/>
      <w:marTop w:val="0"/>
      <w:marBottom w:val="0"/>
      <w:divBdr>
        <w:top w:val="none" w:sz="0" w:space="0" w:color="auto"/>
        <w:left w:val="none" w:sz="0" w:space="0" w:color="auto"/>
        <w:bottom w:val="none" w:sz="0" w:space="0" w:color="auto"/>
        <w:right w:val="none" w:sz="0" w:space="0" w:color="auto"/>
      </w:divBdr>
    </w:div>
    <w:div w:id="927612571">
      <w:bodyDiv w:val="1"/>
      <w:marLeft w:val="0"/>
      <w:marRight w:val="0"/>
      <w:marTop w:val="0"/>
      <w:marBottom w:val="0"/>
      <w:divBdr>
        <w:top w:val="none" w:sz="0" w:space="0" w:color="auto"/>
        <w:left w:val="none" w:sz="0" w:space="0" w:color="auto"/>
        <w:bottom w:val="none" w:sz="0" w:space="0" w:color="auto"/>
        <w:right w:val="none" w:sz="0" w:space="0" w:color="auto"/>
      </w:divBdr>
    </w:div>
    <w:div w:id="959190365">
      <w:bodyDiv w:val="1"/>
      <w:marLeft w:val="0"/>
      <w:marRight w:val="0"/>
      <w:marTop w:val="0"/>
      <w:marBottom w:val="0"/>
      <w:divBdr>
        <w:top w:val="none" w:sz="0" w:space="0" w:color="auto"/>
        <w:left w:val="none" w:sz="0" w:space="0" w:color="auto"/>
        <w:bottom w:val="none" w:sz="0" w:space="0" w:color="auto"/>
        <w:right w:val="none" w:sz="0" w:space="0" w:color="auto"/>
      </w:divBdr>
    </w:div>
    <w:div w:id="961882815">
      <w:bodyDiv w:val="1"/>
      <w:marLeft w:val="0"/>
      <w:marRight w:val="0"/>
      <w:marTop w:val="0"/>
      <w:marBottom w:val="0"/>
      <w:divBdr>
        <w:top w:val="none" w:sz="0" w:space="0" w:color="auto"/>
        <w:left w:val="none" w:sz="0" w:space="0" w:color="auto"/>
        <w:bottom w:val="none" w:sz="0" w:space="0" w:color="auto"/>
        <w:right w:val="none" w:sz="0" w:space="0" w:color="auto"/>
      </w:divBdr>
    </w:div>
    <w:div w:id="972636173">
      <w:bodyDiv w:val="1"/>
      <w:marLeft w:val="0"/>
      <w:marRight w:val="0"/>
      <w:marTop w:val="0"/>
      <w:marBottom w:val="0"/>
      <w:divBdr>
        <w:top w:val="none" w:sz="0" w:space="0" w:color="auto"/>
        <w:left w:val="none" w:sz="0" w:space="0" w:color="auto"/>
        <w:bottom w:val="none" w:sz="0" w:space="0" w:color="auto"/>
        <w:right w:val="none" w:sz="0" w:space="0" w:color="auto"/>
      </w:divBdr>
    </w:div>
    <w:div w:id="988365296">
      <w:bodyDiv w:val="1"/>
      <w:marLeft w:val="0"/>
      <w:marRight w:val="0"/>
      <w:marTop w:val="0"/>
      <w:marBottom w:val="0"/>
      <w:divBdr>
        <w:top w:val="none" w:sz="0" w:space="0" w:color="auto"/>
        <w:left w:val="none" w:sz="0" w:space="0" w:color="auto"/>
        <w:bottom w:val="none" w:sz="0" w:space="0" w:color="auto"/>
        <w:right w:val="none" w:sz="0" w:space="0" w:color="auto"/>
      </w:divBdr>
    </w:div>
    <w:div w:id="996956180">
      <w:bodyDiv w:val="1"/>
      <w:marLeft w:val="0"/>
      <w:marRight w:val="0"/>
      <w:marTop w:val="0"/>
      <w:marBottom w:val="0"/>
      <w:divBdr>
        <w:top w:val="none" w:sz="0" w:space="0" w:color="auto"/>
        <w:left w:val="none" w:sz="0" w:space="0" w:color="auto"/>
        <w:bottom w:val="none" w:sz="0" w:space="0" w:color="auto"/>
        <w:right w:val="none" w:sz="0" w:space="0" w:color="auto"/>
      </w:divBdr>
    </w:div>
    <w:div w:id="1017657518">
      <w:bodyDiv w:val="1"/>
      <w:marLeft w:val="0"/>
      <w:marRight w:val="0"/>
      <w:marTop w:val="0"/>
      <w:marBottom w:val="0"/>
      <w:divBdr>
        <w:top w:val="none" w:sz="0" w:space="0" w:color="auto"/>
        <w:left w:val="none" w:sz="0" w:space="0" w:color="auto"/>
        <w:bottom w:val="none" w:sz="0" w:space="0" w:color="auto"/>
        <w:right w:val="none" w:sz="0" w:space="0" w:color="auto"/>
      </w:divBdr>
    </w:div>
    <w:div w:id="1051073771">
      <w:bodyDiv w:val="1"/>
      <w:marLeft w:val="0"/>
      <w:marRight w:val="0"/>
      <w:marTop w:val="0"/>
      <w:marBottom w:val="0"/>
      <w:divBdr>
        <w:top w:val="none" w:sz="0" w:space="0" w:color="auto"/>
        <w:left w:val="none" w:sz="0" w:space="0" w:color="auto"/>
        <w:bottom w:val="none" w:sz="0" w:space="0" w:color="auto"/>
        <w:right w:val="none" w:sz="0" w:space="0" w:color="auto"/>
      </w:divBdr>
    </w:div>
    <w:div w:id="1051223197">
      <w:bodyDiv w:val="1"/>
      <w:marLeft w:val="0"/>
      <w:marRight w:val="0"/>
      <w:marTop w:val="0"/>
      <w:marBottom w:val="0"/>
      <w:divBdr>
        <w:top w:val="none" w:sz="0" w:space="0" w:color="auto"/>
        <w:left w:val="none" w:sz="0" w:space="0" w:color="auto"/>
        <w:bottom w:val="none" w:sz="0" w:space="0" w:color="auto"/>
        <w:right w:val="none" w:sz="0" w:space="0" w:color="auto"/>
      </w:divBdr>
    </w:div>
    <w:div w:id="1052001658">
      <w:bodyDiv w:val="1"/>
      <w:marLeft w:val="0"/>
      <w:marRight w:val="0"/>
      <w:marTop w:val="0"/>
      <w:marBottom w:val="0"/>
      <w:divBdr>
        <w:top w:val="none" w:sz="0" w:space="0" w:color="auto"/>
        <w:left w:val="none" w:sz="0" w:space="0" w:color="auto"/>
        <w:bottom w:val="none" w:sz="0" w:space="0" w:color="auto"/>
        <w:right w:val="none" w:sz="0" w:space="0" w:color="auto"/>
      </w:divBdr>
    </w:div>
    <w:div w:id="1054239355">
      <w:bodyDiv w:val="1"/>
      <w:marLeft w:val="0"/>
      <w:marRight w:val="0"/>
      <w:marTop w:val="0"/>
      <w:marBottom w:val="0"/>
      <w:divBdr>
        <w:top w:val="none" w:sz="0" w:space="0" w:color="auto"/>
        <w:left w:val="none" w:sz="0" w:space="0" w:color="auto"/>
        <w:bottom w:val="none" w:sz="0" w:space="0" w:color="auto"/>
        <w:right w:val="none" w:sz="0" w:space="0" w:color="auto"/>
      </w:divBdr>
    </w:div>
    <w:div w:id="1071075044">
      <w:bodyDiv w:val="1"/>
      <w:marLeft w:val="0"/>
      <w:marRight w:val="0"/>
      <w:marTop w:val="0"/>
      <w:marBottom w:val="0"/>
      <w:divBdr>
        <w:top w:val="none" w:sz="0" w:space="0" w:color="auto"/>
        <w:left w:val="none" w:sz="0" w:space="0" w:color="auto"/>
        <w:bottom w:val="none" w:sz="0" w:space="0" w:color="auto"/>
        <w:right w:val="none" w:sz="0" w:space="0" w:color="auto"/>
      </w:divBdr>
    </w:div>
    <w:div w:id="1089275019">
      <w:bodyDiv w:val="1"/>
      <w:marLeft w:val="0"/>
      <w:marRight w:val="0"/>
      <w:marTop w:val="0"/>
      <w:marBottom w:val="0"/>
      <w:divBdr>
        <w:top w:val="none" w:sz="0" w:space="0" w:color="auto"/>
        <w:left w:val="none" w:sz="0" w:space="0" w:color="auto"/>
        <w:bottom w:val="none" w:sz="0" w:space="0" w:color="auto"/>
        <w:right w:val="none" w:sz="0" w:space="0" w:color="auto"/>
      </w:divBdr>
    </w:div>
    <w:div w:id="1092435249">
      <w:bodyDiv w:val="1"/>
      <w:marLeft w:val="0"/>
      <w:marRight w:val="0"/>
      <w:marTop w:val="0"/>
      <w:marBottom w:val="0"/>
      <w:divBdr>
        <w:top w:val="none" w:sz="0" w:space="0" w:color="auto"/>
        <w:left w:val="none" w:sz="0" w:space="0" w:color="auto"/>
        <w:bottom w:val="none" w:sz="0" w:space="0" w:color="auto"/>
        <w:right w:val="none" w:sz="0" w:space="0" w:color="auto"/>
      </w:divBdr>
    </w:div>
    <w:div w:id="1122923550">
      <w:bodyDiv w:val="1"/>
      <w:marLeft w:val="0"/>
      <w:marRight w:val="0"/>
      <w:marTop w:val="0"/>
      <w:marBottom w:val="0"/>
      <w:divBdr>
        <w:top w:val="none" w:sz="0" w:space="0" w:color="auto"/>
        <w:left w:val="none" w:sz="0" w:space="0" w:color="auto"/>
        <w:bottom w:val="none" w:sz="0" w:space="0" w:color="auto"/>
        <w:right w:val="none" w:sz="0" w:space="0" w:color="auto"/>
      </w:divBdr>
    </w:div>
    <w:div w:id="1167550908">
      <w:bodyDiv w:val="1"/>
      <w:marLeft w:val="0"/>
      <w:marRight w:val="0"/>
      <w:marTop w:val="0"/>
      <w:marBottom w:val="0"/>
      <w:divBdr>
        <w:top w:val="none" w:sz="0" w:space="0" w:color="auto"/>
        <w:left w:val="none" w:sz="0" w:space="0" w:color="auto"/>
        <w:bottom w:val="none" w:sz="0" w:space="0" w:color="auto"/>
        <w:right w:val="none" w:sz="0" w:space="0" w:color="auto"/>
      </w:divBdr>
    </w:div>
    <w:div w:id="1177621909">
      <w:bodyDiv w:val="1"/>
      <w:marLeft w:val="0"/>
      <w:marRight w:val="0"/>
      <w:marTop w:val="0"/>
      <w:marBottom w:val="0"/>
      <w:divBdr>
        <w:top w:val="none" w:sz="0" w:space="0" w:color="auto"/>
        <w:left w:val="none" w:sz="0" w:space="0" w:color="auto"/>
        <w:bottom w:val="none" w:sz="0" w:space="0" w:color="auto"/>
        <w:right w:val="none" w:sz="0" w:space="0" w:color="auto"/>
      </w:divBdr>
    </w:div>
    <w:div w:id="1183546207">
      <w:bodyDiv w:val="1"/>
      <w:marLeft w:val="0"/>
      <w:marRight w:val="0"/>
      <w:marTop w:val="0"/>
      <w:marBottom w:val="0"/>
      <w:divBdr>
        <w:top w:val="none" w:sz="0" w:space="0" w:color="auto"/>
        <w:left w:val="none" w:sz="0" w:space="0" w:color="auto"/>
        <w:bottom w:val="none" w:sz="0" w:space="0" w:color="auto"/>
        <w:right w:val="none" w:sz="0" w:space="0" w:color="auto"/>
      </w:divBdr>
    </w:div>
    <w:div w:id="1194685884">
      <w:bodyDiv w:val="1"/>
      <w:marLeft w:val="0"/>
      <w:marRight w:val="0"/>
      <w:marTop w:val="0"/>
      <w:marBottom w:val="0"/>
      <w:divBdr>
        <w:top w:val="none" w:sz="0" w:space="0" w:color="auto"/>
        <w:left w:val="none" w:sz="0" w:space="0" w:color="auto"/>
        <w:bottom w:val="none" w:sz="0" w:space="0" w:color="auto"/>
        <w:right w:val="none" w:sz="0" w:space="0" w:color="auto"/>
      </w:divBdr>
    </w:div>
    <w:div w:id="1212886136">
      <w:bodyDiv w:val="1"/>
      <w:marLeft w:val="0"/>
      <w:marRight w:val="0"/>
      <w:marTop w:val="0"/>
      <w:marBottom w:val="0"/>
      <w:divBdr>
        <w:top w:val="none" w:sz="0" w:space="0" w:color="auto"/>
        <w:left w:val="none" w:sz="0" w:space="0" w:color="auto"/>
        <w:bottom w:val="none" w:sz="0" w:space="0" w:color="auto"/>
        <w:right w:val="none" w:sz="0" w:space="0" w:color="auto"/>
      </w:divBdr>
    </w:div>
    <w:div w:id="1226916251">
      <w:bodyDiv w:val="1"/>
      <w:marLeft w:val="0"/>
      <w:marRight w:val="0"/>
      <w:marTop w:val="0"/>
      <w:marBottom w:val="0"/>
      <w:divBdr>
        <w:top w:val="none" w:sz="0" w:space="0" w:color="auto"/>
        <w:left w:val="none" w:sz="0" w:space="0" w:color="auto"/>
        <w:bottom w:val="none" w:sz="0" w:space="0" w:color="auto"/>
        <w:right w:val="none" w:sz="0" w:space="0" w:color="auto"/>
      </w:divBdr>
    </w:div>
    <w:div w:id="1228806471">
      <w:bodyDiv w:val="1"/>
      <w:marLeft w:val="0"/>
      <w:marRight w:val="0"/>
      <w:marTop w:val="0"/>
      <w:marBottom w:val="0"/>
      <w:divBdr>
        <w:top w:val="none" w:sz="0" w:space="0" w:color="auto"/>
        <w:left w:val="none" w:sz="0" w:space="0" w:color="auto"/>
        <w:bottom w:val="none" w:sz="0" w:space="0" w:color="auto"/>
        <w:right w:val="none" w:sz="0" w:space="0" w:color="auto"/>
      </w:divBdr>
    </w:div>
    <w:div w:id="1299383532">
      <w:bodyDiv w:val="1"/>
      <w:marLeft w:val="0"/>
      <w:marRight w:val="0"/>
      <w:marTop w:val="0"/>
      <w:marBottom w:val="0"/>
      <w:divBdr>
        <w:top w:val="none" w:sz="0" w:space="0" w:color="auto"/>
        <w:left w:val="none" w:sz="0" w:space="0" w:color="auto"/>
        <w:bottom w:val="none" w:sz="0" w:space="0" w:color="auto"/>
        <w:right w:val="none" w:sz="0" w:space="0" w:color="auto"/>
      </w:divBdr>
    </w:div>
    <w:div w:id="1307467649">
      <w:bodyDiv w:val="1"/>
      <w:marLeft w:val="0"/>
      <w:marRight w:val="0"/>
      <w:marTop w:val="0"/>
      <w:marBottom w:val="0"/>
      <w:divBdr>
        <w:top w:val="none" w:sz="0" w:space="0" w:color="auto"/>
        <w:left w:val="none" w:sz="0" w:space="0" w:color="auto"/>
        <w:bottom w:val="none" w:sz="0" w:space="0" w:color="auto"/>
        <w:right w:val="none" w:sz="0" w:space="0" w:color="auto"/>
      </w:divBdr>
    </w:div>
    <w:div w:id="1317539564">
      <w:bodyDiv w:val="1"/>
      <w:marLeft w:val="0"/>
      <w:marRight w:val="0"/>
      <w:marTop w:val="0"/>
      <w:marBottom w:val="0"/>
      <w:divBdr>
        <w:top w:val="none" w:sz="0" w:space="0" w:color="auto"/>
        <w:left w:val="none" w:sz="0" w:space="0" w:color="auto"/>
        <w:bottom w:val="none" w:sz="0" w:space="0" w:color="auto"/>
        <w:right w:val="none" w:sz="0" w:space="0" w:color="auto"/>
      </w:divBdr>
    </w:div>
    <w:div w:id="1345978628">
      <w:bodyDiv w:val="1"/>
      <w:marLeft w:val="0"/>
      <w:marRight w:val="0"/>
      <w:marTop w:val="0"/>
      <w:marBottom w:val="0"/>
      <w:divBdr>
        <w:top w:val="none" w:sz="0" w:space="0" w:color="auto"/>
        <w:left w:val="none" w:sz="0" w:space="0" w:color="auto"/>
        <w:bottom w:val="none" w:sz="0" w:space="0" w:color="auto"/>
        <w:right w:val="none" w:sz="0" w:space="0" w:color="auto"/>
      </w:divBdr>
    </w:div>
    <w:div w:id="1348404967">
      <w:bodyDiv w:val="1"/>
      <w:marLeft w:val="0"/>
      <w:marRight w:val="0"/>
      <w:marTop w:val="0"/>
      <w:marBottom w:val="0"/>
      <w:divBdr>
        <w:top w:val="none" w:sz="0" w:space="0" w:color="auto"/>
        <w:left w:val="none" w:sz="0" w:space="0" w:color="auto"/>
        <w:bottom w:val="none" w:sz="0" w:space="0" w:color="auto"/>
        <w:right w:val="none" w:sz="0" w:space="0" w:color="auto"/>
      </w:divBdr>
    </w:div>
    <w:div w:id="1356037086">
      <w:bodyDiv w:val="1"/>
      <w:marLeft w:val="0"/>
      <w:marRight w:val="0"/>
      <w:marTop w:val="0"/>
      <w:marBottom w:val="0"/>
      <w:divBdr>
        <w:top w:val="none" w:sz="0" w:space="0" w:color="auto"/>
        <w:left w:val="none" w:sz="0" w:space="0" w:color="auto"/>
        <w:bottom w:val="none" w:sz="0" w:space="0" w:color="auto"/>
        <w:right w:val="none" w:sz="0" w:space="0" w:color="auto"/>
      </w:divBdr>
    </w:div>
    <w:div w:id="1365520539">
      <w:bodyDiv w:val="1"/>
      <w:marLeft w:val="0"/>
      <w:marRight w:val="0"/>
      <w:marTop w:val="0"/>
      <w:marBottom w:val="0"/>
      <w:divBdr>
        <w:top w:val="none" w:sz="0" w:space="0" w:color="auto"/>
        <w:left w:val="none" w:sz="0" w:space="0" w:color="auto"/>
        <w:bottom w:val="none" w:sz="0" w:space="0" w:color="auto"/>
        <w:right w:val="none" w:sz="0" w:space="0" w:color="auto"/>
      </w:divBdr>
    </w:div>
    <w:div w:id="1372220928">
      <w:bodyDiv w:val="1"/>
      <w:marLeft w:val="0"/>
      <w:marRight w:val="0"/>
      <w:marTop w:val="0"/>
      <w:marBottom w:val="0"/>
      <w:divBdr>
        <w:top w:val="none" w:sz="0" w:space="0" w:color="auto"/>
        <w:left w:val="none" w:sz="0" w:space="0" w:color="auto"/>
        <w:bottom w:val="none" w:sz="0" w:space="0" w:color="auto"/>
        <w:right w:val="none" w:sz="0" w:space="0" w:color="auto"/>
      </w:divBdr>
    </w:div>
    <w:div w:id="1380323488">
      <w:bodyDiv w:val="1"/>
      <w:marLeft w:val="0"/>
      <w:marRight w:val="0"/>
      <w:marTop w:val="0"/>
      <w:marBottom w:val="0"/>
      <w:divBdr>
        <w:top w:val="none" w:sz="0" w:space="0" w:color="auto"/>
        <w:left w:val="none" w:sz="0" w:space="0" w:color="auto"/>
        <w:bottom w:val="none" w:sz="0" w:space="0" w:color="auto"/>
        <w:right w:val="none" w:sz="0" w:space="0" w:color="auto"/>
      </w:divBdr>
    </w:div>
    <w:div w:id="1386296123">
      <w:bodyDiv w:val="1"/>
      <w:marLeft w:val="0"/>
      <w:marRight w:val="0"/>
      <w:marTop w:val="0"/>
      <w:marBottom w:val="0"/>
      <w:divBdr>
        <w:top w:val="none" w:sz="0" w:space="0" w:color="auto"/>
        <w:left w:val="none" w:sz="0" w:space="0" w:color="auto"/>
        <w:bottom w:val="none" w:sz="0" w:space="0" w:color="auto"/>
        <w:right w:val="none" w:sz="0" w:space="0" w:color="auto"/>
      </w:divBdr>
    </w:div>
    <w:div w:id="1391071579">
      <w:bodyDiv w:val="1"/>
      <w:marLeft w:val="0"/>
      <w:marRight w:val="0"/>
      <w:marTop w:val="0"/>
      <w:marBottom w:val="0"/>
      <w:divBdr>
        <w:top w:val="none" w:sz="0" w:space="0" w:color="auto"/>
        <w:left w:val="none" w:sz="0" w:space="0" w:color="auto"/>
        <w:bottom w:val="none" w:sz="0" w:space="0" w:color="auto"/>
        <w:right w:val="none" w:sz="0" w:space="0" w:color="auto"/>
      </w:divBdr>
    </w:div>
    <w:div w:id="1399982249">
      <w:bodyDiv w:val="1"/>
      <w:marLeft w:val="0"/>
      <w:marRight w:val="0"/>
      <w:marTop w:val="0"/>
      <w:marBottom w:val="0"/>
      <w:divBdr>
        <w:top w:val="none" w:sz="0" w:space="0" w:color="auto"/>
        <w:left w:val="none" w:sz="0" w:space="0" w:color="auto"/>
        <w:bottom w:val="none" w:sz="0" w:space="0" w:color="auto"/>
        <w:right w:val="none" w:sz="0" w:space="0" w:color="auto"/>
      </w:divBdr>
    </w:div>
    <w:div w:id="1401633489">
      <w:bodyDiv w:val="1"/>
      <w:marLeft w:val="0"/>
      <w:marRight w:val="0"/>
      <w:marTop w:val="0"/>
      <w:marBottom w:val="0"/>
      <w:divBdr>
        <w:top w:val="none" w:sz="0" w:space="0" w:color="auto"/>
        <w:left w:val="none" w:sz="0" w:space="0" w:color="auto"/>
        <w:bottom w:val="none" w:sz="0" w:space="0" w:color="auto"/>
        <w:right w:val="none" w:sz="0" w:space="0" w:color="auto"/>
      </w:divBdr>
    </w:div>
    <w:div w:id="1437942830">
      <w:bodyDiv w:val="1"/>
      <w:marLeft w:val="0"/>
      <w:marRight w:val="0"/>
      <w:marTop w:val="0"/>
      <w:marBottom w:val="0"/>
      <w:divBdr>
        <w:top w:val="none" w:sz="0" w:space="0" w:color="auto"/>
        <w:left w:val="none" w:sz="0" w:space="0" w:color="auto"/>
        <w:bottom w:val="none" w:sz="0" w:space="0" w:color="auto"/>
        <w:right w:val="none" w:sz="0" w:space="0" w:color="auto"/>
      </w:divBdr>
    </w:div>
    <w:div w:id="1462070259">
      <w:bodyDiv w:val="1"/>
      <w:marLeft w:val="0"/>
      <w:marRight w:val="0"/>
      <w:marTop w:val="0"/>
      <w:marBottom w:val="0"/>
      <w:divBdr>
        <w:top w:val="none" w:sz="0" w:space="0" w:color="auto"/>
        <w:left w:val="none" w:sz="0" w:space="0" w:color="auto"/>
        <w:bottom w:val="none" w:sz="0" w:space="0" w:color="auto"/>
        <w:right w:val="none" w:sz="0" w:space="0" w:color="auto"/>
      </w:divBdr>
    </w:div>
    <w:div w:id="1470898930">
      <w:bodyDiv w:val="1"/>
      <w:marLeft w:val="0"/>
      <w:marRight w:val="0"/>
      <w:marTop w:val="0"/>
      <w:marBottom w:val="0"/>
      <w:divBdr>
        <w:top w:val="none" w:sz="0" w:space="0" w:color="auto"/>
        <w:left w:val="none" w:sz="0" w:space="0" w:color="auto"/>
        <w:bottom w:val="none" w:sz="0" w:space="0" w:color="auto"/>
        <w:right w:val="none" w:sz="0" w:space="0" w:color="auto"/>
      </w:divBdr>
    </w:div>
    <w:div w:id="1476022042">
      <w:bodyDiv w:val="1"/>
      <w:marLeft w:val="0"/>
      <w:marRight w:val="0"/>
      <w:marTop w:val="0"/>
      <w:marBottom w:val="0"/>
      <w:divBdr>
        <w:top w:val="none" w:sz="0" w:space="0" w:color="auto"/>
        <w:left w:val="none" w:sz="0" w:space="0" w:color="auto"/>
        <w:bottom w:val="none" w:sz="0" w:space="0" w:color="auto"/>
        <w:right w:val="none" w:sz="0" w:space="0" w:color="auto"/>
      </w:divBdr>
    </w:div>
    <w:div w:id="1503085879">
      <w:bodyDiv w:val="1"/>
      <w:marLeft w:val="0"/>
      <w:marRight w:val="0"/>
      <w:marTop w:val="0"/>
      <w:marBottom w:val="0"/>
      <w:divBdr>
        <w:top w:val="none" w:sz="0" w:space="0" w:color="auto"/>
        <w:left w:val="none" w:sz="0" w:space="0" w:color="auto"/>
        <w:bottom w:val="none" w:sz="0" w:space="0" w:color="auto"/>
        <w:right w:val="none" w:sz="0" w:space="0" w:color="auto"/>
      </w:divBdr>
    </w:div>
    <w:div w:id="1518038455">
      <w:bodyDiv w:val="1"/>
      <w:marLeft w:val="0"/>
      <w:marRight w:val="0"/>
      <w:marTop w:val="0"/>
      <w:marBottom w:val="0"/>
      <w:divBdr>
        <w:top w:val="none" w:sz="0" w:space="0" w:color="auto"/>
        <w:left w:val="none" w:sz="0" w:space="0" w:color="auto"/>
        <w:bottom w:val="none" w:sz="0" w:space="0" w:color="auto"/>
        <w:right w:val="none" w:sz="0" w:space="0" w:color="auto"/>
      </w:divBdr>
    </w:div>
    <w:div w:id="1526089906">
      <w:bodyDiv w:val="1"/>
      <w:marLeft w:val="0"/>
      <w:marRight w:val="0"/>
      <w:marTop w:val="0"/>
      <w:marBottom w:val="0"/>
      <w:divBdr>
        <w:top w:val="none" w:sz="0" w:space="0" w:color="auto"/>
        <w:left w:val="none" w:sz="0" w:space="0" w:color="auto"/>
        <w:bottom w:val="none" w:sz="0" w:space="0" w:color="auto"/>
        <w:right w:val="none" w:sz="0" w:space="0" w:color="auto"/>
      </w:divBdr>
    </w:div>
    <w:div w:id="1531407239">
      <w:bodyDiv w:val="1"/>
      <w:marLeft w:val="0"/>
      <w:marRight w:val="0"/>
      <w:marTop w:val="0"/>
      <w:marBottom w:val="0"/>
      <w:divBdr>
        <w:top w:val="none" w:sz="0" w:space="0" w:color="auto"/>
        <w:left w:val="none" w:sz="0" w:space="0" w:color="auto"/>
        <w:bottom w:val="none" w:sz="0" w:space="0" w:color="auto"/>
        <w:right w:val="none" w:sz="0" w:space="0" w:color="auto"/>
      </w:divBdr>
    </w:div>
    <w:div w:id="1536700328">
      <w:bodyDiv w:val="1"/>
      <w:marLeft w:val="0"/>
      <w:marRight w:val="0"/>
      <w:marTop w:val="0"/>
      <w:marBottom w:val="0"/>
      <w:divBdr>
        <w:top w:val="none" w:sz="0" w:space="0" w:color="auto"/>
        <w:left w:val="none" w:sz="0" w:space="0" w:color="auto"/>
        <w:bottom w:val="none" w:sz="0" w:space="0" w:color="auto"/>
        <w:right w:val="none" w:sz="0" w:space="0" w:color="auto"/>
      </w:divBdr>
    </w:div>
    <w:div w:id="1559979073">
      <w:bodyDiv w:val="1"/>
      <w:marLeft w:val="0"/>
      <w:marRight w:val="0"/>
      <w:marTop w:val="0"/>
      <w:marBottom w:val="0"/>
      <w:divBdr>
        <w:top w:val="none" w:sz="0" w:space="0" w:color="auto"/>
        <w:left w:val="none" w:sz="0" w:space="0" w:color="auto"/>
        <w:bottom w:val="none" w:sz="0" w:space="0" w:color="auto"/>
        <w:right w:val="none" w:sz="0" w:space="0" w:color="auto"/>
      </w:divBdr>
    </w:div>
    <w:div w:id="1585458975">
      <w:bodyDiv w:val="1"/>
      <w:marLeft w:val="0"/>
      <w:marRight w:val="0"/>
      <w:marTop w:val="0"/>
      <w:marBottom w:val="0"/>
      <w:divBdr>
        <w:top w:val="none" w:sz="0" w:space="0" w:color="auto"/>
        <w:left w:val="none" w:sz="0" w:space="0" w:color="auto"/>
        <w:bottom w:val="none" w:sz="0" w:space="0" w:color="auto"/>
        <w:right w:val="none" w:sz="0" w:space="0" w:color="auto"/>
      </w:divBdr>
    </w:div>
    <w:div w:id="1590116890">
      <w:bodyDiv w:val="1"/>
      <w:marLeft w:val="0"/>
      <w:marRight w:val="0"/>
      <w:marTop w:val="0"/>
      <w:marBottom w:val="0"/>
      <w:divBdr>
        <w:top w:val="none" w:sz="0" w:space="0" w:color="auto"/>
        <w:left w:val="none" w:sz="0" w:space="0" w:color="auto"/>
        <w:bottom w:val="none" w:sz="0" w:space="0" w:color="auto"/>
        <w:right w:val="none" w:sz="0" w:space="0" w:color="auto"/>
      </w:divBdr>
    </w:div>
    <w:div w:id="1603295031">
      <w:bodyDiv w:val="1"/>
      <w:marLeft w:val="0"/>
      <w:marRight w:val="0"/>
      <w:marTop w:val="0"/>
      <w:marBottom w:val="0"/>
      <w:divBdr>
        <w:top w:val="none" w:sz="0" w:space="0" w:color="auto"/>
        <w:left w:val="none" w:sz="0" w:space="0" w:color="auto"/>
        <w:bottom w:val="none" w:sz="0" w:space="0" w:color="auto"/>
        <w:right w:val="none" w:sz="0" w:space="0" w:color="auto"/>
      </w:divBdr>
    </w:div>
    <w:div w:id="1621257807">
      <w:bodyDiv w:val="1"/>
      <w:marLeft w:val="0"/>
      <w:marRight w:val="0"/>
      <w:marTop w:val="0"/>
      <w:marBottom w:val="0"/>
      <w:divBdr>
        <w:top w:val="none" w:sz="0" w:space="0" w:color="auto"/>
        <w:left w:val="none" w:sz="0" w:space="0" w:color="auto"/>
        <w:bottom w:val="none" w:sz="0" w:space="0" w:color="auto"/>
        <w:right w:val="none" w:sz="0" w:space="0" w:color="auto"/>
      </w:divBdr>
    </w:div>
    <w:div w:id="1621305451">
      <w:bodyDiv w:val="1"/>
      <w:marLeft w:val="0"/>
      <w:marRight w:val="0"/>
      <w:marTop w:val="0"/>
      <w:marBottom w:val="0"/>
      <w:divBdr>
        <w:top w:val="none" w:sz="0" w:space="0" w:color="auto"/>
        <w:left w:val="none" w:sz="0" w:space="0" w:color="auto"/>
        <w:bottom w:val="none" w:sz="0" w:space="0" w:color="auto"/>
        <w:right w:val="none" w:sz="0" w:space="0" w:color="auto"/>
      </w:divBdr>
    </w:div>
    <w:div w:id="1624800726">
      <w:bodyDiv w:val="1"/>
      <w:marLeft w:val="0"/>
      <w:marRight w:val="0"/>
      <w:marTop w:val="0"/>
      <w:marBottom w:val="0"/>
      <w:divBdr>
        <w:top w:val="none" w:sz="0" w:space="0" w:color="auto"/>
        <w:left w:val="none" w:sz="0" w:space="0" w:color="auto"/>
        <w:bottom w:val="none" w:sz="0" w:space="0" w:color="auto"/>
        <w:right w:val="none" w:sz="0" w:space="0" w:color="auto"/>
      </w:divBdr>
    </w:div>
    <w:div w:id="1645428667">
      <w:bodyDiv w:val="1"/>
      <w:marLeft w:val="0"/>
      <w:marRight w:val="0"/>
      <w:marTop w:val="0"/>
      <w:marBottom w:val="0"/>
      <w:divBdr>
        <w:top w:val="none" w:sz="0" w:space="0" w:color="auto"/>
        <w:left w:val="none" w:sz="0" w:space="0" w:color="auto"/>
        <w:bottom w:val="none" w:sz="0" w:space="0" w:color="auto"/>
        <w:right w:val="none" w:sz="0" w:space="0" w:color="auto"/>
      </w:divBdr>
    </w:div>
    <w:div w:id="1663006135">
      <w:bodyDiv w:val="1"/>
      <w:marLeft w:val="0"/>
      <w:marRight w:val="0"/>
      <w:marTop w:val="0"/>
      <w:marBottom w:val="0"/>
      <w:divBdr>
        <w:top w:val="none" w:sz="0" w:space="0" w:color="auto"/>
        <w:left w:val="none" w:sz="0" w:space="0" w:color="auto"/>
        <w:bottom w:val="none" w:sz="0" w:space="0" w:color="auto"/>
        <w:right w:val="none" w:sz="0" w:space="0" w:color="auto"/>
      </w:divBdr>
    </w:div>
    <w:div w:id="1687440604">
      <w:bodyDiv w:val="1"/>
      <w:marLeft w:val="0"/>
      <w:marRight w:val="0"/>
      <w:marTop w:val="0"/>
      <w:marBottom w:val="0"/>
      <w:divBdr>
        <w:top w:val="none" w:sz="0" w:space="0" w:color="auto"/>
        <w:left w:val="none" w:sz="0" w:space="0" w:color="auto"/>
        <w:bottom w:val="none" w:sz="0" w:space="0" w:color="auto"/>
        <w:right w:val="none" w:sz="0" w:space="0" w:color="auto"/>
      </w:divBdr>
    </w:div>
    <w:div w:id="1694769701">
      <w:bodyDiv w:val="1"/>
      <w:marLeft w:val="0"/>
      <w:marRight w:val="0"/>
      <w:marTop w:val="0"/>
      <w:marBottom w:val="0"/>
      <w:divBdr>
        <w:top w:val="none" w:sz="0" w:space="0" w:color="auto"/>
        <w:left w:val="none" w:sz="0" w:space="0" w:color="auto"/>
        <w:bottom w:val="none" w:sz="0" w:space="0" w:color="auto"/>
        <w:right w:val="none" w:sz="0" w:space="0" w:color="auto"/>
      </w:divBdr>
    </w:div>
    <w:div w:id="1705475343">
      <w:bodyDiv w:val="1"/>
      <w:marLeft w:val="0"/>
      <w:marRight w:val="0"/>
      <w:marTop w:val="0"/>
      <w:marBottom w:val="0"/>
      <w:divBdr>
        <w:top w:val="none" w:sz="0" w:space="0" w:color="auto"/>
        <w:left w:val="none" w:sz="0" w:space="0" w:color="auto"/>
        <w:bottom w:val="none" w:sz="0" w:space="0" w:color="auto"/>
        <w:right w:val="none" w:sz="0" w:space="0" w:color="auto"/>
      </w:divBdr>
    </w:div>
    <w:div w:id="1711145867">
      <w:bodyDiv w:val="1"/>
      <w:marLeft w:val="0"/>
      <w:marRight w:val="0"/>
      <w:marTop w:val="0"/>
      <w:marBottom w:val="0"/>
      <w:divBdr>
        <w:top w:val="none" w:sz="0" w:space="0" w:color="auto"/>
        <w:left w:val="none" w:sz="0" w:space="0" w:color="auto"/>
        <w:bottom w:val="none" w:sz="0" w:space="0" w:color="auto"/>
        <w:right w:val="none" w:sz="0" w:space="0" w:color="auto"/>
      </w:divBdr>
    </w:div>
    <w:div w:id="1716271055">
      <w:bodyDiv w:val="1"/>
      <w:marLeft w:val="0"/>
      <w:marRight w:val="0"/>
      <w:marTop w:val="0"/>
      <w:marBottom w:val="0"/>
      <w:divBdr>
        <w:top w:val="none" w:sz="0" w:space="0" w:color="auto"/>
        <w:left w:val="none" w:sz="0" w:space="0" w:color="auto"/>
        <w:bottom w:val="none" w:sz="0" w:space="0" w:color="auto"/>
        <w:right w:val="none" w:sz="0" w:space="0" w:color="auto"/>
      </w:divBdr>
    </w:div>
    <w:div w:id="1805851806">
      <w:bodyDiv w:val="1"/>
      <w:marLeft w:val="0"/>
      <w:marRight w:val="0"/>
      <w:marTop w:val="0"/>
      <w:marBottom w:val="0"/>
      <w:divBdr>
        <w:top w:val="none" w:sz="0" w:space="0" w:color="auto"/>
        <w:left w:val="none" w:sz="0" w:space="0" w:color="auto"/>
        <w:bottom w:val="none" w:sz="0" w:space="0" w:color="auto"/>
        <w:right w:val="none" w:sz="0" w:space="0" w:color="auto"/>
      </w:divBdr>
    </w:div>
    <w:div w:id="1821196005">
      <w:bodyDiv w:val="1"/>
      <w:marLeft w:val="0"/>
      <w:marRight w:val="0"/>
      <w:marTop w:val="0"/>
      <w:marBottom w:val="0"/>
      <w:divBdr>
        <w:top w:val="none" w:sz="0" w:space="0" w:color="auto"/>
        <w:left w:val="none" w:sz="0" w:space="0" w:color="auto"/>
        <w:bottom w:val="none" w:sz="0" w:space="0" w:color="auto"/>
        <w:right w:val="none" w:sz="0" w:space="0" w:color="auto"/>
      </w:divBdr>
    </w:div>
    <w:div w:id="1847014740">
      <w:bodyDiv w:val="1"/>
      <w:marLeft w:val="0"/>
      <w:marRight w:val="0"/>
      <w:marTop w:val="0"/>
      <w:marBottom w:val="0"/>
      <w:divBdr>
        <w:top w:val="none" w:sz="0" w:space="0" w:color="auto"/>
        <w:left w:val="none" w:sz="0" w:space="0" w:color="auto"/>
        <w:bottom w:val="none" w:sz="0" w:space="0" w:color="auto"/>
        <w:right w:val="none" w:sz="0" w:space="0" w:color="auto"/>
      </w:divBdr>
    </w:div>
    <w:div w:id="1852915710">
      <w:bodyDiv w:val="1"/>
      <w:marLeft w:val="0"/>
      <w:marRight w:val="0"/>
      <w:marTop w:val="0"/>
      <w:marBottom w:val="0"/>
      <w:divBdr>
        <w:top w:val="none" w:sz="0" w:space="0" w:color="auto"/>
        <w:left w:val="none" w:sz="0" w:space="0" w:color="auto"/>
        <w:bottom w:val="none" w:sz="0" w:space="0" w:color="auto"/>
        <w:right w:val="none" w:sz="0" w:space="0" w:color="auto"/>
      </w:divBdr>
    </w:div>
    <w:div w:id="1856074915">
      <w:bodyDiv w:val="1"/>
      <w:marLeft w:val="0"/>
      <w:marRight w:val="0"/>
      <w:marTop w:val="0"/>
      <w:marBottom w:val="0"/>
      <w:divBdr>
        <w:top w:val="none" w:sz="0" w:space="0" w:color="auto"/>
        <w:left w:val="none" w:sz="0" w:space="0" w:color="auto"/>
        <w:bottom w:val="none" w:sz="0" w:space="0" w:color="auto"/>
        <w:right w:val="none" w:sz="0" w:space="0" w:color="auto"/>
      </w:divBdr>
    </w:div>
    <w:div w:id="1878008672">
      <w:bodyDiv w:val="1"/>
      <w:marLeft w:val="0"/>
      <w:marRight w:val="0"/>
      <w:marTop w:val="0"/>
      <w:marBottom w:val="0"/>
      <w:divBdr>
        <w:top w:val="none" w:sz="0" w:space="0" w:color="auto"/>
        <w:left w:val="none" w:sz="0" w:space="0" w:color="auto"/>
        <w:bottom w:val="none" w:sz="0" w:space="0" w:color="auto"/>
        <w:right w:val="none" w:sz="0" w:space="0" w:color="auto"/>
      </w:divBdr>
    </w:div>
    <w:div w:id="1950046022">
      <w:bodyDiv w:val="1"/>
      <w:marLeft w:val="0"/>
      <w:marRight w:val="0"/>
      <w:marTop w:val="0"/>
      <w:marBottom w:val="0"/>
      <w:divBdr>
        <w:top w:val="none" w:sz="0" w:space="0" w:color="auto"/>
        <w:left w:val="none" w:sz="0" w:space="0" w:color="auto"/>
        <w:bottom w:val="none" w:sz="0" w:space="0" w:color="auto"/>
        <w:right w:val="none" w:sz="0" w:space="0" w:color="auto"/>
      </w:divBdr>
    </w:div>
    <w:div w:id="1962832587">
      <w:bodyDiv w:val="1"/>
      <w:marLeft w:val="0"/>
      <w:marRight w:val="0"/>
      <w:marTop w:val="0"/>
      <w:marBottom w:val="0"/>
      <w:divBdr>
        <w:top w:val="none" w:sz="0" w:space="0" w:color="auto"/>
        <w:left w:val="none" w:sz="0" w:space="0" w:color="auto"/>
        <w:bottom w:val="none" w:sz="0" w:space="0" w:color="auto"/>
        <w:right w:val="none" w:sz="0" w:space="0" w:color="auto"/>
      </w:divBdr>
    </w:div>
    <w:div w:id="1972860477">
      <w:bodyDiv w:val="1"/>
      <w:marLeft w:val="0"/>
      <w:marRight w:val="0"/>
      <w:marTop w:val="0"/>
      <w:marBottom w:val="0"/>
      <w:divBdr>
        <w:top w:val="none" w:sz="0" w:space="0" w:color="auto"/>
        <w:left w:val="none" w:sz="0" w:space="0" w:color="auto"/>
        <w:bottom w:val="none" w:sz="0" w:space="0" w:color="auto"/>
        <w:right w:val="none" w:sz="0" w:space="0" w:color="auto"/>
      </w:divBdr>
    </w:div>
    <w:div w:id="1980450513">
      <w:bodyDiv w:val="1"/>
      <w:marLeft w:val="0"/>
      <w:marRight w:val="0"/>
      <w:marTop w:val="0"/>
      <w:marBottom w:val="0"/>
      <w:divBdr>
        <w:top w:val="none" w:sz="0" w:space="0" w:color="auto"/>
        <w:left w:val="none" w:sz="0" w:space="0" w:color="auto"/>
        <w:bottom w:val="none" w:sz="0" w:space="0" w:color="auto"/>
        <w:right w:val="none" w:sz="0" w:space="0" w:color="auto"/>
      </w:divBdr>
    </w:div>
    <w:div w:id="1998529090">
      <w:bodyDiv w:val="1"/>
      <w:marLeft w:val="0"/>
      <w:marRight w:val="0"/>
      <w:marTop w:val="0"/>
      <w:marBottom w:val="0"/>
      <w:divBdr>
        <w:top w:val="none" w:sz="0" w:space="0" w:color="auto"/>
        <w:left w:val="none" w:sz="0" w:space="0" w:color="auto"/>
        <w:bottom w:val="none" w:sz="0" w:space="0" w:color="auto"/>
        <w:right w:val="none" w:sz="0" w:space="0" w:color="auto"/>
      </w:divBdr>
    </w:div>
    <w:div w:id="2014606290">
      <w:bodyDiv w:val="1"/>
      <w:marLeft w:val="0"/>
      <w:marRight w:val="0"/>
      <w:marTop w:val="0"/>
      <w:marBottom w:val="0"/>
      <w:divBdr>
        <w:top w:val="none" w:sz="0" w:space="0" w:color="auto"/>
        <w:left w:val="none" w:sz="0" w:space="0" w:color="auto"/>
        <w:bottom w:val="none" w:sz="0" w:space="0" w:color="auto"/>
        <w:right w:val="none" w:sz="0" w:space="0" w:color="auto"/>
      </w:divBdr>
    </w:div>
    <w:div w:id="2019503493">
      <w:bodyDiv w:val="1"/>
      <w:marLeft w:val="0"/>
      <w:marRight w:val="0"/>
      <w:marTop w:val="0"/>
      <w:marBottom w:val="0"/>
      <w:divBdr>
        <w:top w:val="none" w:sz="0" w:space="0" w:color="auto"/>
        <w:left w:val="none" w:sz="0" w:space="0" w:color="auto"/>
        <w:bottom w:val="none" w:sz="0" w:space="0" w:color="auto"/>
        <w:right w:val="none" w:sz="0" w:space="0" w:color="auto"/>
      </w:divBdr>
    </w:div>
    <w:div w:id="2029409813">
      <w:bodyDiv w:val="1"/>
      <w:marLeft w:val="0"/>
      <w:marRight w:val="0"/>
      <w:marTop w:val="0"/>
      <w:marBottom w:val="0"/>
      <w:divBdr>
        <w:top w:val="none" w:sz="0" w:space="0" w:color="auto"/>
        <w:left w:val="none" w:sz="0" w:space="0" w:color="auto"/>
        <w:bottom w:val="none" w:sz="0" w:space="0" w:color="auto"/>
        <w:right w:val="none" w:sz="0" w:space="0" w:color="auto"/>
      </w:divBdr>
    </w:div>
    <w:div w:id="2065369943">
      <w:bodyDiv w:val="1"/>
      <w:marLeft w:val="0"/>
      <w:marRight w:val="0"/>
      <w:marTop w:val="0"/>
      <w:marBottom w:val="0"/>
      <w:divBdr>
        <w:top w:val="none" w:sz="0" w:space="0" w:color="auto"/>
        <w:left w:val="none" w:sz="0" w:space="0" w:color="auto"/>
        <w:bottom w:val="none" w:sz="0" w:space="0" w:color="auto"/>
        <w:right w:val="none" w:sz="0" w:space="0" w:color="auto"/>
      </w:divBdr>
    </w:div>
    <w:div w:id="2066370703">
      <w:bodyDiv w:val="1"/>
      <w:marLeft w:val="0"/>
      <w:marRight w:val="0"/>
      <w:marTop w:val="0"/>
      <w:marBottom w:val="0"/>
      <w:divBdr>
        <w:top w:val="none" w:sz="0" w:space="0" w:color="auto"/>
        <w:left w:val="none" w:sz="0" w:space="0" w:color="auto"/>
        <w:bottom w:val="none" w:sz="0" w:space="0" w:color="auto"/>
        <w:right w:val="none" w:sz="0" w:space="0" w:color="auto"/>
      </w:divBdr>
    </w:div>
    <w:div w:id="2072995483">
      <w:bodyDiv w:val="1"/>
      <w:marLeft w:val="0"/>
      <w:marRight w:val="0"/>
      <w:marTop w:val="0"/>
      <w:marBottom w:val="0"/>
      <w:divBdr>
        <w:top w:val="none" w:sz="0" w:space="0" w:color="auto"/>
        <w:left w:val="none" w:sz="0" w:space="0" w:color="auto"/>
        <w:bottom w:val="none" w:sz="0" w:space="0" w:color="auto"/>
        <w:right w:val="none" w:sz="0" w:space="0" w:color="auto"/>
      </w:divBdr>
    </w:div>
    <w:div w:id="2104833025">
      <w:bodyDiv w:val="1"/>
      <w:marLeft w:val="0"/>
      <w:marRight w:val="0"/>
      <w:marTop w:val="0"/>
      <w:marBottom w:val="0"/>
      <w:divBdr>
        <w:top w:val="none" w:sz="0" w:space="0" w:color="auto"/>
        <w:left w:val="none" w:sz="0" w:space="0" w:color="auto"/>
        <w:bottom w:val="none" w:sz="0" w:space="0" w:color="auto"/>
        <w:right w:val="none" w:sz="0" w:space="0" w:color="auto"/>
      </w:divBdr>
    </w:div>
    <w:div w:id="2111579942">
      <w:bodyDiv w:val="1"/>
      <w:marLeft w:val="0"/>
      <w:marRight w:val="0"/>
      <w:marTop w:val="0"/>
      <w:marBottom w:val="0"/>
      <w:divBdr>
        <w:top w:val="none" w:sz="0" w:space="0" w:color="auto"/>
        <w:left w:val="none" w:sz="0" w:space="0" w:color="auto"/>
        <w:bottom w:val="none" w:sz="0" w:space="0" w:color="auto"/>
        <w:right w:val="none" w:sz="0" w:space="0" w:color="auto"/>
      </w:divBdr>
    </w:div>
    <w:div w:id="2112968207">
      <w:bodyDiv w:val="1"/>
      <w:marLeft w:val="0"/>
      <w:marRight w:val="0"/>
      <w:marTop w:val="0"/>
      <w:marBottom w:val="0"/>
      <w:divBdr>
        <w:top w:val="none" w:sz="0" w:space="0" w:color="auto"/>
        <w:left w:val="none" w:sz="0" w:space="0" w:color="auto"/>
        <w:bottom w:val="none" w:sz="0" w:space="0" w:color="auto"/>
        <w:right w:val="none" w:sz="0" w:space="0" w:color="auto"/>
      </w:divBdr>
    </w:div>
    <w:div w:id="212777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emf"/><Relationship Id="rId42" Type="http://schemas.openxmlformats.org/officeDocument/2006/relationships/image" Target="media/image21.emf"/><Relationship Id="rId47" Type="http://schemas.openxmlformats.org/officeDocument/2006/relationships/image" Target="media/image25.png"/><Relationship Id="rId63" Type="http://schemas.openxmlformats.org/officeDocument/2006/relationships/image" Target="media/image40.emf"/><Relationship Id="rId68" Type="http://schemas.openxmlformats.org/officeDocument/2006/relationships/image" Target="media/image43.emf"/><Relationship Id="rId84" Type="http://schemas.openxmlformats.org/officeDocument/2006/relationships/image" Target="media/image56.png"/><Relationship Id="rId89" Type="http://schemas.openxmlformats.org/officeDocument/2006/relationships/image" Target="media/image61.png"/><Relationship Id="rId16" Type="http://schemas.openxmlformats.org/officeDocument/2006/relationships/chart" Target="charts/chart6.xml"/><Relationship Id="rId11" Type="http://schemas.openxmlformats.org/officeDocument/2006/relationships/chart" Target="charts/chart4.xml"/><Relationship Id="rId32" Type="http://schemas.openxmlformats.org/officeDocument/2006/relationships/image" Target="media/image12.emf"/><Relationship Id="rId37" Type="http://schemas.openxmlformats.org/officeDocument/2006/relationships/package" Target="embeddings/Hoja_de_c_lculo_de_Microsoft_Excel6.xlsx"/><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chart" Target="charts/chart14.xml"/><Relationship Id="rId79" Type="http://schemas.openxmlformats.org/officeDocument/2006/relationships/image" Target="media/image51.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hyperlink" Target="file:///O:\2%20GRUPO%20DE%20PLANEACI&#211;N%20Y%20PROGRAMACI&#211;N\14.77%20Presupuesto\Informes%202018\INFORMES%20DE%20GESTI&#211;N%202018\II%20trimestre\Informe%202%20%20triestre.docx" TargetMode="External"/><Relationship Id="rId22" Type="http://schemas.openxmlformats.org/officeDocument/2006/relationships/package" Target="embeddings/Hoja_de_c_lculo_de_Microsoft_Excel2.xlsx"/><Relationship Id="rId27" Type="http://schemas.openxmlformats.org/officeDocument/2006/relationships/package" Target="embeddings/Hoja_de_c_lculo_de_Microsoft_Excel4.xlsx"/><Relationship Id="rId43" Type="http://schemas.openxmlformats.org/officeDocument/2006/relationships/image" Target="media/image22.emf"/><Relationship Id="rId48" Type="http://schemas.openxmlformats.org/officeDocument/2006/relationships/image" Target="media/image26.png"/><Relationship Id="rId64" Type="http://schemas.openxmlformats.org/officeDocument/2006/relationships/image" Target="media/image41.emf"/><Relationship Id="rId69" Type="http://schemas.openxmlformats.org/officeDocument/2006/relationships/chart" Target="charts/chart13.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package" Target="embeddings/Hoja_de_c_lculo_de_Microsoft_Excel3.xlsx"/><Relationship Id="rId33" Type="http://schemas.openxmlformats.org/officeDocument/2006/relationships/image" Target="media/image13.emf"/><Relationship Id="rId38" Type="http://schemas.openxmlformats.org/officeDocument/2006/relationships/image" Target="media/image17.png"/><Relationship Id="rId46" Type="http://schemas.openxmlformats.org/officeDocument/2006/relationships/image" Target="media/image24.emf"/><Relationship Id="rId59" Type="http://schemas.openxmlformats.org/officeDocument/2006/relationships/image" Target="media/image36.emf"/><Relationship Id="rId67" Type="http://schemas.openxmlformats.org/officeDocument/2006/relationships/chart" Target="charts/chart12.xml"/><Relationship Id="rId103" Type="http://schemas.openxmlformats.org/officeDocument/2006/relationships/theme" Target="theme/theme1.xml"/><Relationship Id="rId20" Type="http://schemas.openxmlformats.org/officeDocument/2006/relationships/package" Target="embeddings/Hoja_de_c_lculo_de_Microsoft_Excel1.xlsx"/><Relationship Id="rId41" Type="http://schemas.openxmlformats.org/officeDocument/2006/relationships/image" Target="media/image20.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4.png"/><Relationship Id="rId75" Type="http://schemas.openxmlformats.org/officeDocument/2006/relationships/chart" Target="charts/chart15.xml"/><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hyperlink" Target="file:///O:\2%20GRUPO%20DE%20PLANEACI&#211;N%20Y%20PROGRAMACI&#211;N\14.77%20Presupuesto\Informes%202018\INFORMES%20DE%20GESTI&#211;N%202018\II%20trimestre\Informe%202%20%20triestr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6.emf"/><Relationship Id="rId49" Type="http://schemas.openxmlformats.org/officeDocument/2006/relationships/chart" Target="charts/chart10.xml"/><Relationship Id="rId57" Type="http://schemas.openxmlformats.org/officeDocument/2006/relationships/image" Target="media/image34.emf"/><Relationship Id="rId10" Type="http://schemas.openxmlformats.org/officeDocument/2006/relationships/chart" Target="charts/chart3.xm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chart" Target="charts/chart11.xml"/><Relationship Id="rId73" Type="http://schemas.openxmlformats.org/officeDocument/2006/relationships/image" Target="media/image47.emf"/><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yperlink" Target="file:///O:\2%20GRUPO%20DE%20PLANEACI&#211;N%20Y%20PROGRAMACI&#211;N\14.77%20Presupuesto\Informes%202018\INFORMES%20DE%20GESTI&#211;N%202018\II%20trimestre\Informe%202%20%20triestre.docx" TargetMode="External"/><Relationship Id="rId99" Type="http://schemas.openxmlformats.org/officeDocument/2006/relationships/hyperlink" Target="file:///O:\2%20GRUPO%20DE%20PLANEACI&#211;N%20Y%20PROGRAMACI&#211;N\14.77%20Presupuesto\Informes%202018\INFORMES%20DE%20GESTI&#211;N%202018\II%20trimestre\Informe%202%20%20triestre.docx"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1.emf"/><Relationship Id="rId18" Type="http://schemas.openxmlformats.org/officeDocument/2006/relationships/chart" Target="charts/chart8.xml"/><Relationship Id="rId39" Type="http://schemas.openxmlformats.org/officeDocument/2006/relationships/image" Target="media/image18.emf"/><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2.emf"/><Relationship Id="rId76" Type="http://schemas.openxmlformats.org/officeDocument/2006/relationships/image" Target="media/image48.emf"/><Relationship Id="rId97" Type="http://schemas.openxmlformats.org/officeDocument/2006/relationships/hyperlink" Target="file:///O:\2%20GRUPO%20DE%20PLANEACI&#211;N%20Y%20PROGRAMACI&#211;N\14.77%20Presupuesto\Informes%202018\INFORMES%20DE%20GESTI&#211;N%202018\II%20trimestre\Informe%202%20%20triestre.docx" TargetMode="External"/><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yperlink" Target="file:///O:\2%20GRUPO%20DE%20PLANEACI&#211;N%20Y%20PROGRAMACI&#211;N\14.77%20Presupuesto\Informes%202018\INFORMES%20DE%20GESTI&#211;N%202018\II%20trimestre\Informe%202%20%20triestre.docx" TargetMode="External"/><Relationship Id="rId2" Type="http://schemas.openxmlformats.org/officeDocument/2006/relationships/numbering" Target="numbering.xml"/><Relationship Id="rId29" Type="http://schemas.openxmlformats.org/officeDocument/2006/relationships/package" Target="embeddings/Hoja_de_c_lculo_de_Microsoft_Excel5.xlsx"/><Relationship Id="rId24" Type="http://schemas.openxmlformats.org/officeDocument/2006/relationships/image" Target="media/image7.emf"/><Relationship Id="rId40" Type="http://schemas.openxmlformats.org/officeDocument/2006/relationships/image" Target="media/image19.emf"/><Relationship Id="rId45" Type="http://schemas.openxmlformats.org/officeDocument/2006/relationships/chart" Target="charts/chart9.xml"/><Relationship Id="rId66" Type="http://schemas.openxmlformats.org/officeDocument/2006/relationships/image" Target="media/image42.emf"/><Relationship Id="rId87" Type="http://schemas.openxmlformats.org/officeDocument/2006/relationships/image" Target="media/image59.png"/><Relationship Id="rId61" Type="http://schemas.openxmlformats.org/officeDocument/2006/relationships/image" Target="media/image38.emf"/><Relationship Id="rId82" Type="http://schemas.openxmlformats.org/officeDocument/2006/relationships/image" Target="media/image54.png"/><Relationship Id="rId19" Type="http://schemas.openxmlformats.org/officeDocument/2006/relationships/image" Target="media/image4.emf"/><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3.emf"/><Relationship Id="rId77" Type="http://schemas.openxmlformats.org/officeDocument/2006/relationships/image" Target="media/image49.png"/><Relationship Id="rId100"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media/image28.emf"/><Relationship Id="rId72" Type="http://schemas.openxmlformats.org/officeDocument/2006/relationships/image" Target="media/image46.emf"/><Relationship Id="rId93" Type="http://schemas.openxmlformats.org/officeDocument/2006/relationships/hyperlink" Target="file:///O:\2%20GRUPO%20DE%20PLANEACI&#211;N%20Y%20PROGRAMACI&#211;N\14.77%20Presupuesto\Informes%202018\INFORMES%20DE%20GESTI&#211;N%202018\II%20trimestre\Informe%202%20%20triestre.docx" TargetMode="External"/><Relationship Id="rId98" Type="http://schemas.openxmlformats.org/officeDocument/2006/relationships/hyperlink" Target="file:///O:\2%20GRUPO%20DE%20PLANEACI&#211;N%20Y%20PROGRAMACI&#211;N\14.77%20Presupuesto\Informes%202018\INFORMES%20DE%20GESTI&#211;N%202018\II%20trimestre\Informe%202%20%20triestre.doc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charts/_rels/chart1.xml.rels><?xml version="1.0" encoding="UTF-8" standalone="yes"?>
<Relationships xmlns="http://schemas.openxmlformats.org/package/2006/relationships"><Relationship Id="rId1" Type="http://schemas.openxmlformats.org/officeDocument/2006/relationships/oleObject" Target="file:///\\serv-mme-files\C0\Oficina_Plan_Ges_Internacional\2%20GRUPO%20DE%20PLANEACI&#211;N%20Y%20PROGRAMACI&#211;N\14.77%20Presupuesto\Informes%202018\INFORMES%20DE%20GESTI&#211;N%202018\II%20trimestre\MATRIZ%20AYUDA%20INFORME%20TRIMESTRAL.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2.xml.rels><?xml version="1.0" encoding="UTF-8" standalone="yes"?>
<Relationships xmlns="http://schemas.openxmlformats.org/package/2006/relationships"><Relationship Id="rId2" Type="http://schemas.openxmlformats.org/officeDocument/2006/relationships/oleObject" Target="file:///C:\Users\dcastro.CREG\AppData\Roaming\Microsoft\Excel\Hoja%20de%20Trabajo%20Inf%20I%20Trim%202018%20(version%201).xls"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castro.CREG\AppData\Roaming\Microsoft\Excel\Hoja%20de%20Trabajo%20Inf%20I%20Trim%202018%20(version%201).xls"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file:///\\serv-mme-files\C0\Oficina_Plan_Ges_Internacional\2%20GRUPO%20DE%20PLANEACI&#211;N%20Y%20PROGRAMACI&#211;N\14.77%20Presupuesto\Informes%202018\INFORMES%20DE%20GESTI&#211;N%202018\II%20trimestre\MATRIZ%20AYUDA%20INFORME%20TRIMESTRA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erv-mme-files\C0\Oficina_Plan_Ges_Internacional\2%20GRUPO%20DE%20PLANEACI&#211;N%20Y%20PROGRAMACI&#211;N\14.77%20Presupuesto\Informes%202018\INFORMES%20DE%20GESTI&#211;N%202018\II%20trimestre\MATRIZ%20AYUDA%20INFORME%20TRIMESTRAL.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serv-mme-files\C0\Oficina_Plan_Ges_Internacional\2%20GRUPO%20DE%20PLANEACI&#211;N%20Y%20PROGRAMACI&#211;N\14.77%20Presupuesto\Informes%202018\INFORMES%20DE%20GESTI&#211;N%202018\II%20trimestre\MATRIZ%20AYUDA%20INFORME%20TRIMESTRAL.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serv-mme-files\C0\Oficina_Plan_Ges_Internacional\2%20GRUPO%20DE%20PLANEACI&#211;N%20Y%20PROGRAMACI&#211;N\14.77%20Presupuesto\Informes%202018\INFORMES%20DE%20GESTI&#211;N%202018\II%20trimestre\MATRIZ%20AYUDA%20INFORME%20TRIMESTRA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serv-mme-files\C0\Oficina_Plan_Ges_Internacional\2%20GRUPO%20DE%20PLANEACI&#211;N%20Y%20PROGRAMACI&#211;N\14.77%20Presupuesto\Informes%202018\I%20trimestre\MATRIZ%20AYUDA%20INFORME%20TRIMESTRAL.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630443052502344E-2"/>
          <c:y val="0.23900994927258412"/>
          <c:w val="0.86447608283757471"/>
          <c:h val="0.55135955878067022"/>
        </c:manualLayout>
      </c:layout>
      <c:pie3DChart>
        <c:varyColors val="1"/>
        <c:ser>
          <c:idx val="1"/>
          <c:order val="0"/>
          <c:tx>
            <c:strRef>
              <c:f>Hoja1!$A$3:$A$4</c:f>
              <c:strCache>
                <c:ptCount val="2"/>
                <c:pt idx="0">
                  <c:v>Funcionamiento</c:v>
                </c:pt>
                <c:pt idx="1">
                  <c:v>Inversión</c:v>
                </c:pt>
              </c:strCache>
            </c:strRef>
          </c:tx>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24-4CE2-B670-0A533694F3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24-4CE2-B670-0A533694F3A4}"/>
              </c:ext>
            </c:extLst>
          </c:dPt>
          <c:dLbls>
            <c:dLbl>
              <c:idx val="0"/>
              <c:layout>
                <c:manualLayout>
                  <c:x val="4.4873112931767697E-2"/>
                  <c:y val="-6.0961586056609812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524-4CE2-B670-0A533694F3A4}"/>
                </c:ext>
              </c:extLst>
            </c:dLbl>
            <c:dLbl>
              <c:idx val="1"/>
              <c:layout>
                <c:manualLayout>
                  <c:x val="-3.0068548318468623E-2"/>
                  <c:y val="7.98068739046362E-3"/>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524-4CE2-B670-0A533694F3A4}"/>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extLst>
          </c:dLbls>
          <c:cat>
            <c:strRef>
              <c:f>Hoja1!$A$3:$A$4</c:f>
              <c:strCache>
                <c:ptCount val="2"/>
                <c:pt idx="0">
                  <c:v>Funcionamiento</c:v>
                </c:pt>
                <c:pt idx="1">
                  <c:v>Inversión</c:v>
                </c:pt>
              </c:strCache>
            </c:strRef>
          </c:cat>
          <c:val>
            <c:numRef>
              <c:f>Hoja1!$B$3:$B$4</c:f>
              <c:numCache>
                <c:formatCode>_-* #,##0\ _€_-;\-* #,##0\ _€_-;_-* "-"??\ _€_-;_-@_-</c:formatCode>
                <c:ptCount val="2"/>
                <c:pt idx="0">
                  <c:v>659537</c:v>
                </c:pt>
                <c:pt idx="1">
                  <c:v>3599470</c:v>
                </c:pt>
              </c:numCache>
            </c:numRef>
          </c:val>
          <c:extLst>
            <c:ext xmlns:c16="http://schemas.microsoft.com/office/drawing/2014/chart" uri="{C3380CC4-5D6E-409C-BE32-E72D297353CC}">
              <c16:uniqueId val="{00000004-A524-4CE2-B670-0A533694F3A4}"/>
            </c:ext>
          </c:extLst>
        </c:ser>
        <c:ser>
          <c:idx val="2"/>
          <c:order val="1"/>
          <c:tx>
            <c:strRef>
              <c:f>Hoja1!$A$5</c:f>
              <c:strCache>
                <c:ptCount val="1"/>
                <c:pt idx="0">
                  <c:v>Total apropiación Sector</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A524-4CE2-B670-0A533694F3A4}"/>
              </c:ext>
            </c:extLst>
          </c:dPt>
          <c:cat>
            <c:strRef>
              <c:f>Hoja1!$A$3:$A$4</c:f>
              <c:strCache>
                <c:ptCount val="2"/>
                <c:pt idx="0">
                  <c:v>Funcionamiento</c:v>
                </c:pt>
                <c:pt idx="1">
                  <c:v>Inversión</c:v>
                </c:pt>
              </c:strCache>
            </c:strRef>
          </c:cat>
          <c:val>
            <c:numRef>
              <c:f>Hoja1!$B$5</c:f>
              <c:numCache>
                <c:formatCode>_-* #,##0\ _€_-;\-* #,##0\ _€_-;_-* "-"??\ _€_-;_-@_-</c:formatCode>
                <c:ptCount val="1"/>
                <c:pt idx="0">
                  <c:v>4259007</c:v>
                </c:pt>
              </c:numCache>
            </c:numRef>
          </c:val>
          <c:extLst>
            <c:ext xmlns:c16="http://schemas.microsoft.com/office/drawing/2014/chart" uri="{C3380CC4-5D6E-409C-BE32-E72D297353CC}">
              <c16:uniqueId val="{00000007-A524-4CE2-B670-0A533694F3A4}"/>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dir="4140000" algn="ctr" rotWithShape="0">
        <a:srgbClr val="000000">
          <a:alpha val="43137"/>
        </a:srgbClr>
      </a:outerShdw>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s-CO" sz="1600"/>
              <a:t>Ejecucion presupuesto 2018</a:t>
            </a:r>
          </a:p>
          <a:p>
            <a:pPr>
              <a:defRPr sz="1600" b="1" i="0" u="none" strike="noStrike" kern="1200" baseline="0">
                <a:solidFill>
                  <a:schemeClr val="dk1">
                    <a:lumMod val="75000"/>
                    <a:lumOff val="25000"/>
                  </a:schemeClr>
                </a:solidFill>
                <a:latin typeface="+mn-lt"/>
                <a:ea typeface="+mn-ea"/>
                <a:cs typeface="+mn-cs"/>
              </a:defRPr>
            </a:pPr>
            <a:r>
              <a:rPr lang="es-CO" sz="1600"/>
              <a:t>Consolidado a Seguridad, Comunidades y Medio Ambiente</a:t>
            </a:r>
          </a:p>
        </c:rich>
      </c:tx>
      <c:layout/>
      <c:overlay val="0"/>
      <c:spPr>
        <a:noFill/>
        <a:ln w="25399">
          <a:noFill/>
        </a:ln>
      </c:spPr>
    </c:title>
    <c:autoTitleDeleted val="0"/>
    <c:plotArea>
      <c:layout>
        <c:manualLayout>
          <c:layoutTarget val="inner"/>
          <c:xMode val="edge"/>
          <c:yMode val="edge"/>
          <c:x val="0.197953393930767"/>
          <c:y val="0.36384259259259266"/>
          <c:w val="0.75303991141011839"/>
          <c:h val="0.52875801983085446"/>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rgbClr val="98C8C7"/>
              </a:solidFill>
              <a:ln w="9525" cap="flat" cmpd="sng" algn="ctr">
                <a:solidFill>
                  <a:schemeClr val="lt1">
                    <a:alpha val="50000"/>
                  </a:schemeClr>
                </a:solidFill>
                <a:round/>
              </a:ln>
              <a:effectLst/>
            </c:spPr>
            <c:extLst>
              <c:ext xmlns:c16="http://schemas.microsoft.com/office/drawing/2014/chart" uri="{C3380CC4-5D6E-409C-BE32-E72D297353CC}">
                <c16:uniqueId val="{00000000-F550-4092-B2EC-08D0AA1D9FDF}"/>
              </c:ext>
            </c:extLst>
          </c:dPt>
          <c:dPt>
            <c:idx val="1"/>
            <c:invertIfNegative val="0"/>
            <c:bubble3D val="0"/>
            <c:spPr>
              <a:solidFill>
                <a:srgbClr val="A4EE72"/>
              </a:solidFill>
              <a:ln w="9525" cap="flat" cmpd="sng" algn="ctr">
                <a:solidFill>
                  <a:schemeClr val="lt1">
                    <a:alpha val="50000"/>
                  </a:schemeClr>
                </a:solidFill>
                <a:round/>
              </a:ln>
              <a:effectLst/>
            </c:spPr>
            <c:extLst>
              <c:ext xmlns:c16="http://schemas.microsoft.com/office/drawing/2014/chart" uri="{C3380CC4-5D6E-409C-BE32-E72D297353CC}">
                <c16:uniqueId val="{00000001-F550-4092-B2EC-08D0AA1D9FDF}"/>
              </c:ext>
            </c:extLst>
          </c:dPt>
          <c:dPt>
            <c:idx val="2"/>
            <c:invertIfNegative val="0"/>
            <c:bubble3D val="0"/>
            <c:spPr>
              <a:solidFill>
                <a:schemeClr val="accent2">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2-F550-4092-B2EC-08D0AA1D9FDF}"/>
              </c:ext>
            </c:extLst>
          </c:dPt>
          <c:dPt>
            <c:idx val="3"/>
            <c:invertIfNegative val="0"/>
            <c:bubble3D val="0"/>
            <c:spPr>
              <a:solidFill>
                <a:schemeClr val="accent1">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F550-4092-B2EC-08D0AA1D9FDF}"/>
              </c:ext>
            </c:extLst>
          </c:dPt>
          <c:dPt>
            <c:idx val="4"/>
            <c:invertIfNegative val="0"/>
            <c:bubble3D val="0"/>
            <c:spPr>
              <a:solidFill>
                <a:srgbClr val="FFFF66"/>
              </a:solidFill>
              <a:ln w="9525" cap="flat" cmpd="sng" algn="ctr">
                <a:solidFill>
                  <a:schemeClr val="lt1">
                    <a:alpha val="50000"/>
                  </a:schemeClr>
                </a:solidFill>
                <a:round/>
              </a:ln>
              <a:effectLst/>
            </c:spPr>
            <c:extLst>
              <c:ext xmlns:c16="http://schemas.microsoft.com/office/drawing/2014/chart" uri="{C3380CC4-5D6E-409C-BE32-E72D297353CC}">
                <c16:uniqueId val="{00000004-F550-4092-B2EC-08D0AA1D9FDF}"/>
              </c:ext>
            </c:extLst>
          </c:dPt>
          <c:dLbls>
            <c:dLbl>
              <c:idx val="0"/>
              <c:layout/>
              <c:tx>
                <c:rich>
                  <a:bodyPr/>
                  <a:lstStyle/>
                  <a:p>
                    <a:r>
                      <a:rPr lang="en-US">
                        <a:solidFill>
                          <a:schemeClr val="tx1"/>
                        </a:solidFill>
                      </a:rPr>
                      <a:t>[]</a:t>
                    </a:r>
                  </a:p>
                </c:rich>
              </c:tx>
              <c:dLblPos val="in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50-4092-B2EC-08D0AA1D9FDF}"/>
                </c:ext>
              </c:extLst>
            </c:dLbl>
            <c:dLbl>
              <c:idx val="1"/>
              <c:layout/>
              <c:tx>
                <c:rich>
                  <a:bodyPr/>
                  <a:lstStyle/>
                  <a:p>
                    <a:r>
                      <a:rPr lang="en-US">
                        <a:solidFill>
                          <a:schemeClr val="tx1"/>
                        </a:solidFill>
                      </a:rPr>
                      <a:t>[]</a:t>
                    </a:r>
                  </a:p>
                </c:rich>
              </c:tx>
              <c:dLblPos val="in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50-4092-B2EC-08D0AA1D9FDF}"/>
                </c:ext>
              </c:extLst>
            </c:dLbl>
            <c:dLbl>
              <c:idx val="2"/>
              <c:layout/>
              <c:tx>
                <c:rich>
                  <a:bodyPr/>
                  <a:lstStyle/>
                  <a:p>
                    <a:r>
                      <a:rPr lang="en-US">
                        <a:solidFill>
                          <a:schemeClr val="tx1"/>
                        </a:solidFill>
                      </a:rPr>
                      <a:t>[]</a:t>
                    </a:r>
                  </a:p>
                </c:rich>
              </c:tx>
              <c:dLblPos val="in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550-4092-B2EC-08D0AA1D9FDF}"/>
                </c:ext>
              </c:extLst>
            </c:dLbl>
            <c:dLbl>
              <c:idx val="3"/>
              <c:layout>
                <c:manualLayout>
                  <c:x val="-5.1648678511992903E-2"/>
                  <c:y val="0"/>
                </c:manualLayout>
              </c:layout>
              <c:tx>
                <c:rich>
                  <a:bodyPr/>
                  <a:lstStyle/>
                  <a:p>
                    <a:r>
                      <a:rPr lang="en-US">
                        <a:solidFill>
                          <a:schemeClr val="tx1"/>
                        </a:solidFill>
                      </a:rPr>
                      <a:t>[]</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550-4092-B2EC-08D0AA1D9FDF}"/>
                </c:ext>
              </c:extLst>
            </c:dLbl>
            <c:dLbl>
              <c:idx val="4"/>
              <c:layout>
                <c:manualLayout>
                  <c:x val="-5.6902881378205261E-2"/>
                  <c:y val="0"/>
                </c:manualLayout>
              </c:layout>
              <c:tx>
                <c:rich>
                  <a:bodyPr/>
                  <a:lstStyle/>
                  <a:p>
                    <a:r>
                      <a:rPr lang="en-US">
                        <a:solidFill>
                          <a:schemeClr val="tx1"/>
                        </a:solidFill>
                      </a:rPr>
                      <a:t>[]</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550-4092-B2EC-08D0AA1D9FDF}"/>
                </c:ext>
              </c:extLst>
            </c:dLbl>
            <c:spPr>
              <a:noFill/>
              <a:ln w="25399">
                <a:noFill/>
              </a:ln>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trimestral'!$E$95:$I$95</c:f>
              <c:strCache>
                <c:ptCount val="5"/>
                <c:pt idx="0">
                  <c:v>APROPIACION</c:v>
                </c:pt>
                <c:pt idx="1">
                  <c:v>DISPONIBILIDAD</c:v>
                </c:pt>
                <c:pt idx="2">
                  <c:v>COMPROMISOS</c:v>
                </c:pt>
                <c:pt idx="3">
                  <c:v>OBLIGACIONES</c:v>
                </c:pt>
                <c:pt idx="4">
                  <c:v>PAGOS</c:v>
                </c:pt>
              </c:strCache>
            </c:strRef>
          </c:cat>
          <c:val>
            <c:numRef>
              <c:f>'informe trimestral'!$E$97:$I$97</c:f>
              <c:numCache>
                <c:formatCode>0%</c:formatCode>
                <c:ptCount val="5"/>
                <c:pt idx="0">
                  <c:v>1</c:v>
                </c:pt>
                <c:pt idx="1">
                  <c:v>0.88455096937527566</c:v>
                </c:pt>
                <c:pt idx="2">
                  <c:v>0.86915082839841373</c:v>
                </c:pt>
                <c:pt idx="3">
                  <c:v>0.10219568819513004</c:v>
                </c:pt>
                <c:pt idx="4">
                  <c:v>9.9010894057999663E-2</c:v>
                </c:pt>
              </c:numCache>
            </c:numRef>
          </c:val>
          <c:extLst>
            <c:ext xmlns:c16="http://schemas.microsoft.com/office/drawing/2014/chart" uri="{C3380CC4-5D6E-409C-BE32-E72D297353CC}">
              <c16:uniqueId val="{00000005-F550-4092-B2EC-08D0AA1D9FDF}"/>
            </c:ext>
          </c:extLst>
        </c:ser>
        <c:dLbls>
          <c:showLegendKey val="0"/>
          <c:showVal val="0"/>
          <c:showCatName val="0"/>
          <c:showSerName val="0"/>
          <c:showPercent val="0"/>
          <c:showBubbleSize val="0"/>
        </c:dLbls>
        <c:gapWidth val="65"/>
        <c:axId val="-1693871552"/>
        <c:axId val="-1693870464"/>
      </c:barChart>
      <c:catAx>
        <c:axId val="-16938715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693870464"/>
        <c:crosses val="autoZero"/>
        <c:auto val="1"/>
        <c:lblAlgn val="ctr"/>
        <c:lblOffset val="100"/>
        <c:noMultiLvlLbl val="0"/>
      </c:catAx>
      <c:valAx>
        <c:axId val="-1693870464"/>
        <c:scaling>
          <c:orientation val="minMax"/>
          <c:max val="1"/>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693871552"/>
        <c:crosses val="autoZero"/>
        <c:crossBetween val="between"/>
      </c:valAx>
      <c:spPr>
        <a:noFill/>
        <a:ln w="25399">
          <a:noFill/>
        </a:ln>
      </c:spPr>
    </c:plotArea>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6C-48FD-9E23-374C3348B8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6C-48FD-9E23-374C3348B83F}"/>
              </c:ext>
            </c:extLst>
          </c:dPt>
          <c:dLbls>
            <c:dLbl>
              <c:idx val="0"/>
              <c:layout>
                <c:manualLayout>
                  <c:x val="0.10296202856599081"/>
                  <c:y val="-9.3918874002002509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36C-48FD-9E23-374C3348B83F}"/>
                </c:ext>
              </c:extLst>
            </c:dLbl>
            <c:dLbl>
              <c:idx val="1"/>
              <c:layout>
                <c:manualLayout>
                  <c:x val="-4.1862853146729342E-2"/>
                  <c:y val="-1.8641683795973484E-2"/>
                </c:manualLayout>
              </c:layou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36C-48FD-9E23-374C3348B8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Graficos!$H$2:$H$3</c:f>
              <c:strCache>
                <c:ptCount val="2"/>
                <c:pt idx="0">
                  <c:v>GASTOS DE FUNCIONAMIENTO </c:v>
                </c:pt>
                <c:pt idx="1">
                  <c:v>INVERSION </c:v>
                </c:pt>
              </c:strCache>
            </c:strRef>
          </c:cat>
          <c:val>
            <c:numRef>
              <c:f>Graficos!$K$2:$K$3</c:f>
              <c:numCache>
                <c:formatCode>_(* #,##0_);_(* \(#,##0\);_(* "-"??_);_(@_)</c:formatCode>
                <c:ptCount val="2"/>
                <c:pt idx="0">
                  <c:v>21778</c:v>
                </c:pt>
                <c:pt idx="1">
                  <c:v>7449</c:v>
                </c:pt>
              </c:numCache>
            </c:numRef>
          </c:val>
          <c:extLst>
            <c:ext xmlns:c16="http://schemas.microsoft.com/office/drawing/2014/chart" uri="{C3380CC4-5D6E-409C-BE32-E72D297353CC}">
              <c16:uniqueId val="{00000004-F36C-48FD-9E23-374C3348B83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'GRAFICOS - I TRIM'!$I$5</c:f>
              <c:strCache>
                <c:ptCount val="1"/>
                <c:pt idx="0">
                  <c:v>VALOR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6.8779637157171003E-2"/>
                  <c:y val="-6.0350030175015099E-2"/>
                </c:manualLayout>
              </c:layout>
              <c:spPr>
                <a:noFill/>
                <a:ln w="25400">
                  <a:noFill/>
                </a:ln>
              </c:spPr>
              <c:txPr>
                <a:bodyPr wrap="square" lIns="38100" tIns="19050" rIns="38100" bIns="19050" anchor="ctr">
                  <a:spAutoFit/>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FC-4C4E-A62E-8036C1F9E2EF}"/>
                </c:ext>
              </c:extLst>
            </c:dLbl>
            <c:dLbl>
              <c:idx val="1"/>
              <c:layout>
                <c:manualLayout>
                  <c:x val="0.11771917867569615"/>
                  <c:y val="-6.1754139229214085E-2"/>
                </c:manualLayout>
              </c:layout>
              <c:spPr>
                <a:noFill/>
                <a:ln w="25400">
                  <a:noFill/>
                </a:ln>
              </c:spPr>
              <c:txPr>
                <a:bodyPr wrap="square" lIns="38100" tIns="19050" rIns="38100" bIns="19050" anchor="ctr">
                  <a:spAutoFit/>
                </a:bodyPr>
                <a:lstStyle/>
                <a:p>
                  <a:pPr>
                    <a:defRPr/>
                  </a:pPr>
                  <a:endParaRPr lang="es-CO"/>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FC-4C4E-A62E-8036C1F9E2EF}"/>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 I TRIM'!$H$6:$H$7</c:f>
              <c:strCache>
                <c:ptCount val="2"/>
                <c:pt idx="0">
                  <c:v>Rentas totales primer trimestre de 2018</c:v>
                </c:pt>
                <c:pt idx="1">
                  <c:v>Rentas totales segundo trimestre de 2018</c:v>
                </c:pt>
              </c:strCache>
            </c:strRef>
          </c:cat>
          <c:val>
            <c:numRef>
              <c:f>'GRAFICOS - I TRIM'!$I$6:$I$7</c:f>
              <c:numCache>
                <c:formatCode>"$"\ #,##0.00_);[Red]\("$"\ #,##0.00\)</c:formatCode>
                <c:ptCount val="2"/>
                <c:pt idx="0">
                  <c:v>14253.021157840001</c:v>
                </c:pt>
                <c:pt idx="1">
                  <c:v>1551.75162796</c:v>
                </c:pt>
              </c:numCache>
            </c:numRef>
          </c:val>
          <c:extLst>
            <c:ext xmlns:c16="http://schemas.microsoft.com/office/drawing/2014/chart" uri="{C3380CC4-5D6E-409C-BE32-E72D297353CC}">
              <c16:uniqueId val="{00000002-44FC-4C4E-A62E-8036C1F9E2EF}"/>
            </c:ext>
          </c:extLst>
        </c:ser>
        <c:dLbls>
          <c:showLegendKey val="0"/>
          <c:showVal val="0"/>
          <c:showCatName val="0"/>
          <c:showSerName val="0"/>
          <c:showPercent val="0"/>
          <c:showBubbleSize val="0"/>
        </c:dLbls>
        <c:gapWidth val="75"/>
        <c:shape val="box"/>
        <c:axId val="-1693884064"/>
        <c:axId val="-1693883520"/>
        <c:axId val="0"/>
      </c:bar3DChart>
      <c:catAx>
        <c:axId val="-1693884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693883520"/>
        <c:crosses val="autoZero"/>
        <c:auto val="1"/>
        <c:lblAlgn val="ctr"/>
        <c:lblOffset val="100"/>
        <c:noMultiLvlLbl val="0"/>
      </c:catAx>
      <c:valAx>
        <c:axId val="-1693883520"/>
        <c:scaling>
          <c:orientation val="minMax"/>
        </c:scaling>
        <c:delete val="0"/>
        <c:axPos val="l"/>
        <c:numFmt formatCode="&quot;$&quot;\ #,##0.00_);[Red]\(&quot;$&quot;\ #,##0.00\)" sourceLinked="1"/>
        <c:majorTickMark val="none"/>
        <c:minorTickMark val="none"/>
        <c:tickLblPos val="nextTo"/>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6938840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sz="1200">
                <a:latin typeface="Arial" panose="020B0604020202020204" pitchFamily="34" charset="0"/>
                <a:cs typeface="Arial" panose="020B0604020202020204" pitchFamily="34" charset="0"/>
              </a:rPr>
              <a:t>Colocación de recursos CSF por parte de la DTN durante cada trimestre de 2018</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81862970281935"/>
          <c:y val="0.26640045437281568"/>
          <c:w val="0.77564711214848592"/>
          <c:h val="0.37988176860049999"/>
        </c:manualLayout>
      </c:layout>
      <c:bar3DChart>
        <c:barDir val="col"/>
        <c:grouping val="clustered"/>
        <c:varyColors val="0"/>
        <c:ser>
          <c:idx val="0"/>
          <c:order val="0"/>
          <c:tx>
            <c:strRef>
              <c:f>'GRAFICOS - I TRIM'!$Q$5</c:f>
              <c:strCache>
                <c:ptCount val="1"/>
                <c:pt idx="0">
                  <c:v>VALOR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elete val="1"/>
          </c:dLbls>
          <c:cat>
            <c:strRef>
              <c:f>'GRAFICOS - I TRIM'!$P$6:$P$7</c:f>
              <c:strCache>
                <c:ptCount val="2"/>
                <c:pt idx="0">
                  <c:v>Situado recursos DTN cubrimiento pagos primer trimestre de 2018</c:v>
                </c:pt>
                <c:pt idx="1">
                  <c:v>Situado recursos DTN cubrimiento pagos  segundo trimestre de 2018</c:v>
                </c:pt>
              </c:strCache>
            </c:strRef>
          </c:cat>
          <c:val>
            <c:numRef>
              <c:f>'GRAFICOS - I TRIM'!$Q$6:$Q$7</c:f>
              <c:numCache>
                <c:formatCode>#,##0.00</c:formatCode>
                <c:ptCount val="2"/>
                <c:pt idx="0" formatCode="&quot;$&quot;\ #,##0.00_);[Red]\(&quot;$&quot;\ #,##0.00\)">
                  <c:v>866.69462641999996</c:v>
                </c:pt>
                <c:pt idx="1">
                  <c:v>1067.1400837399999</c:v>
                </c:pt>
              </c:numCache>
            </c:numRef>
          </c:val>
          <c:extLst>
            <c:ext xmlns:c16="http://schemas.microsoft.com/office/drawing/2014/chart" uri="{C3380CC4-5D6E-409C-BE32-E72D297353CC}">
              <c16:uniqueId val="{00000000-5AD3-495C-9AFD-C10DD3FF157D}"/>
            </c:ext>
          </c:extLst>
        </c:ser>
        <c:dLbls>
          <c:showLegendKey val="0"/>
          <c:showVal val="1"/>
          <c:showCatName val="0"/>
          <c:showSerName val="0"/>
          <c:showPercent val="0"/>
          <c:showBubbleSize val="0"/>
        </c:dLbls>
        <c:gapWidth val="150"/>
        <c:shape val="box"/>
        <c:axId val="-1691542704"/>
        <c:axId val="-1691537264"/>
        <c:axId val="0"/>
      </c:bar3DChart>
      <c:catAx>
        <c:axId val="-1691542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691537264"/>
        <c:crosses val="autoZero"/>
        <c:auto val="1"/>
        <c:lblAlgn val="ctr"/>
        <c:lblOffset val="100"/>
        <c:noMultiLvlLbl val="0"/>
      </c:catAx>
      <c:valAx>
        <c:axId val="-1691537264"/>
        <c:scaling>
          <c:orientation val="minMax"/>
        </c:scaling>
        <c:delete val="0"/>
        <c:axPos val="l"/>
        <c:majorGridlines>
          <c:spPr>
            <a:ln w="9525" cap="flat" cmpd="sng" algn="ctr">
              <a:noFill/>
              <a:round/>
            </a:ln>
            <a:effectLst/>
          </c:spPr>
        </c:majorGridlines>
        <c:numFmt formatCode="&quot;$&quot;\ #,##0.00_);[Red]\(&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691542704"/>
        <c:crosses val="autoZero"/>
        <c:crossBetween val="between"/>
      </c:valAx>
      <c:dTable>
        <c:showHorzBorder val="0"/>
        <c:showVertBorder val="0"/>
        <c:showOutline val="0"/>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Compromisos a Junio 30 de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'compromis a MAR 2018 '!$A$2</c:f>
              <c:strCache>
                <c:ptCount val="1"/>
                <c:pt idx="0">
                  <c:v>FUNCIONAMIENTO</c:v>
                </c:pt>
              </c:strCache>
            </c:strRef>
          </c:tx>
          <c:spPr>
            <a:solidFill>
              <a:schemeClr val="accent1"/>
            </a:solidFill>
            <a:ln>
              <a:noFill/>
            </a:ln>
            <a:effectLst/>
            <a:sp3d/>
          </c:spPr>
          <c:invertIfNegative val="0"/>
          <c:dLbls>
            <c:dLbl>
              <c:idx val="0"/>
              <c:layout>
                <c:manualLayout>
                  <c:x val="-3.4188034188034188E-3"/>
                  <c:y val="-5.60560560560561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29-4D0D-A988-ABB23C483604}"/>
                </c:ext>
              </c:extLst>
            </c:dLbl>
            <c:dLbl>
              <c:idx val="1"/>
              <c:layout>
                <c:manualLayout>
                  <c:x val="1.7094017094017096E-2"/>
                  <c:y val="-3.60360360360360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29-4D0D-A988-ABB23C4836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 a MAR 2018 '!$B$1:$C$1</c:f>
              <c:strCache>
                <c:ptCount val="2"/>
                <c:pt idx="0">
                  <c:v>APROPIACION  </c:v>
                </c:pt>
                <c:pt idx="1">
                  <c:v>COMPROMISO</c:v>
                </c:pt>
              </c:strCache>
            </c:strRef>
          </c:cat>
          <c:val>
            <c:numRef>
              <c:f>'compromis a MAR 2018 '!$B$2:$C$2</c:f>
              <c:numCache>
                <c:formatCode>"$"#,##0</c:formatCode>
                <c:ptCount val="2"/>
                <c:pt idx="0">
                  <c:v>15269.58</c:v>
                </c:pt>
                <c:pt idx="1">
                  <c:v>6755.3216227299999</c:v>
                </c:pt>
              </c:numCache>
            </c:numRef>
          </c:val>
          <c:extLst>
            <c:ext xmlns:c16="http://schemas.microsoft.com/office/drawing/2014/chart" uri="{C3380CC4-5D6E-409C-BE32-E72D297353CC}">
              <c16:uniqueId val="{00000002-3929-4D0D-A988-ABB23C483604}"/>
            </c:ext>
          </c:extLst>
        </c:ser>
        <c:ser>
          <c:idx val="1"/>
          <c:order val="1"/>
          <c:tx>
            <c:strRef>
              <c:f>'compromis a MAR 2018 '!$A$3</c:f>
              <c:strCache>
                <c:ptCount val="1"/>
                <c:pt idx="0">
                  <c:v>INVERSION</c:v>
                </c:pt>
              </c:strCache>
            </c:strRef>
          </c:tx>
          <c:spPr>
            <a:solidFill>
              <a:schemeClr val="accent2"/>
            </a:solidFill>
            <a:ln>
              <a:noFill/>
            </a:ln>
            <a:effectLst/>
            <a:sp3d/>
          </c:spPr>
          <c:invertIfNegative val="0"/>
          <c:dLbls>
            <c:dLbl>
              <c:idx val="0"/>
              <c:layout>
                <c:manualLayout>
                  <c:x val="8.8888888888888892E-2"/>
                  <c:y val="-4.40440440440440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29-4D0D-A988-ABB23C483604}"/>
                </c:ext>
              </c:extLst>
            </c:dLbl>
            <c:dLbl>
              <c:idx val="1"/>
              <c:layout>
                <c:manualLayout>
                  <c:x val="7.8632478632478631E-2"/>
                  <c:y val="-3.6036036036036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929-4D0D-A988-ABB23C4836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'compromis a MAR 2018 '!$B$1:$C$1</c:f>
              <c:strCache>
                <c:ptCount val="2"/>
                <c:pt idx="0">
                  <c:v>APROPIACION  </c:v>
                </c:pt>
                <c:pt idx="1">
                  <c:v>COMPROMISO</c:v>
                </c:pt>
              </c:strCache>
            </c:strRef>
          </c:cat>
          <c:val>
            <c:numRef>
              <c:f>'compromis a MAR 2018 '!$B$3:$C$3</c:f>
              <c:numCache>
                <c:formatCode>"$"#,##0</c:formatCode>
                <c:ptCount val="2"/>
                <c:pt idx="0">
                  <c:v>19271.900000000001</c:v>
                </c:pt>
                <c:pt idx="1">
                  <c:v>4721.3023162</c:v>
                </c:pt>
              </c:numCache>
            </c:numRef>
          </c:val>
          <c:extLst>
            <c:ext xmlns:c16="http://schemas.microsoft.com/office/drawing/2014/chart" uri="{C3380CC4-5D6E-409C-BE32-E72D297353CC}">
              <c16:uniqueId val="{00000005-3929-4D0D-A988-ABB23C483604}"/>
            </c:ext>
          </c:extLst>
        </c:ser>
        <c:dLbls>
          <c:showLegendKey val="0"/>
          <c:showVal val="1"/>
          <c:showCatName val="0"/>
          <c:showSerName val="0"/>
          <c:showPercent val="0"/>
          <c:showBubbleSize val="0"/>
        </c:dLbls>
        <c:gapWidth val="150"/>
        <c:shape val="box"/>
        <c:axId val="-1691535088"/>
        <c:axId val="-1691530736"/>
        <c:axId val="0"/>
      </c:bar3DChart>
      <c:catAx>
        <c:axId val="-1691535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1530736"/>
        <c:crossesAt val="0"/>
        <c:auto val="1"/>
        <c:lblAlgn val="ctr"/>
        <c:lblOffset val="100"/>
        <c:noMultiLvlLbl val="0"/>
      </c:catAx>
      <c:valAx>
        <c:axId val="-1691530736"/>
        <c:scaling>
          <c:orientation val="minMax"/>
          <c:max val="35000"/>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1535088"/>
        <c:crosses val="autoZero"/>
        <c:crossBetween val="between"/>
        <c:majorUnit val="1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Obligaciones a Junio</a:t>
            </a:r>
          </a:p>
          <a:p>
            <a:pPr>
              <a:defRPr/>
            </a:pPr>
            <a:r>
              <a:rPr lang="es-CO"/>
              <a:t> 30 de 2018</a:t>
            </a:r>
          </a:p>
          <a:p>
            <a:pPr>
              <a:defRPr/>
            </a:pPr>
            <a:endParaRPr lang="es-C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'obligaciones a mar18'!$A$2</c:f>
              <c:strCache>
                <c:ptCount val="1"/>
                <c:pt idx="0">
                  <c:v>FUNCIONAMIENTO</c:v>
                </c:pt>
              </c:strCache>
            </c:strRef>
          </c:tx>
          <c:spPr>
            <a:solidFill>
              <a:schemeClr val="accent1"/>
            </a:solidFill>
            <a:ln>
              <a:noFill/>
            </a:ln>
            <a:effectLst/>
            <a:sp3d/>
          </c:spPr>
          <c:invertIfNegative val="0"/>
          <c:dLbls>
            <c:dLbl>
              <c:idx val="0"/>
              <c:layout>
                <c:manualLayout>
                  <c:x val="0"/>
                  <c:y val="-3.34378155364729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CF-48DA-AE8F-6C92AE1D51D1}"/>
                </c:ext>
              </c:extLst>
            </c:dLbl>
            <c:dLbl>
              <c:idx val="1"/>
              <c:layout>
                <c:manualLayout>
                  <c:x val="1.0818120351588911E-2"/>
                  <c:y val="-2.5078361652354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CF-48DA-AE8F-6C92AE1D51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'obligaciones a mar18'!$B$1:$C$1</c:f>
              <c:strCache>
                <c:ptCount val="2"/>
                <c:pt idx="0">
                  <c:v>APROPIACION </c:v>
                </c:pt>
                <c:pt idx="1">
                  <c:v>OBLIGACIONES</c:v>
                </c:pt>
              </c:strCache>
            </c:strRef>
          </c:cat>
          <c:val>
            <c:numRef>
              <c:f>'obligaciones a mar18'!$B$2:$C$2</c:f>
              <c:numCache>
                <c:formatCode>"$"#,##0</c:formatCode>
                <c:ptCount val="2"/>
                <c:pt idx="0">
                  <c:v>15269.58</c:v>
                </c:pt>
                <c:pt idx="1">
                  <c:v>5882.6312806000005</c:v>
                </c:pt>
              </c:numCache>
            </c:numRef>
          </c:val>
          <c:extLst>
            <c:ext xmlns:c16="http://schemas.microsoft.com/office/drawing/2014/chart" uri="{C3380CC4-5D6E-409C-BE32-E72D297353CC}">
              <c16:uniqueId val="{00000002-E1CF-48DA-AE8F-6C92AE1D51D1}"/>
            </c:ext>
          </c:extLst>
        </c:ser>
        <c:ser>
          <c:idx val="1"/>
          <c:order val="1"/>
          <c:tx>
            <c:strRef>
              <c:f>'obligaciones a mar18'!$A$3</c:f>
              <c:strCache>
                <c:ptCount val="1"/>
                <c:pt idx="0">
                  <c:v>INVERSION</c:v>
                </c:pt>
              </c:strCache>
            </c:strRef>
          </c:tx>
          <c:spPr>
            <a:solidFill>
              <a:schemeClr val="accent2"/>
            </a:solidFill>
            <a:ln>
              <a:noFill/>
            </a:ln>
            <a:effectLst/>
            <a:sp3d/>
          </c:spPr>
          <c:invertIfNegative val="0"/>
          <c:dLbls>
            <c:dLbl>
              <c:idx val="0"/>
              <c:layout>
                <c:manualLayout>
                  <c:x val="2.4340770791075002E-2"/>
                  <c:y val="-2.507836165235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CF-48DA-AE8F-6C92AE1D51D1}"/>
                </c:ext>
              </c:extLst>
            </c:dLbl>
            <c:dLbl>
              <c:idx val="1"/>
              <c:layout>
                <c:manualLayout>
                  <c:x val="2.1636240703177823E-2"/>
                  <c:y val="-2.50783616523547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1CF-48DA-AE8F-6C92AE1D51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'obligaciones a mar18'!$B$1:$C$1</c:f>
              <c:strCache>
                <c:ptCount val="2"/>
                <c:pt idx="0">
                  <c:v>APROPIACION </c:v>
                </c:pt>
                <c:pt idx="1">
                  <c:v>OBLIGACIONES</c:v>
                </c:pt>
              </c:strCache>
            </c:strRef>
          </c:cat>
          <c:val>
            <c:numRef>
              <c:f>'obligaciones a mar18'!$B$3:$C$3</c:f>
              <c:numCache>
                <c:formatCode>"$"#,##0</c:formatCode>
                <c:ptCount val="2"/>
                <c:pt idx="0">
                  <c:v>19271.900000000001</c:v>
                </c:pt>
                <c:pt idx="1">
                  <c:v>1731.5524728299999</c:v>
                </c:pt>
              </c:numCache>
            </c:numRef>
          </c:val>
          <c:extLst>
            <c:ext xmlns:c16="http://schemas.microsoft.com/office/drawing/2014/chart" uri="{C3380CC4-5D6E-409C-BE32-E72D297353CC}">
              <c16:uniqueId val="{00000005-E1CF-48DA-AE8F-6C92AE1D51D1}"/>
            </c:ext>
          </c:extLst>
        </c:ser>
        <c:dLbls>
          <c:showLegendKey val="0"/>
          <c:showVal val="0"/>
          <c:showCatName val="0"/>
          <c:showSerName val="0"/>
          <c:showPercent val="0"/>
          <c:showBubbleSize val="0"/>
        </c:dLbls>
        <c:gapWidth val="150"/>
        <c:shape val="box"/>
        <c:axId val="-1691541616"/>
        <c:axId val="-1691536720"/>
        <c:axId val="0"/>
      </c:bar3DChart>
      <c:catAx>
        <c:axId val="-1691541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1536720"/>
        <c:crosses val="autoZero"/>
        <c:auto val="1"/>
        <c:lblAlgn val="ctr"/>
        <c:lblOffset val="100"/>
        <c:noMultiLvlLbl val="0"/>
      </c:catAx>
      <c:valAx>
        <c:axId val="-1691536720"/>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91541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4B-4DD8-B5F3-ED5C67EAD1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4B-4DD8-B5F3-ED5C67EAD105}"/>
              </c:ext>
            </c:extLst>
          </c:dPt>
          <c:dLbls>
            <c:dLbl>
              <c:idx val="0"/>
              <c:layout>
                <c:manualLayout>
                  <c:x val="0.14073917322834656"/>
                  <c:y val="4.826480023330417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24B-4DD8-B5F3-ED5C67EAD105}"/>
                </c:ext>
              </c:extLst>
            </c:dLbl>
            <c:dLbl>
              <c:idx val="1"/>
              <c:layout>
                <c:manualLayout>
                  <c:x val="-4.3997812773403325E-2"/>
                  <c:y val="2.262685914260725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24B-4DD8-B5F3-ED5C67EAD1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Hoja1!$A$9:$A$10</c:f>
              <c:strCache>
                <c:ptCount val="2"/>
                <c:pt idx="0">
                  <c:v>Recursos Propios </c:v>
                </c:pt>
                <c:pt idx="1">
                  <c:v>Recursos Nación </c:v>
                </c:pt>
              </c:strCache>
            </c:strRef>
          </c:cat>
          <c:val>
            <c:numRef>
              <c:f>Hoja1!$B$9:$B$10</c:f>
              <c:numCache>
                <c:formatCode>_-* #,##0\ _€_-;\-* #,##0\ _€_-;_-* "-"??\ _€_-;_-@_-</c:formatCode>
                <c:ptCount val="2"/>
                <c:pt idx="0">
                  <c:v>772455</c:v>
                </c:pt>
                <c:pt idx="1">
                  <c:v>3486550</c:v>
                </c:pt>
              </c:numCache>
            </c:numRef>
          </c:val>
          <c:extLst>
            <c:ext xmlns:c16="http://schemas.microsoft.com/office/drawing/2014/chart" uri="{C3380CC4-5D6E-409C-BE32-E72D297353CC}">
              <c16:uniqueId val="{00000004-424B-4DD8-B5F3-ED5C67EAD105}"/>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424B-4DD8-B5F3-ED5C67EAD10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424B-4DD8-B5F3-ED5C67EAD105}"/>
              </c:ext>
            </c:extLst>
          </c:dPt>
          <c:cat>
            <c:strRef>
              <c:f>Hoja1!$A$9:$A$10</c:f>
              <c:strCache>
                <c:ptCount val="2"/>
                <c:pt idx="0">
                  <c:v>Recursos Propios </c:v>
                </c:pt>
                <c:pt idx="1">
                  <c:v>Recursos Nación </c:v>
                </c:pt>
              </c:strCache>
            </c:strRef>
          </c:cat>
          <c:val>
            <c:numRef>
              <c:f>Hoja1!$C$9:$C$10</c:f>
              <c:numCache>
                <c:formatCode>0.00%</c:formatCode>
                <c:ptCount val="2"/>
                <c:pt idx="0">
                  <c:v>0.18136982699010684</c:v>
                </c:pt>
                <c:pt idx="1">
                  <c:v>0.81863017300989316</c:v>
                </c:pt>
              </c:numCache>
            </c:numRef>
          </c:val>
          <c:extLst>
            <c:ext xmlns:c16="http://schemas.microsoft.com/office/drawing/2014/chart" uri="{C3380CC4-5D6E-409C-BE32-E72D297353CC}">
              <c16:uniqueId val="{00000009-424B-4DD8-B5F3-ED5C67EAD105}"/>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Presupuesto del Sector Minas</a:t>
            </a:r>
            <a:r>
              <a:rPr lang="es-ES" baseline="0"/>
              <a:t> y Energía por Tipo de Recurso y Entidades - II Trim - 2018</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v>Nación</c:v>
          </c:tx>
          <c:spPr>
            <a:solidFill>
              <a:schemeClr val="accent1"/>
            </a:solidFill>
            <a:ln>
              <a:noFill/>
            </a:ln>
            <a:effectLst/>
            <a:sp3d/>
          </c:spPr>
          <c:invertIfNegative val="0"/>
          <c:cat>
            <c:strRef>
              <c:f>Hoja1!$A$15:$A$21</c:f>
              <c:strCache>
                <c:ptCount val="7"/>
                <c:pt idx="0">
                  <c:v>MME</c:v>
                </c:pt>
                <c:pt idx="1">
                  <c:v>IPSE</c:v>
                </c:pt>
                <c:pt idx="2">
                  <c:v>SGC</c:v>
                </c:pt>
                <c:pt idx="3">
                  <c:v>ANM</c:v>
                </c:pt>
                <c:pt idx="4">
                  <c:v>CREG</c:v>
                </c:pt>
                <c:pt idx="5">
                  <c:v>UPME</c:v>
                </c:pt>
                <c:pt idx="6">
                  <c:v>ANH</c:v>
                </c:pt>
              </c:strCache>
            </c:strRef>
          </c:cat>
          <c:val>
            <c:numRef>
              <c:f>Hoja1!$D$15:$D$21</c:f>
              <c:numCache>
                <c:formatCode>0.00%</c:formatCode>
                <c:ptCount val="7"/>
                <c:pt idx="0">
                  <c:v>0.9599799228463668</c:v>
                </c:pt>
                <c:pt idx="1">
                  <c:v>6.9045331344739069E-3</c:v>
                </c:pt>
                <c:pt idx="2">
                  <c:v>1.537737878418494E-2</c:v>
                </c:pt>
                <c:pt idx="3">
                  <c:v>1.0092785131433652E-2</c:v>
                </c:pt>
                <c:pt idx="4">
                  <c:v>7.6453801035407491E-3</c:v>
                </c:pt>
                <c:pt idx="5">
                  <c:v>0</c:v>
                </c:pt>
                <c:pt idx="6">
                  <c:v>0</c:v>
                </c:pt>
              </c:numCache>
            </c:numRef>
          </c:val>
          <c:extLst>
            <c:ext xmlns:c16="http://schemas.microsoft.com/office/drawing/2014/chart" uri="{C3380CC4-5D6E-409C-BE32-E72D297353CC}">
              <c16:uniqueId val="{00000000-E899-4608-8361-9AB0D1E9E136}"/>
            </c:ext>
          </c:extLst>
        </c:ser>
        <c:ser>
          <c:idx val="1"/>
          <c:order val="1"/>
          <c:tx>
            <c:v>Propios</c:v>
          </c:tx>
          <c:spPr>
            <a:solidFill>
              <a:schemeClr val="accent2"/>
            </a:solidFill>
            <a:ln>
              <a:noFill/>
            </a:ln>
            <a:effectLst/>
            <a:sp3d/>
          </c:spPr>
          <c:invertIfNegative val="0"/>
          <c:cat>
            <c:strRef>
              <c:f>Hoja1!$A$15:$A$21</c:f>
              <c:strCache>
                <c:ptCount val="7"/>
                <c:pt idx="0">
                  <c:v>MME</c:v>
                </c:pt>
                <c:pt idx="1">
                  <c:v>IPSE</c:v>
                </c:pt>
                <c:pt idx="2">
                  <c:v>SGC</c:v>
                </c:pt>
                <c:pt idx="3">
                  <c:v>ANM</c:v>
                </c:pt>
                <c:pt idx="4">
                  <c:v>CREG</c:v>
                </c:pt>
                <c:pt idx="5">
                  <c:v>UPME</c:v>
                </c:pt>
                <c:pt idx="6">
                  <c:v>ANH</c:v>
                </c:pt>
              </c:strCache>
            </c:strRef>
          </c:cat>
          <c:val>
            <c:numRef>
              <c:f>Hoja1!$F$15:$F$21</c:f>
              <c:numCache>
                <c:formatCode>0.00%</c:formatCode>
                <c:ptCount val="7"/>
                <c:pt idx="0">
                  <c:v>0</c:v>
                </c:pt>
                <c:pt idx="1">
                  <c:v>2.1518349888731671E-2</c:v>
                </c:pt>
                <c:pt idx="2">
                  <c:v>1.1910048067400515E-2</c:v>
                </c:pt>
                <c:pt idx="3">
                  <c:v>9.5982041718827071E-2</c:v>
                </c:pt>
                <c:pt idx="4">
                  <c:v>0</c:v>
                </c:pt>
                <c:pt idx="5">
                  <c:v>4.3904061973676203E-2</c:v>
                </c:pt>
                <c:pt idx="6">
                  <c:v>0.82668549835136451</c:v>
                </c:pt>
              </c:numCache>
            </c:numRef>
          </c:val>
          <c:extLst>
            <c:ext xmlns:c16="http://schemas.microsoft.com/office/drawing/2014/chart" uri="{C3380CC4-5D6E-409C-BE32-E72D297353CC}">
              <c16:uniqueId val="{00000001-E899-4608-8361-9AB0D1E9E136}"/>
            </c:ext>
          </c:extLst>
        </c:ser>
        <c:dLbls>
          <c:showLegendKey val="0"/>
          <c:showVal val="0"/>
          <c:showCatName val="0"/>
          <c:showSerName val="0"/>
          <c:showPercent val="0"/>
          <c:showBubbleSize val="0"/>
        </c:dLbls>
        <c:gapWidth val="95"/>
        <c:gapDepth val="95"/>
        <c:shape val="box"/>
        <c:axId val="-886066048"/>
        <c:axId val="-888576144"/>
        <c:axId val="0"/>
      </c:bar3DChart>
      <c:catAx>
        <c:axId val="-886066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8576144"/>
        <c:crosses val="autoZero"/>
        <c:auto val="1"/>
        <c:lblAlgn val="ctr"/>
        <c:lblOffset val="100"/>
        <c:noMultiLvlLbl val="0"/>
      </c:catAx>
      <c:valAx>
        <c:axId val="-88857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86066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14A-4424-AB0D-E7874DA8D6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14A-4424-AB0D-E7874DA8D69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14A-4424-AB0D-E7874DA8D69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14A-4424-AB0D-E7874DA8D69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14A-4424-AB0D-E7874DA8D69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14A-4424-AB0D-E7874DA8D69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14A-4424-AB0D-E7874DA8D695}"/>
              </c:ext>
            </c:extLst>
          </c:dPt>
          <c:dLbls>
            <c:dLbl>
              <c:idx val="0"/>
              <c:layout>
                <c:manualLayout>
                  <c:x val="-0.15530796150481191"/>
                  <c:y val="-3.297263083272147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14A-4424-AB0D-E7874DA8D695}"/>
                </c:ext>
              </c:extLst>
            </c:dLbl>
            <c:dLbl>
              <c:idx val="6"/>
              <c:layout>
                <c:manualLayout>
                  <c:x val="1.6823709536307963E-2"/>
                  <c:y val="-0.5228960849347207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14A-4424-AB0D-E7874DA8D6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Hoja1!$A$28:$A$34</c:f>
              <c:strCache>
                <c:ptCount val="7"/>
                <c:pt idx="0">
                  <c:v>MME</c:v>
                </c:pt>
                <c:pt idx="1">
                  <c:v>IPSE</c:v>
                </c:pt>
                <c:pt idx="2">
                  <c:v>SGC</c:v>
                </c:pt>
                <c:pt idx="3">
                  <c:v>ANM</c:v>
                </c:pt>
                <c:pt idx="4">
                  <c:v>CREG</c:v>
                </c:pt>
                <c:pt idx="5">
                  <c:v>UPME</c:v>
                </c:pt>
                <c:pt idx="6">
                  <c:v>ANH</c:v>
                </c:pt>
              </c:strCache>
            </c:strRef>
          </c:cat>
          <c:val>
            <c:numRef>
              <c:f>Hoja1!$C$28:$C$34</c:f>
              <c:numCache>
                <c:formatCode>0.00%</c:formatCode>
                <c:ptCount val="7"/>
                <c:pt idx="0">
                  <c:v>0.11806009367177277</c:v>
                </c:pt>
                <c:pt idx="1">
                  <c:v>4.7201294241263188E-2</c:v>
                </c:pt>
                <c:pt idx="2">
                  <c:v>7.8518718434295573E-2</c:v>
                </c:pt>
                <c:pt idx="3">
                  <c:v>0.14615859307362589</c:v>
                </c:pt>
                <c:pt idx="4">
                  <c:v>2.9576809185837945E-2</c:v>
                </c:pt>
                <c:pt idx="5">
                  <c:v>2.2201938632707491E-2</c:v>
                </c:pt>
                <c:pt idx="6">
                  <c:v>0.5582825527604971</c:v>
                </c:pt>
              </c:numCache>
            </c:numRef>
          </c:val>
          <c:extLst>
            <c:ext xmlns:c16="http://schemas.microsoft.com/office/drawing/2014/chart" uri="{C3380CC4-5D6E-409C-BE32-E72D297353CC}">
              <c16:uniqueId val="{0000000E-514A-4424-AB0D-E7874DA8D695}"/>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Composición del Presupuesto de Inversión del Sector - II Trim 2018</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v>Nación</c:v>
          </c:tx>
          <c:spPr>
            <a:solidFill>
              <a:schemeClr val="accent1"/>
            </a:solidFill>
            <a:ln>
              <a:noFill/>
            </a:ln>
            <a:effectLst/>
            <a:sp3d/>
          </c:spPr>
          <c:invertIfNegative val="0"/>
          <c:cat>
            <c:strRef>
              <c:f>Hoja1!$A$61:$A$67</c:f>
              <c:strCache>
                <c:ptCount val="7"/>
                <c:pt idx="0">
                  <c:v>MME</c:v>
                </c:pt>
                <c:pt idx="1">
                  <c:v>IPSE</c:v>
                </c:pt>
                <c:pt idx="2">
                  <c:v>SGC</c:v>
                </c:pt>
                <c:pt idx="3">
                  <c:v>ANM</c:v>
                </c:pt>
                <c:pt idx="4">
                  <c:v>CREG</c:v>
                </c:pt>
                <c:pt idx="5">
                  <c:v>UPME</c:v>
                </c:pt>
                <c:pt idx="6">
                  <c:v>ANH</c:v>
                </c:pt>
              </c:strCache>
            </c:strRef>
          </c:cat>
          <c:val>
            <c:numRef>
              <c:f>Hoja1!$E$61:$E$67</c:f>
              <c:numCache>
                <c:formatCode>0.00%</c:formatCode>
                <c:ptCount val="7"/>
                <c:pt idx="0">
                  <c:v>0.98823066019726813</c:v>
                </c:pt>
                <c:pt idx="1">
                  <c:v>2.8910968786492013E-3</c:v>
                </c:pt>
                <c:pt idx="2">
                  <c:v>2.7166758310769941E-3</c:v>
                </c:pt>
                <c:pt idx="3">
                  <c:v>3.9098125291142588E-3</c:v>
                </c:pt>
                <c:pt idx="4">
                  <c:v>2.2517545638914573E-3</c:v>
                </c:pt>
                <c:pt idx="5">
                  <c:v>0</c:v>
                </c:pt>
                <c:pt idx="6">
                  <c:v>0</c:v>
                </c:pt>
              </c:numCache>
            </c:numRef>
          </c:val>
          <c:extLst>
            <c:ext xmlns:c16="http://schemas.microsoft.com/office/drawing/2014/chart" uri="{C3380CC4-5D6E-409C-BE32-E72D297353CC}">
              <c16:uniqueId val="{00000000-8A9A-4147-AA69-3C18DF018CAF}"/>
            </c:ext>
          </c:extLst>
        </c:ser>
        <c:ser>
          <c:idx val="1"/>
          <c:order val="1"/>
          <c:tx>
            <c:v>Propios</c:v>
          </c:tx>
          <c:spPr>
            <a:solidFill>
              <a:schemeClr val="accent2"/>
            </a:solidFill>
            <a:ln>
              <a:noFill/>
            </a:ln>
            <a:effectLst/>
            <a:sp3d/>
          </c:spPr>
          <c:invertIfNegative val="0"/>
          <c:cat>
            <c:strRef>
              <c:f>Hoja1!$A$61:$A$67</c:f>
              <c:strCache>
                <c:ptCount val="7"/>
                <c:pt idx="0">
                  <c:v>MME</c:v>
                </c:pt>
                <c:pt idx="1">
                  <c:v>IPSE</c:v>
                </c:pt>
                <c:pt idx="2">
                  <c:v>SGC</c:v>
                </c:pt>
                <c:pt idx="3">
                  <c:v>ANM</c:v>
                </c:pt>
                <c:pt idx="4">
                  <c:v>CREG</c:v>
                </c:pt>
                <c:pt idx="5">
                  <c:v>UPME</c:v>
                </c:pt>
                <c:pt idx="6">
                  <c:v>ANH</c:v>
                </c:pt>
              </c:strCache>
            </c:strRef>
          </c:cat>
          <c:val>
            <c:numRef>
              <c:f>Hoja1!$G$61:$G$67</c:f>
              <c:numCache>
                <c:formatCode>0.00%</c:formatCode>
                <c:ptCount val="7"/>
                <c:pt idx="0">
                  <c:v>0</c:v>
                </c:pt>
                <c:pt idx="1">
                  <c:v>0</c:v>
                </c:pt>
                <c:pt idx="2">
                  <c:v>7.0045266882419362E-3</c:v>
                </c:pt>
                <c:pt idx="3">
                  <c:v>0</c:v>
                </c:pt>
                <c:pt idx="4">
                  <c:v>-1.0295727616230184E-3</c:v>
                </c:pt>
                <c:pt idx="5">
                  <c:v>6.6136322297457292E-2</c:v>
                </c:pt>
                <c:pt idx="6">
                  <c:v>0.9278887237759238</c:v>
                </c:pt>
              </c:numCache>
            </c:numRef>
          </c:val>
          <c:extLst>
            <c:ext xmlns:c16="http://schemas.microsoft.com/office/drawing/2014/chart" uri="{C3380CC4-5D6E-409C-BE32-E72D297353CC}">
              <c16:uniqueId val="{00000001-8A9A-4147-AA69-3C18DF018CAF}"/>
            </c:ext>
          </c:extLst>
        </c:ser>
        <c:dLbls>
          <c:showLegendKey val="0"/>
          <c:showVal val="0"/>
          <c:showCatName val="0"/>
          <c:showSerName val="0"/>
          <c:showPercent val="0"/>
          <c:showBubbleSize val="0"/>
        </c:dLbls>
        <c:gapWidth val="95"/>
        <c:gapDepth val="95"/>
        <c:shape val="box"/>
        <c:axId val="-1521222064"/>
        <c:axId val="-1521225872"/>
        <c:axId val="0"/>
      </c:bar3DChart>
      <c:catAx>
        <c:axId val="-152122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21225872"/>
        <c:crosses val="autoZero"/>
        <c:auto val="1"/>
        <c:lblAlgn val="ctr"/>
        <c:lblOffset val="100"/>
        <c:noMultiLvlLbl val="0"/>
      </c:catAx>
      <c:valAx>
        <c:axId val="-152122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21222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448DD0"/>
              </a:solidFill>
            </c:spPr>
            <c:extLst>
              <c:ext xmlns:c16="http://schemas.microsoft.com/office/drawing/2014/chart" uri="{C3380CC4-5D6E-409C-BE32-E72D297353CC}">
                <c16:uniqueId val="{00000001-0AC6-4694-877D-6F945F8FF56D}"/>
              </c:ext>
            </c:extLst>
          </c:dPt>
          <c:dPt>
            <c:idx val="1"/>
            <c:bubble3D val="0"/>
            <c:spPr>
              <a:solidFill>
                <a:srgbClr val="D27D4E"/>
              </a:solidFill>
            </c:spPr>
            <c:extLst>
              <c:ext xmlns:c16="http://schemas.microsoft.com/office/drawing/2014/chart" uri="{C3380CC4-5D6E-409C-BE32-E72D297353CC}">
                <c16:uniqueId val="{00000003-0AC6-4694-877D-6F945F8FF56D}"/>
              </c:ext>
            </c:extLst>
          </c:dPt>
          <c:dLbls>
            <c:dLbl>
              <c:idx val="0"/>
              <c:layout>
                <c:manualLayout>
                  <c:x val="-0.18713495188101487"/>
                  <c:y val="-0.11083770778652668"/>
                </c:manualLayout>
              </c:layout>
              <c:tx>
                <c:rich>
                  <a:bodyPr/>
                  <a:lstStyle/>
                  <a:p>
                    <a:r>
                      <a:rPr lang="en-US"/>
                      <a:t>2.017.837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AC6-4694-877D-6F945F8FF56D}"/>
                </c:ext>
              </c:extLst>
            </c:dLbl>
            <c:dLbl>
              <c:idx val="1"/>
              <c:layout>
                <c:manualLayout>
                  <c:x val="0.14354166666666668"/>
                  <c:y val="2.6687809857101195E-2"/>
                </c:manualLayout>
              </c:layout>
              <c:tx>
                <c:rich>
                  <a:bodyPr/>
                  <a:lstStyle/>
                  <a:p>
                    <a:r>
                      <a:rPr lang="en-US"/>
                      <a:t>1.519.860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AC6-4694-877D-6F945F8FF56D}"/>
                </c:ext>
              </c:extLst>
            </c:dLbl>
            <c:spPr>
              <a:noFill/>
              <a:ln>
                <a:noFill/>
              </a:ln>
              <a:effectLst/>
            </c:spPr>
            <c:txPr>
              <a:bodyPr/>
              <a:lstStyle/>
              <a:p>
                <a:pPr>
                  <a:defRPr sz="1200" b="1"/>
                </a:pPr>
                <a:endParaRPr lang="es-CO"/>
              </a:p>
            </c:txPr>
            <c:showLegendKey val="0"/>
            <c:showVal val="1"/>
            <c:showCatName val="0"/>
            <c:showSerName val="0"/>
            <c:showPercent val="0"/>
            <c:showBubbleSize val="0"/>
            <c:showLeaderLines val="1"/>
            <c:extLst>
              <c:ext xmlns:c15="http://schemas.microsoft.com/office/drawing/2012/chart" uri="{CE6537A1-D6FC-4f65-9D91-7224C49458BB}"/>
            </c:extLst>
          </c:dLbls>
          <c:cat>
            <c:strRef>
              <c:f>Hoja1!$C$76:$C$77</c:f>
              <c:strCache>
                <c:ptCount val="2"/>
                <c:pt idx="0">
                  <c:v>Compromisos </c:v>
                </c:pt>
                <c:pt idx="1">
                  <c:v>Obligaciones</c:v>
                </c:pt>
              </c:strCache>
            </c:strRef>
          </c:cat>
          <c:val>
            <c:numRef>
              <c:f>Hoja1!$D$76:$D$77</c:f>
              <c:numCache>
                <c:formatCode>_-* #,##0\ _€_-;\-* #,##0\ _€_-;_-* "-"??\ _€_-;_-@_-</c:formatCode>
                <c:ptCount val="2"/>
                <c:pt idx="0">
                  <c:v>1775349</c:v>
                </c:pt>
                <c:pt idx="1">
                  <c:v>1008248</c:v>
                </c:pt>
              </c:numCache>
            </c:numRef>
          </c:val>
          <c:extLst>
            <c:ext xmlns:c16="http://schemas.microsoft.com/office/drawing/2014/chart" uri="{C3380CC4-5D6E-409C-BE32-E72D297353CC}">
              <c16:uniqueId val="{00000004-0AC6-4694-877D-6F945F8FF56D}"/>
            </c:ext>
          </c:extLst>
        </c:ser>
        <c:dLbls>
          <c:showLegendKey val="0"/>
          <c:showVal val="0"/>
          <c:showCatName val="0"/>
          <c:showSerName val="0"/>
          <c:showPercent val="0"/>
          <c:showBubbleSize val="0"/>
          <c:showLeaderLines val="1"/>
        </c:dLbls>
      </c:pie3DChart>
    </c:plotArea>
    <c:legend>
      <c:legendPos val="r"/>
      <c:layout/>
      <c:overlay val="0"/>
      <c:txPr>
        <a:bodyPr/>
        <a:lstStyle/>
        <a:p>
          <a:pPr>
            <a:defRPr sz="1200"/>
          </a:pPr>
          <a:endParaRPr lang="es-CO"/>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dLbls>
            <c:dLbl>
              <c:idx val="0"/>
              <c:layout>
                <c:manualLayout>
                  <c:x val="6.944444444444442E-2"/>
                  <c:y val="-4.16666666666666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98-4B8A-AB94-BC1FA6E9AD3E}"/>
                </c:ext>
              </c:extLst>
            </c:dLbl>
            <c:dLbl>
              <c:idx val="1"/>
              <c:layout>
                <c:manualLayout>
                  <c:x val="3.0555555555555555E-2"/>
                  <c:y val="-3.24074074074073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98-4B8A-AB94-BC1FA6E9AD3E}"/>
                </c:ext>
              </c:extLst>
            </c:dLbl>
            <c:dLbl>
              <c:idx val="2"/>
              <c:layout>
                <c:manualLayout>
                  <c:x val="5.5555555555555552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98-4B8A-AB94-BC1FA6E9AD3E}"/>
                </c:ext>
              </c:extLst>
            </c:dLbl>
            <c:dLbl>
              <c:idx val="3"/>
              <c:layout>
                <c:manualLayout>
                  <c:x val="2.5000000000000001E-2"/>
                  <c:y val="-3.24074074074073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98-4B8A-AB94-BC1FA6E9AD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Hoja1!$C$2:$C$5</c:f>
              <c:strCache>
                <c:ptCount val="4"/>
                <c:pt idx="0">
                  <c:v>Total Fuentes</c:v>
                </c:pt>
                <c:pt idx="1">
                  <c:v>Recursos corrientes</c:v>
                </c:pt>
                <c:pt idx="2">
                  <c:v>Recursos del Tesoro</c:v>
                </c:pt>
                <c:pt idx="3">
                  <c:v>Fondos Especiales</c:v>
                </c:pt>
              </c:strCache>
            </c:strRef>
          </c:cat>
          <c:val>
            <c:numRef>
              <c:f>Hoja1!$D$2:$D$5</c:f>
              <c:numCache>
                <c:formatCode>_-"$"* #,##0_-;\-"$"* #,##0_-;_-"$"* "-"_-;_-@_-</c:formatCode>
                <c:ptCount val="4"/>
                <c:pt idx="0">
                  <c:v>3347018</c:v>
                </c:pt>
                <c:pt idx="1">
                  <c:v>74392</c:v>
                </c:pt>
                <c:pt idx="2">
                  <c:v>3333823</c:v>
                </c:pt>
                <c:pt idx="3">
                  <c:v>122</c:v>
                </c:pt>
              </c:numCache>
            </c:numRef>
          </c:val>
          <c:extLst>
            <c:ext xmlns:c16="http://schemas.microsoft.com/office/drawing/2014/chart" uri="{C3380CC4-5D6E-409C-BE32-E72D297353CC}">
              <c16:uniqueId val="{00000004-1698-4B8A-AB94-BC1FA6E9AD3E}"/>
            </c:ext>
          </c:extLst>
        </c:ser>
        <c:dLbls>
          <c:showLegendKey val="0"/>
          <c:showVal val="0"/>
          <c:showCatName val="0"/>
          <c:showSerName val="0"/>
          <c:showPercent val="0"/>
          <c:showBubbleSize val="0"/>
        </c:dLbls>
        <c:gapWidth val="150"/>
        <c:shape val="box"/>
        <c:axId val="-1693874816"/>
        <c:axId val="-1693874272"/>
        <c:axId val="0"/>
      </c:bar3DChart>
      <c:catAx>
        <c:axId val="-169387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693874272"/>
        <c:crosses val="autoZero"/>
        <c:auto val="1"/>
        <c:lblAlgn val="ctr"/>
        <c:lblOffset val="100"/>
        <c:noMultiLvlLbl val="0"/>
      </c:catAx>
      <c:valAx>
        <c:axId val="-1693874272"/>
        <c:scaling>
          <c:orientation val="minMax"/>
        </c:scaling>
        <c:delete val="1"/>
        <c:axPos val="l"/>
        <c:majorGridlines>
          <c:spPr>
            <a:ln w="9524" cap="flat" cmpd="sng" algn="ctr">
              <a:solidFill>
                <a:schemeClr val="tx1">
                  <a:lumMod val="15000"/>
                  <a:lumOff val="85000"/>
                </a:schemeClr>
              </a:solidFill>
              <a:round/>
            </a:ln>
            <a:effectLst/>
          </c:spPr>
        </c:majorGridlines>
        <c:numFmt formatCode="_-&quot;$&quot;* #,##0_-;\-&quot;$&quot;* #,##0_-;_-&quot;$&quot;* &quot;-&quot;_-;_-@_-" sourceLinked="1"/>
        <c:majorTickMark val="out"/>
        <c:minorTickMark val="none"/>
        <c:tickLblPos val="nextTo"/>
        <c:crossAx val="-1693874816"/>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75000"/>
              </a:schemeClr>
            </a:solidFill>
            <a:ln>
              <a:noFill/>
            </a:ln>
            <a:effectLst/>
            <a:sp3d/>
          </c:spPr>
          <c:invertIfNegative val="0"/>
          <c:dLbls>
            <c:dLbl>
              <c:idx val="0"/>
              <c:layout>
                <c:manualLayout>
                  <c:x val="-2.5462668816039986E-17"/>
                  <c:y val="-8.33333333333334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F62-4C1F-9744-E45FC4A5995F}"/>
                </c:ext>
              </c:extLst>
            </c:dLbl>
            <c:dLbl>
              <c:idx val="1"/>
              <c:layout>
                <c:manualLayout>
                  <c:x val="3.3333333333333284E-2"/>
                  <c:y val="-4.16666666666666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F62-4C1F-9744-E45FC4A5995F}"/>
                </c:ext>
              </c:extLst>
            </c:dLbl>
            <c:dLbl>
              <c:idx val="2"/>
              <c:layout>
                <c:manualLayout>
                  <c:x val="9.7222222222222127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F62-4C1F-9744-E45FC4A5995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Hoja1!$C$33:$C$35</c:f>
              <c:strCache>
                <c:ptCount val="3"/>
                <c:pt idx="0">
                  <c:v>Gastos de funcionamiento</c:v>
                </c:pt>
                <c:pt idx="1">
                  <c:v>Inversión</c:v>
                </c:pt>
                <c:pt idx="2">
                  <c:v>Total Presupuesto</c:v>
                </c:pt>
              </c:strCache>
            </c:strRef>
          </c:cat>
          <c:val>
            <c:numRef>
              <c:f>Hoja1!$D$33:$D$35</c:f>
              <c:numCache>
                <c:formatCode>_("$"* #,##0_);_("$"* \(#,##0\);_("$"* "-"_);_(@_)</c:formatCode>
                <c:ptCount val="3"/>
                <c:pt idx="0">
                  <c:v>77865</c:v>
                </c:pt>
                <c:pt idx="1">
                  <c:v>3269153</c:v>
                </c:pt>
                <c:pt idx="2">
                  <c:v>3347018</c:v>
                </c:pt>
              </c:numCache>
            </c:numRef>
          </c:val>
          <c:extLst>
            <c:ext xmlns:c16="http://schemas.microsoft.com/office/drawing/2014/chart" uri="{C3380CC4-5D6E-409C-BE32-E72D297353CC}">
              <c16:uniqueId val="{00000003-5F62-4C1F-9744-E45FC4A5995F}"/>
            </c:ext>
          </c:extLst>
        </c:ser>
        <c:dLbls>
          <c:showLegendKey val="0"/>
          <c:showVal val="0"/>
          <c:showCatName val="0"/>
          <c:showSerName val="0"/>
          <c:showPercent val="0"/>
          <c:showBubbleSize val="0"/>
        </c:dLbls>
        <c:gapWidth val="150"/>
        <c:shape val="box"/>
        <c:axId val="-1693877536"/>
        <c:axId val="-1693876448"/>
        <c:axId val="0"/>
      </c:bar3DChart>
      <c:catAx>
        <c:axId val="-169387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693876448"/>
        <c:crosses val="autoZero"/>
        <c:auto val="1"/>
        <c:lblAlgn val="ctr"/>
        <c:lblOffset val="100"/>
        <c:noMultiLvlLbl val="0"/>
      </c:catAx>
      <c:valAx>
        <c:axId val="-1693876448"/>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crossAx val="-169387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8B8-4A70-89EF-28A50740D001}"/>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8B8-4A70-89EF-28A50740D001}"/>
              </c:ext>
            </c:extLst>
          </c:dPt>
          <c:dLbls>
            <c:dLbl>
              <c:idx val="0"/>
              <c:layout/>
              <c:tx>
                <c:rich>
                  <a:bodyPr/>
                  <a:lstStyle/>
                  <a:p>
                    <a:fld id="{E88DD917-F5DC-4AFC-8B8E-42AED6D816A4}" type="CELLRANGE">
                      <a:rPr lang="en-US"/>
                      <a:pPr/>
                      <a:t>[CELLRANGE]</a:t>
                    </a:fld>
                    <a:r>
                      <a:rPr lang="en-US" baseline="0"/>
                      <a:t>; </a:t>
                    </a:r>
                    <a:fld id="{BD926559-9D90-41DC-85D8-D85B81FEB153}" type="PERCENTAGE">
                      <a:rPr lang="en-US" baseline="0"/>
                      <a:pPr/>
                      <a:t>[PORCENTAJE]</a:t>
                    </a:fld>
                    <a:endParaRPr lang="en-US" baseline="0"/>
                  </a:p>
                </c:rich>
              </c:tx>
              <c:dLblPos val="ctr"/>
              <c:showLegendKey val="0"/>
              <c:showVal val="0"/>
              <c:showCatName val="0"/>
              <c:showSerName val="0"/>
              <c:showPercent val="1"/>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B8B8-4A70-89EF-28A50740D001}"/>
                </c:ext>
              </c:extLst>
            </c:dLbl>
            <c:dLbl>
              <c:idx val="1"/>
              <c:layout/>
              <c:tx>
                <c:rich>
                  <a:bodyPr/>
                  <a:lstStyle/>
                  <a:p>
                    <a:fld id="{7993F16C-A94B-463B-913C-7B5A3EF56A1B}" type="CELLRANGE">
                      <a:rPr lang="en-US"/>
                      <a:pPr/>
                      <a:t>[CELLRANGE]</a:t>
                    </a:fld>
                    <a:r>
                      <a:rPr lang="en-US" baseline="0"/>
                      <a:t>; </a:t>
                    </a:r>
                    <a:fld id="{5CA4A3BA-7860-4464-8372-A676E4995327}" type="PERCENTAGE">
                      <a:rPr lang="en-US" baseline="0"/>
                      <a:pPr/>
                      <a:t>[PORCENTAJE]</a:t>
                    </a:fld>
                    <a:endParaRPr lang="en-US" baseline="0"/>
                  </a:p>
                </c:rich>
              </c:tx>
              <c:dLblPos val="ctr"/>
              <c:showLegendKey val="0"/>
              <c:showVal val="0"/>
              <c:showCatName val="0"/>
              <c:showSerName val="0"/>
              <c:showPercent val="1"/>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B8B8-4A70-89EF-28A50740D0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15:showDataLabelsRange val="1"/>
              </c:ext>
            </c:extLst>
          </c:dLbls>
          <c:cat>
            <c:strRef>
              <c:f>[REP_EPG034_EjecucionPresupuestalAgregada.xlsx]Hoja1!$D$9:$E$9</c:f>
              <c:strCache>
                <c:ptCount val="2"/>
                <c:pt idx="0">
                  <c:v>Gastos de funcionamiento </c:v>
                </c:pt>
                <c:pt idx="1">
                  <c:v>Gastos de inversion </c:v>
                </c:pt>
              </c:strCache>
            </c:strRef>
          </c:cat>
          <c:val>
            <c:numRef>
              <c:f>[REP_EPG034_EjecucionPresupuestalAgregada.xlsx]Hoja1!$D$10:$E$10</c:f>
              <c:numCache>
                <c:formatCode>_("$"* #,##0_);_("$"* \(#,##0\);_("$"* "-"_);_(@_)</c:formatCode>
                <c:ptCount val="2"/>
                <c:pt idx="0">
                  <c:v>368208</c:v>
                </c:pt>
                <c:pt idx="1">
                  <c:v>270371</c:v>
                </c:pt>
              </c:numCache>
            </c:numRef>
          </c:val>
          <c:extLst>
            <c:ext xmlns:c15="http://schemas.microsoft.com/office/drawing/2012/chart" uri="{02D57815-91ED-43cb-92C2-25804820EDAC}">
              <c15:datalabelsRange>
                <c15:f>[REP_EPG034_EjecucionPresupuestalAgregada.xlsx]Hoja1!$D$10:$E$10</c15:f>
                <c15:dlblRangeCache>
                  <c:ptCount val="2"/>
                  <c:pt idx="0">
                    <c:v> $ 368.208 </c:v>
                  </c:pt>
                  <c:pt idx="1">
                    <c:v> $ 270.371 </c:v>
                  </c:pt>
                </c15:dlblRangeCache>
              </c15:datalabelsRange>
            </c:ext>
            <c:ext xmlns:c16="http://schemas.microsoft.com/office/drawing/2014/chart" uri="{C3380CC4-5D6E-409C-BE32-E72D297353CC}">
              <c16:uniqueId val="{00000004-B8B8-4A70-89EF-28A50740D001}"/>
            </c:ext>
          </c:extLst>
        </c:ser>
        <c:ser>
          <c:idx val="1"/>
          <c:order val="1"/>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B8B8-4A70-89EF-28A50740D001}"/>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B8B8-4A70-89EF-28A50740D0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[REP_EPG034_EjecucionPresupuestalAgregada.xlsx]Hoja1!$D$9:$E$9</c:f>
              <c:strCache>
                <c:ptCount val="2"/>
                <c:pt idx="0">
                  <c:v>Gastos de funcionamiento </c:v>
                </c:pt>
                <c:pt idx="1">
                  <c:v>Gastos de inversion </c:v>
                </c:pt>
              </c:strCache>
            </c:strRef>
          </c:cat>
          <c:val>
            <c:numRef>
              <c:f>[REP_EPG034_EjecucionPresupuestalAgregada.xlsx]Hoja1!$D$11:$E$11</c:f>
              <c:numCache>
                <c:formatCode>0%</c:formatCode>
                <c:ptCount val="2"/>
                <c:pt idx="0">
                  <c:v>0.57660614678238209</c:v>
                </c:pt>
                <c:pt idx="1">
                  <c:v>0.42339541919702839</c:v>
                </c:pt>
              </c:numCache>
            </c:numRef>
          </c:val>
          <c:extLst>
            <c:ext xmlns:c16="http://schemas.microsoft.com/office/drawing/2014/chart" uri="{C3380CC4-5D6E-409C-BE32-E72D297353CC}">
              <c16:uniqueId val="{00000009-B8B8-4A70-89EF-28A50740D00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DF00C-FCC2-496B-B823-5C6CD9C6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193</Pages>
  <Words>53807</Words>
  <Characters>295944</Characters>
  <Application>Microsoft Office Word</Application>
  <DocSecurity>0</DocSecurity>
  <Lines>2466</Lines>
  <Paragraphs>698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Acosta Gutierrez</dc:creator>
  <cp:lastModifiedBy>SERGIO ROMERO GARCIA</cp:lastModifiedBy>
  <cp:revision>3</cp:revision>
  <cp:lastPrinted>2017-10-09T19:22:00Z</cp:lastPrinted>
  <dcterms:created xsi:type="dcterms:W3CDTF">2019-01-16T22:05:00Z</dcterms:created>
  <dcterms:modified xsi:type="dcterms:W3CDTF">2019-01-16T22:22:00Z</dcterms:modified>
</cp:coreProperties>
</file>