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BBF089" w14:textId="1FD3848F" w:rsidR="00A56525" w:rsidRDefault="00805E20" w:rsidP="00ED444C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0911F9E" wp14:editId="7C9961B4">
                <wp:simplePos x="0" y="0"/>
                <wp:positionH relativeFrom="column">
                  <wp:posOffset>-343648</wp:posOffset>
                </wp:positionH>
                <wp:positionV relativeFrom="paragraph">
                  <wp:posOffset>-322856</wp:posOffset>
                </wp:positionV>
                <wp:extent cx="6618605" cy="8897620"/>
                <wp:effectExtent l="19050" t="19050" r="29845" b="3683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8605" cy="8897620"/>
                        </a:xfrm>
                        <a:prstGeom prst="roundRect">
                          <a:avLst>
                            <a:gd name="adj" fmla="val 9957"/>
                          </a:avLst>
                        </a:prstGeom>
                        <a:noFill/>
                        <a:ln w="50800">
                          <a:solidFill>
                            <a:srgbClr val="81C3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F90739" id="Rounded Rectangle 2" o:spid="_x0000_s1026" style="position:absolute;margin-left:-27.05pt;margin-top:-25.4pt;width:521.15pt;height:700.6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vG3vQIAAMgFAAAOAAAAZHJzL2Uyb0RvYy54bWysVE1v2zAMvQ/YfxB0X21nTZoEdYogRYYB&#10;RRu0HXpWZCn2IIuapMTJfv0o+SPBVuwwLAeFMslH8onk7d2xVuQgrKtA5zS7SikRmkNR6V1Ov72u&#10;P00pcZ7pginQIqcn4ejd4uOH28bMxQhKUIWwBEG0mzcmp6X3Zp4kjpeiZu4KjNColGBr5vFqd0lh&#10;WYPotUpGaTpJGrCFscCFc/j1vlXSRcSXUnD/JKUTnqicYm4+njae23Ami1s231lmyop3abB/yKJm&#10;lcagA9Q984zsbfUHVF1xCw6kv+JQJyBlxUWsAavJ0t+qeSmZEbEWJMeZgSb3/2D542FjSVXkdESJ&#10;ZjU+0TPsdSEK8ozkMb1TgowCTY1xc7R+MRvb3RyKoeajtHX4x2rIMVJ7GqgVR084fpxMsukkHVPC&#10;UTedzm4mo0h+cnY31vkvAmoShJzakEbIIfLKDg/OR4KLLk1WfKdE1gqf68AUmc3GNyFNBOxsUeoh&#10;g6OGdaVUfG+lSZPTcTpN0wjuQFVF0AY7Z3fblbIEQTHTbPV5ve5wL8wQW2kMFkhpaYiSPykRMJR+&#10;FhJZxcJHbYTQz2KAZZwL7bNWVbJCtNHGKf76YL1HLCkCBmSJWQ7YHUBv2YL02C0XnX1wFXEcBueu&#10;9L85Dx4xMmg/ONeVBvteZQqr6iK39j1JLTWBpS0UJ+w5C+0wOsPXFb74A3N+wyw+J84pbhT/hIdU&#10;gC8FnURJCfbne9+DPQ4FailpcJpz6n7smRWUqK8ax2WWXV+H8Y+X6/ENNh+xl5rtpUbv6xXg62e4&#10;uwyPYrD3qhelhfoNF88yREUV0xxj55R7219Wvt0yuLq4WC6jGY68Yf5BvxgewAOroUNfj2/Mmq7t&#10;PU7MI/ST3zVzy+jZNnhqWO49yMoH5ZnX7oLrIjZOt9rCPrq8R6vzAl78AgAA//8DAFBLAwQUAAYA&#10;CAAAACEAiPjz1uEAAAAMAQAADwAAAGRycy9kb3ducmV2LnhtbEyPwU7DMAyG70i8Q2QkblvaskIp&#10;TSdAICFx2kDimjYmqdYkVZNtLU8/7zRutvzp9/dX68n27IBj6LwTkC4TYOharzqnBXx/vS8KYCFK&#10;p2TvHQqYMcC6vr6qZKn80W3wsI2aUYgLpRRgYhxKzkNr0Mqw9AM6uv360cpI66i5GuWRwm3PsyS5&#10;51Z2jj4YOeCrwXa33VsBuznXKdfN5uMNTfbzYh7+5vRTiNub6fkJWMQpXmA465M61OTU+L1TgfUC&#10;FvkqJfQ8JNSBiMeiyIA1hN7lyQp4XfH/JeoTAAAA//8DAFBLAQItABQABgAIAAAAIQC2gziS/gAA&#10;AOEBAAATAAAAAAAAAAAAAAAAAAAAAABbQ29udGVudF9UeXBlc10ueG1sUEsBAi0AFAAGAAgAAAAh&#10;ADj9If/WAAAAlAEAAAsAAAAAAAAAAAAAAAAALwEAAF9yZWxzLy5yZWxzUEsBAi0AFAAGAAgAAAAh&#10;ALRG8be9AgAAyAUAAA4AAAAAAAAAAAAAAAAALgIAAGRycy9lMm9Eb2MueG1sUEsBAi0AFAAGAAgA&#10;AAAhAIj489bhAAAADAEAAA8AAAAAAAAAAAAAAAAAFwUAAGRycy9kb3ducmV2LnhtbFBLBQYAAAAA&#10;BAAEAPMAAAAlBgAAAAA=&#10;" filled="f" strokecolor="#81c3ff" strokeweight="4pt">
                <v:stroke joinstyle="miter"/>
              </v:roundrect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3D71C8" w14:paraId="0A933329" w14:textId="77777777" w:rsidTr="00567EE2">
        <w:trPr>
          <w:trHeight w:val="2076"/>
        </w:trPr>
        <w:tc>
          <w:tcPr>
            <w:tcW w:w="4675" w:type="dxa"/>
            <w:vAlign w:val="center"/>
          </w:tcPr>
          <w:p w14:paraId="62528F95" w14:textId="696CF5E1" w:rsidR="003D71C8" w:rsidRDefault="008B4D26" w:rsidP="00567EE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21A490" wp14:editId="47F29CAA">
                  <wp:extent cx="2732693" cy="551793"/>
                  <wp:effectExtent l="0" t="0" r="0" b="1270"/>
                  <wp:docPr id="10" name="Picture 10" descr="Infotic 08/02/2019 | clien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nfotic 08/02/2019 | client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064" b="39744"/>
                          <a:stretch/>
                        </pic:blipFill>
                        <pic:spPr bwMode="auto">
                          <a:xfrm>
                            <a:off x="0" y="0"/>
                            <a:ext cx="2799907" cy="56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145B3880" w14:textId="05B74E84" w:rsidR="003D71C8" w:rsidRDefault="000A7E7B" w:rsidP="00567EE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4BD3C0" wp14:editId="3D9AFE5B">
                  <wp:extent cx="1844566" cy="925970"/>
                  <wp:effectExtent l="0" t="0" r="381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IAT-Logo-1020x51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817" cy="945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B890F1" w14:textId="77777777" w:rsidR="00567EE2" w:rsidRDefault="00567EE2"/>
    <w:p w14:paraId="22077031" w14:textId="797D2488" w:rsidR="00A56525" w:rsidRDefault="00A56525" w:rsidP="00ED444C"/>
    <w:p w14:paraId="40CF32BC" w14:textId="77777777" w:rsidR="00805E20" w:rsidRPr="00805E20" w:rsidRDefault="00805E20" w:rsidP="00805E20">
      <w:pPr>
        <w:jc w:val="center"/>
        <w:rPr>
          <w:b/>
          <w:bCs/>
          <w:sz w:val="36"/>
          <w:szCs w:val="36"/>
        </w:rPr>
      </w:pPr>
      <w:bookmarkStart w:id="0" w:name="_GoBack"/>
      <w:bookmarkEnd w:id="0"/>
      <w:r w:rsidRPr="00805E20">
        <w:rPr>
          <w:b/>
          <w:bCs/>
          <w:sz w:val="36"/>
          <w:szCs w:val="36"/>
        </w:rPr>
        <w:t>Informe evento de socialización</w:t>
      </w:r>
    </w:p>
    <w:p w14:paraId="67DA35D4" w14:textId="77777777" w:rsidR="00805E20" w:rsidRPr="00805E20" w:rsidRDefault="00805E20" w:rsidP="00805E20">
      <w:pPr>
        <w:jc w:val="center"/>
        <w:rPr>
          <w:b/>
          <w:bCs/>
          <w:sz w:val="32"/>
          <w:szCs w:val="32"/>
        </w:rPr>
      </w:pPr>
      <w:r w:rsidRPr="00805E20">
        <w:rPr>
          <w:b/>
          <w:bCs/>
          <w:sz w:val="32"/>
          <w:szCs w:val="32"/>
        </w:rPr>
        <w:t>Guía Metodológica para la certificación de emisiones reducidas por la implementación de proyectos de mejora operativa en el sector de hidrocarburos</w:t>
      </w:r>
    </w:p>
    <w:p w14:paraId="394FF68F" w14:textId="77777777" w:rsidR="00805E20" w:rsidRPr="00805E20" w:rsidRDefault="00805E20" w:rsidP="00805E20">
      <w:pPr>
        <w:jc w:val="center"/>
        <w:rPr>
          <w:b/>
          <w:bCs/>
          <w:sz w:val="28"/>
          <w:szCs w:val="28"/>
        </w:rPr>
      </w:pPr>
      <w:r w:rsidRPr="00805E20">
        <w:rPr>
          <w:b/>
          <w:bCs/>
          <w:sz w:val="28"/>
          <w:szCs w:val="28"/>
        </w:rPr>
        <w:t>Bogotá, 19 de noviembre de 2019</w:t>
      </w:r>
    </w:p>
    <w:p w14:paraId="53AFF068" w14:textId="75D7C0C2" w:rsidR="00A56525" w:rsidRDefault="00A56525" w:rsidP="004F383E">
      <w:pPr>
        <w:jc w:val="center"/>
      </w:pPr>
    </w:p>
    <w:p w14:paraId="1FA698E1" w14:textId="274947AF" w:rsidR="00A56525" w:rsidRDefault="00A56525" w:rsidP="00ED444C"/>
    <w:p w14:paraId="5543B412" w14:textId="538DE37E" w:rsidR="00A56525" w:rsidRDefault="00A56525" w:rsidP="007E5FAB">
      <w:pPr>
        <w:jc w:val="center"/>
      </w:pPr>
    </w:p>
    <w:p w14:paraId="2160098E" w14:textId="783852E5" w:rsidR="00A56525" w:rsidRDefault="00567EE2" w:rsidP="00567EE2">
      <w:r>
        <w:rPr>
          <w:noProof/>
        </w:rPr>
        <w:drawing>
          <wp:inline distT="0" distB="0" distL="0" distR="0" wp14:anchorId="23D10D02" wp14:editId="14D0C77C">
            <wp:extent cx="2092095" cy="5968669"/>
            <wp:effectExtent l="4762" t="0" r="8573" b="8572"/>
            <wp:docPr id="6" name="Picture 6" descr="A large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t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11724" cy="602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B5F74" w14:textId="77777777" w:rsidR="00A56525" w:rsidRDefault="00A56525" w:rsidP="00ED444C"/>
    <w:p w14:paraId="5869E14C" w14:textId="4DC06DE1" w:rsidR="00A56525" w:rsidRDefault="00A56525" w:rsidP="00ED444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567EE2" w14:paraId="46EA9768" w14:textId="77777777" w:rsidTr="00567EE2">
        <w:trPr>
          <w:trHeight w:val="1251"/>
        </w:trPr>
        <w:tc>
          <w:tcPr>
            <w:tcW w:w="4675" w:type="dxa"/>
            <w:vAlign w:val="center"/>
          </w:tcPr>
          <w:p w14:paraId="18281242" w14:textId="77777777" w:rsidR="00567EE2" w:rsidRDefault="00567EE2" w:rsidP="008E201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BF5C88" wp14:editId="384D8887">
                  <wp:extent cx="1610436" cy="662273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887" cy="666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54511DA1" w14:textId="77777777" w:rsidR="00567EE2" w:rsidRDefault="00567EE2" w:rsidP="008E201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7B6296" wp14:editId="4581C92B">
                  <wp:extent cx="1542197" cy="547825"/>
                  <wp:effectExtent l="0" t="0" r="127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 Caia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984" cy="550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F4F9B2" w14:textId="77777777" w:rsidR="00A56525" w:rsidRDefault="00A56525" w:rsidP="00ED444C"/>
    <w:p w14:paraId="011C20BF" w14:textId="77777777" w:rsidR="00A56525" w:rsidRDefault="00A56525" w:rsidP="00ED444C"/>
    <w:p w14:paraId="466C66FC" w14:textId="724952A6" w:rsidR="00ED444C" w:rsidRPr="00ED444C" w:rsidRDefault="00C008B1" w:rsidP="00C008B1">
      <w:r w:rsidRPr="00C008B1">
        <w:rPr>
          <w:rFonts w:eastAsia="Calibri"/>
        </w:rPr>
        <w:t>Informe evento de socialización</w:t>
      </w:r>
      <w:r>
        <w:rPr>
          <w:rFonts w:eastAsia="Calibri"/>
        </w:rPr>
        <w:t xml:space="preserve">: </w:t>
      </w:r>
      <w:r w:rsidRPr="00C008B1">
        <w:rPr>
          <w:rFonts w:eastAsia="Calibri"/>
        </w:rPr>
        <w:t>Guía Metodológica para la certificación de emisiones reducidas por la implementación de proyectos de mejora operativa en el sector de hidrocarburos</w:t>
      </w:r>
      <w:r w:rsidR="002E0661">
        <w:rPr>
          <w:noProof/>
        </w:rPr>
        <w:pict w14:anchorId="3DF6F772">
          <v:rect id="_x0000_i1025" alt="" style="width:467.3pt;height:.05pt;mso-width-percent:0;mso-height-percent:0;mso-width-percent:0;mso-height-percent:0" o:hrpct="295" o:hralign="center" o:hrstd="t" o:hr="t" fillcolor="#a0a0a0" stroked="f"/>
        </w:pict>
      </w:r>
    </w:p>
    <w:p w14:paraId="27A29498" w14:textId="77777777" w:rsidR="00ED444C" w:rsidRPr="005D30AB" w:rsidRDefault="00ED444C" w:rsidP="00ED444C"/>
    <w:p w14:paraId="232B4AC3" w14:textId="77777777" w:rsidR="005D30AB" w:rsidRDefault="005D30AB" w:rsidP="00ED444C"/>
    <w:p w14:paraId="4EDFCF84" w14:textId="2F187308" w:rsidR="005D30AB" w:rsidRPr="005D30AB" w:rsidRDefault="005D30AB" w:rsidP="00ED444C">
      <w:r w:rsidRPr="005D30AB">
        <w:t xml:space="preserve">Fecha: </w:t>
      </w:r>
      <w:r w:rsidR="00C008B1">
        <w:t>26</w:t>
      </w:r>
      <w:r w:rsidRPr="005D30AB">
        <w:t xml:space="preserve"> de </w:t>
      </w:r>
      <w:r w:rsidR="00C008B1">
        <w:t>noviembre</w:t>
      </w:r>
      <w:r w:rsidRPr="005D30AB">
        <w:t xml:space="preserve"> de 201</w:t>
      </w:r>
      <w:r w:rsidR="004F7991">
        <w:t>8</w:t>
      </w:r>
    </w:p>
    <w:p w14:paraId="7B28C906" w14:textId="77777777" w:rsidR="005D30AB" w:rsidRDefault="005D30AB" w:rsidP="00ED444C">
      <w:r w:rsidRPr="005D30AB">
        <w:t>Versión: 0</w:t>
      </w:r>
    </w:p>
    <w:p w14:paraId="66B4F5B8" w14:textId="77777777" w:rsidR="005D30AB" w:rsidRDefault="005D30AB" w:rsidP="00ED444C"/>
    <w:p w14:paraId="47438E80" w14:textId="77777777" w:rsidR="005D30AB" w:rsidRDefault="005D30AB" w:rsidP="00ED444C"/>
    <w:p w14:paraId="05BEAB9B" w14:textId="77777777" w:rsidR="005D30AB" w:rsidRDefault="005D30AB" w:rsidP="00ED444C"/>
    <w:p w14:paraId="7ECA0A62" w14:textId="77777777" w:rsidR="005D30AB" w:rsidRDefault="005D30AB" w:rsidP="00ED444C"/>
    <w:p w14:paraId="27FD50D5" w14:textId="77777777" w:rsidR="005D30AB" w:rsidRDefault="005D30AB" w:rsidP="00ED444C"/>
    <w:p w14:paraId="3C12BF57" w14:textId="77777777" w:rsidR="005D30AB" w:rsidRDefault="005D30AB" w:rsidP="00ED444C"/>
    <w:p w14:paraId="36433CC8" w14:textId="77777777" w:rsidR="005D30AB" w:rsidRDefault="005D30AB" w:rsidP="00ED444C"/>
    <w:p w14:paraId="4C7F85C5" w14:textId="77777777" w:rsidR="00167BC3" w:rsidRDefault="00167BC3" w:rsidP="00ED444C"/>
    <w:p w14:paraId="533BAA7C" w14:textId="77777777" w:rsidR="005D30AB" w:rsidRDefault="005D30AB" w:rsidP="00ED444C"/>
    <w:p w14:paraId="330841AC" w14:textId="77777777" w:rsidR="007D6CB7" w:rsidRDefault="007D6CB7" w:rsidP="00ED444C"/>
    <w:p w14:paraId="5ECC292B" w14:textId="77777777" w:rsidR="007D6CB7" w:rsidRDefault="007D6CB7" w:rsidP="00ED444C"/>
    <w:p w14:paraId="59542D9D" w14:textId="77777777" w:rsidR="007D6CB7" w:rsidRDefault="007D6CB7" w:rsidP="00ED444C"/>
    <w:p w14:paraId="0D66B575" w14:textId="77777777" w:rsidR="005D30AB" w:rsidRDefault="005D30AB" w:rsidP="00ED444C">
      <w:bookmarkStart w:id="1" w:name="_Toc450213797"/>
    </w:p>
    <w:p w14:paraId="384BFFAE" w14:textId="77777777" w:rsidR="00D363DF" w:rsidRDefault="00D363DF" w:rsidP="00167BC3"/>
    <w:p w14:paraId="569C7633" w14:textId="77777777" w:rsidR="005D30AB" w:rsidRPr="00D363DF" w:rsidRDefault="005D30AB" w:rsidP="00D363DF">
      <w:pPr>
        <w:pStyle w:val="Heading1"/>
      </w:pPr>
      <w:r w:rsidRPr="00D363DF">
        <w:t>CONTROL DE INFORMES</w:t>
      </w:r>
      <w:bookmarkEnd w:id="1"/>
    </w:p>
    <w:tbl>
      <w:tblPr>
        <w:tblStyle w:val="AACustomTable"/>
        <w:tblW w:w="5000" w:type="pct"/>
        <w:tblLook w:val="04A0" w:firstRow="1" w:lastRow="0" w:firstColumn="1" w:lastColumn="0" w:noHBand="0" w:noVBand="1"/>
      </w:tblPr>
      <w:tblGrid>
        <w:gridCol w:w="3953"/>
        <w:gridCol w:w="1337"/>
        <w:gridCol w:w="1337"/>
        <w:gridCol w:w="2723"/>
      </w:tblGrid>
      <w:tr w:rsidR="000A5985" w:rsidRPr="00573738" w14:paraId="2A1CB252" w14:textId="77777777" w:rsidTr="00C008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4" w:type="pct"/>
          </w:tcPr>
          <w:p w14:paraId="4B6F6103" w14:textId="77777777" w:rsidR="005D30AB" w:rsidRPr="00573738" w:rsidRDefault="005D30AB" w:rsidP="00ED444C">
            <w:pPr>
              <w:rPr>
                <w:lang w:bidi="te-IN"/>
              </w:rPr>
            </w:pPr>
            <w:r w:rsidRPr="00573738">
              <w:rPr>
                <w:lang w:bidi="te-IN"/>
              </w:rPr>
              <w:t>TÍTULO</w:t>
            </w:r>
          </w:p>
        </w:tc>
        <w:tc>
          <w:tcPr>
            <w:tcW w:w="715" w:type="pct"/>
            <w:vAlign w:val="center"/>
          </w:tcPr>
          <w:p w14:paraId="0AE98BCE" w14:textId="77777777" w:rsidR="005D30AB" w:rsidRPr="00573738" w:rsidRDefault="005D30AB" w:rsidP="00C008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bidi="te-IN"/>
              </w:rPr>
            </w:pPr>
            <w:r w:rsidRPr="00573738">
              <w:rPr>
                <w:lang w:bidi="te-IN"/>
              </w:rPr>
              <w:t>VERSIÓN</w:t>
            </w:r>
          </w:p>
        </w:tc>
        <w:tc>
          <w:tcPr>
            <w:tcW w:w="715" w:type="pct"/>
            <w:vAlign w:val="center"/>
          </w:tcPr>
          <w:p w14:paraId="3CA51DE6" w14:textId="77777777" w:rsidR="005D30AB" w:rsidRPr="00573738" w:rsidRDefault="005D30AB" w:rsidP="00C008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bidi="te-IN"/>
              </w:rPr>
            </w:pPr>
            <w:r w:rsidRPr="00573738">
              <w:rPr>
                <w:lang w:bidi="te-IN"/>
              </w:rPr>
              <w:t>FECHA</w:t>
            </w:r>
          </w:p>
        </w:tc>
        <w:tc>
          <w:tcPr>
            <w:tcW w:w="1456" w:type="pct"/>
          </w:tcPr>
          <w:p w14:paraId="2578E602" w14:textId="2DD8893C" w:rsidR="005D30AB" w:rsidRPr="00573738" w:rsidRDefault="005D30AB" w:rsidP="00ED444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bidi="te-IN"/>
              </w:rPr>
            </w:pPr>
            <w:r w:rsidRPr="00573738">
              <w:rPr>
                <w:lang w:bidi="te-IN"/>
              </w:rPr>
              <w:t>RESPONSABLE</w:t>
            </w:r>
            <w:r w:rsidR="00C008B1">
              <w:rPr>
                <w:lang w:bidi="te-IN"/>
              </w:rPr>
              <w:t>S</w:t>
            </w:r>
          </w:p>
        </w:tc>
      </w:tr>
      <w:tr w:rsidR="005D30AB" w:rsidRPr="00573738" w14:paraId="0A3CF5C7" w14:textId="77777777" w:rsidTr="00C00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4" w:type="pct"/>
          </w:tcPr>
          <w:p w14:paraId="389BF701" w14:textId="28DEC4C6" w:rsidR="005D30AB" w:rsidRPr="00573738" w:rsidRDefault="00C008B1" w:rsidP="007D6CB7">
            <w:pPr>
              <w:rPr>
                <w:lang w:bidi="te-IN"/>
              </w:rPr>
            </w:pPr>
            <w:r w:rsidRPr="00C008B1">
              <w:rPr>
                <w:rFonts w:eastAsia="Calibri"/>
              </w:rPr>
              <w:t>Informe evento de socialización</w:t>
            </w:r>
            <w:r>
              <w:rPr>
                <w:rFonts w:eastAsia="Calibri"/>
              </w:rPr>
              <w:t xml:space="preserve">: </w:t>
            </w:r>
            <w:r w:rsidRPr="00C008B1">
              <w:rPr>
                <w:rFonts w:eastAsia="Calibri"/>
              </w:rPr>
              <w:t>Guía Metodológica para la certificación de emisiones reducidas por la implementación de proyectos de mejora operativa en el sector de hidrocarburos</w:t>
            </w:r>
            <w:r w:rsidRPr="00573738">
              <w:rPr>
                <w:lang w:bidi="te-IN"/>
              </w:rPr>
              <w:t xml:space="preserve"> </w:t>
            </w:r>
          </w:p>
        </w:tc>
        <w:tc>
          <w:tcPr>
            <w:tcW w:w="715" w:type="pct"/>
            <w:vAlign w:val="center"/>
          </w:tcPr>
          <w:p w14:paraId="525FA459" w14:textId="77777777" w:rsidR="005D30AB" w:rsidRPr="00573738" w:rsidRDefault="005D30AB" w:rsidP="00C008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te-IN"/>
              </w:rPr>
            </w:pPr>
            <w:r w:rsidRPr="00573738">
              <w:rPr>
                <w:lang w:bidi="te-IN"/>
              </w:rPr>
              <w:t>0</w:t>
            </w:r>
          </w:p>
        </w:tc>
        <w:tc>
          <w:tcPr>
            <w:tcW w:w="715" w:type="pct"/>
            <w:vAlign w:val="center"/>
          </w:tcPr>
          <w:p w14:paraId="3A30D302" w14:textId="765D8598" w:rsidR="005D30AB" w:rsidRPr="00573738" w:rsidRDefault="00C008B1" w:rsidP="00C008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te-IN"/>
              </w:rPr>
            </w:pPr>
            <w:r>
              <w:rPr>
                <w:lang w:bidi="te-IN"/>
              </w:rPr>
              <w:t>26</w:t>
            </w:r>
            <w:r w:rsidR="005D30AB" w:rsidRPr="00573738">
              <w:rPr>
                <w:lang w:bidi="te-IN"/>
              </w:rPr>
              <w:t>/1</w:t>
            </w:r>
            <w:r>
              <w:rPr>
                <w:lang w:bidi="te-IN"/>
              </w:rPr>
              <w:t>1</w:t>
            </w:r>
            <w:r w:rsidR="005D30AB" w:rsidRPr="00573738">
              <w:rPr>
                <w:lang w:bidi="te-IN"/>
              </w:rPr>
              <w:t>/1</w:t>
            </w:r>
            <w:r w:rsidR="007D6CB7">
              <w:rPr>
                <w:lang w:bidi="te-IN"/>
              </w:rPr>
              <w:t>8</w:t>
            </w:r>
          </w:p>
        </w:tc>
        <w:tc>
          <w:tcPr>
            <w:tcW w:w="1456" w:type="pct"/>
            <w:vAlign w:val="center"/>
          </w:tcPr>
          <w:p w14:paraId="56F1B168" w14:textId="0E4D4010" w:rsidR="005D30AB" w:rsidRDefault="005D30AB" w:rsidP="00C008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te-IN"/>
              </w:rPr>
            </w:pPr>
            <w:r w:rsidRPr="00573738">
              <w:rPr>
                <w:lang w:bidi="te-IN"/>
              </w:rPr>
              <w:t>Jessica Wade-Murphy de Jiménez</w:t>
            </w:r>
          </w:p>
          <w:p w14:paraId="449F58FD" w14:textId="77777777" w:rsidR="00C008B1" w:rsidRDefault="00C008B1" w:rsidP="00C008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te-IN"/>
              </w:rPr>
            </w:pPr>
          </w:p>
          <w:p w14:paraId="7E1BC40C" w14:textId="4C3AFEC9" w:rsidR="00C008B1" w:rsidRPr="00573738" w:rsidRDefault="00C008B1" w:rsidP="00C008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te-IN"/>
              </w:rPr>
            </w:pPr>
            <w:r>
              <w:rPr>
                <w:lang w:bidi="te-IN"/>
              </w:rPr>
              <w:t>Myriam Paola Aponte</w:t>
            </w:r>
          </w:p>
        </w:tc>
      </w:tr>
    </w:tbl>
    <w:p w14:paraId="3A442888" w14:textId="77777777" w:rsidR="002E0661" w:rsidRDefault="002E0661" w:rsidP="00805E20">
      <w:pPr>
        <w:pStyle w:val="Heading4"/>
      </w:pPr>
    </w:p>
    <w:p w14:paraId="4D8E9E37" w14:textId="77777777" w:rsidR="002E0661" w:rsidRDefault="002E0661">
      <w:pPr>
        <w:rPr>
          <w:b/>
          <w:bCs/>
          <w:color w:val="3E89CE"/>
          <w:sz w:val="40"/>
          <w:szCs w:val="40"/>
        </w:rPr>
      </w:pPr>
      <w:r>
        <w:lastRenderedPageBreak/>
        <w:br w:type="page"/>
      </w:r>
    </w:p>
    <w:p w14:paraId="5FAD78AE" w14:textId="63D3C08C" w:rsidR="00A9288F" w:rsidRDefault="00805E20" w:rsidP="00805E20">
      <w:pPr>
        <w:pStyle w:val="Heading4"/>
      </w:pPr>
      <w:r>
        <w:lastRenderedPageBreak/>
        <w:t>Tabla de Contenidos</w:t>
      </w:r>
    </w:p>
    <w:p w14:paraId="5519AD1A" w14:textId="3BF600CA" w:rsidR="00805E20" w:rsidRDefault="00805E20">
      <w:pPr>
        <w:pStyle w:val="TOC1"/>
        <w:tabs>
          <w:tab w:val="left" w:pos="440"/>
          <w:tab w:val="right" w:leader="dot" w:pos="9350"/>
        </w:tabs>
        <w:rPr>
          <w:rFonts w:eastAsiaTheme="minorEastAsia"/>
          <w:noProof/>
          <w:lang w:eastAsia="es-ES"/>
        </w:rPr>
      </w:pPr>
      <w:r>
        <w:fldChar w:fldCharType="begin"/>
      </w:r>
      <w:r>
        <w:instrText xml:space="preserve"> TOC \h \z \u \t "Heading 4;1;Heading 5;2;Title;1" </w:instrText>
      </w:r>
      <w:r>
        <w:fldChar w:fldCharType="separate"/>
      </w:r>
      <w:hyperlink w:anchor="_Toc25662314" w:history="1">
        <w:r w:rsidRPr="00104498">
          <w:rPr>
            <w:rStyle w:val="Hyperlink"/>
            <w:noProof/>
          </w:rPr>
          <w:t>1.</w:t>
        </w:r>
        <w:r>
          <w:rPr>
            <w:rFonts w:eastAsiaTheme="minorEastAsia"/>
            <w:noProof/>
            <w:lang w:eastAsia="es-ES"/>
          </w:rPr>
          <w:tab/>
        </w:r>
        <w:r w:rsidRPr="00104498">
          <w:rPr>
            <w:rStyle w:val="Hyperlink"/>
            <w:noProof/>
          </w:rPr>
          <w:t>Antecedentes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_Toc25662314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512997B" w14:textId="0E102853" w:rsidR="00805E20" w:rsidRDefault="0006202F">
      <w:pPr>
        <w:pStyle w:val="TOC1"/>
        <w:tabs>
          <w:tab w:val="left" w:pos="440"/>
          <w:tab w:val="right" w:leader="dot" w:pos="9350"/>
        </w:tabs>
        <w:rPr>
          <w:rFonts w:eastAsiaTheme="minorEastAsia"/>
          <w:noProof/>
          <w:lang w:eastAsia="es-ES"/>
        </w:rPr>
      </w:pPr>
      <w:hyperlink w:anchor="_Toc25662315" w:history="1">
        <w:r w:rsidR="00805E20" w:rsidRPr="00104498">
          <w:rPr>
            <w:rStyle w:val="Hyperlink"/>
            <w:noProof/>
            <w:lang w:val="es-419" w:eastAsia="en-IN" w:bidi="te-IN"/>
          </w:rPr>
          <w:t>2.</w:t>
        </w:r>
        <w:r w:rsidR="00805E20">
          <w:rPr>
            <w:rFonts w:eastAsiaTheme="minorEastAsia"/>
            <w:noProof/>
            <w:lang w:eastAsia="es-ES"/>
          </w:rPr>
          <w:tab/>
        </w:r>
        <w:r w:rsidR="00805E20" w:rsidRPr="00104498">
          <w:rPr>
            <w:rStyle w:val="Hyperlink"/>
            <w:noProof/>
            <w:lang w:val="es-419" w:eastAsia="en-IN" w:bidi="te-IN"/>
          </w:rPr>
          <w:t>Guía metodológica</w:t>
        </w:r>
        <w:r w:rsidR="00805E20">
          <w:rPr>
            <w:noProof/>
            <w:webHidden/>
          </w:rPr>
          <w:tab/>
        </w:r>
        <w:r w:rsidR="00805E20">
          <w:rPr>
            <w:noProof/>
            <w:webHidden/>
          </w:rPr>
          <w:fldChar w:fldCharType="begin"/>
        </w:r>
        <w:r w:rsidR="00805E20">
          <w:rPr>
            <w:noProof/>
            <w:webHidden/>
          </w:rPr>
          <w:instrText xml:space="preserve"> PAGEREF _Toc25662315 \h </w:instrText>
        </w:r>
        <w:r w:rsidR="00805E20">
          <w:rPr>
            <w:noProof/>
            <w:webHidden/>
          </w:rPr>
        </w:r>
        <w:r w:rsidR="00805E20">
          <w:rPr>
            <w:noProof/>
            <w:webHidden/>
          </w:rPr>
          <w:fldChar w:fldCharType="separate"/>
        </w:r>
        <w:r w:rsidR="00805E20">
          <w:rPr>
            <w:noProof/>
            <w:webHidden/>
          </w:rPr>
          <w:t>3</w:t>
        </w:r>
        <w:r w:rsidR="00805E20">
          <w:rPr>
            <w:noProof/>
            <w:webHidden/>
          </w:rPr>
          <w:fldChar w:fldCharType="end"/>
        </w:r>
      </w:hyperlink>
    </w:p>
    <w:p w14:paraId="4596F81F" w14:textId="6E9BD6A7" w:rsidR="00805E20" w:rsidRDefault="0006202F">
      <w:pPr>
        <w:pStyle w:val="TOC1"/>
        <w:tabs>
          <w:tab w:val="left" w:pos="440"/>
          <w:tab w:val="right" w:leader="dot" w:pos="9350"/>
        </w:tabs>
        <w:rPr>
          <w:rFonts w:eastAsiaTheme="minorEastAsia"/>
          <w:noProof/>
          <w:lang w:eastAsia="es-ES"/>
        </w:rPr>
      </w:pPr>
      <w:hyperlink w:anchor="_Toc25662316" w:history="1">
        <w:r w:rsidR="00805E20" w:rsidRPr="00104498">
          <w:rPr>
            <w:rStyle w:val="Hyperlink"/>
            <w:noProof/>
            <w:lang w:val="es-419" w:eastAsia="en-IN" w:bidi="te-IN"/>
          </w:rPr>
          <w:t>3.</w:t>
        </w:r>
        <w:r w:rsidR="00805E20">
          <w:rPr>
            <w:rFonts w:eastAsiaTheme="minorEastAsia"/>
            <w:noProof/>
            <w:lang w:eastAsia="es-ES"/>
          </w:rPr>
          <w:tab/>
        </w:r>
        <w:r w:rsidR="00805E20" w:rsidRPr="00104498">
          <w:rPr>
            <w:rStyle w:val="Hyperlink"/>
            <w:noProof/>
            <w:lang w:val="es-419" w:eastAsia="en-IN" w:bidi="te-IN"/>
          </w:rPr>
          <w:t>Taller y consulta pública</w:t>
        </w:r>
        <w:r w:rsidR="00805E20">
          <w:rPr>
            <w:noProof/>
            <w:webHidden/>
          </w:rPr>
          <w:tab/>
        </w:r>
        <w:r w:rsidR="00805E20">
          <w:rPr>
            <w:noProof/>
            <w:webHidden/>
          </w:rPr>
          <w:fldChar w:fldCharType="begin"/>
        </w:r>
        <w:r w:rsidR="00805E20">
          <w:rPr>
            <w:noProof/>
            <w:webHidden/>
          </w:rPr>
          <w:instrText xml:space="preserve"> PAGEREF _Toc25662316 \h </w:instrText>
        </w:r>
        <w:r w:rsidR="00805E20">
          <w:rPr>
            <w:noProof/>
            <w:webHidden/>
          </w:rPr>
        </w:r>
        <w:r w:rsidR="00805E20">
          <w:rPr>
            <w:noProof/>
            <w:webHidden/>
          </w:rPr>
          <w:fldChar w:fldCharType="separate"/>
        </w:r>
        <w:r w:rsidR="00805E20">
          <w:rPr>
            <w:noProof/>
            <w:webHidden/>
          </w:rPr>
          <w:t>4</w:t>
        </w:r>
        <w:r w:rsidR="00805E20">
          <w:rPr>
            <w:noProof/>
            <w:webHidden/>
          </w:rPr>
          <w:fldChar w:fldCharType="end"/>
        </w:r>
      </w:hyperlink>
    </w:p>
    <w:p w14:paraId="4BB9A171" w14:textId="177CBA5F" w:rsidR="00805E20" w:rsidRDefault="0006202F">
      <w:pPr>
        <w:pStyle w:val="TOC1"/>
        <w:tabs>
          <w:tab w:val="left" w:pos="440"/>
          <w:tab w:val="right" w:leader="dot" w:pos="9350"/>
        </w:tabs>
        <w:rPr>
          <w:rFonts w:eastAsiaTheme="minorEastAsia"/>
          <w:noProof/>
          <w:lang w:eastAsia="es-ES"/>
        </w:rPr>
      </w:pPr>
      <w:hyperlink w:anchor="_Toc25662317" w:history="1">
        <w:r w:rsidR="00805E20" w:rsidRPr="00104498">
          <w:rPr>
            <w:rStyle w:val="Hyperlink"/>
            <w:noProof/>
            <w:lang w:val="es-419" w:eastAsia="en-IN" w:bidi="te-IN"/>
          </w:rPr>
          <w:t>4.</w:t>
        </w:r>
        <w:r w:rsidR="00805E20">
          <w:rPr>
            <w:rFonts w:eastAsiaTheme="minorEastAsia"/>
            <w:noProof/>
            <w:lang w:eastAsia="es-ES"/>
          </w:rPr>
          <w:tab/>
        </w:r>
        <w:r w:rsidR="00805E20" w:rsidRPr="00104498">
          <w:rPr>
            <w:rStyle w:val="Hyperlink"/>
            <w:noProof/>
            <w:lang w:val="es-419" w:eastAsia="en-IN" w:bidi="te-IN"/>
          </w:rPr>
          <w:t>Evento de socialización</w:t>
        </w:r>
        <w:r w:rsidR="00805E20">
          <w:rPr>
            <w:noProof/>
            <w:webHidden/>
          </w:rPr>
          <w:tab/>
        </w:r>
        <w:r w:rsidR="00805E20">
          <w:rPr>
            <w:noProof/>
            <w:webHidden/>
          </w:rPr>
          <w:fldChar w:fldCharType="begin"/>
        </w:r>
        <w:r w:rsidR="00805E20">
          <w:rPr>
            <w:noProof/>
            <w:webHidden/>
          </w:rPr>
          <w:instrText xml:space="preserve"> PAGEREF _Toc25662317 \h </w:instrText>
        </w:r>
        <w:r w:rsidR="00805E20">
          <w:rPr>
            <w:noProof/>
            <w:webHidden/>
          </w:rPr>
        </w:r>
        <w:r w:rsidR="00805E20">
          <w:rPr>
            <w:noProof/>
            <w:webHidden/>
          </w:rPr>
          <w:fldChar w:fldCharType="separate"/>
        </w:r>
        <w:r w:rsidR="00805E20">
          <w:rPr>
            <w:noProof/>
            <w:webHidden/>
          </w:rPr>
          <w:t>5</w:t>
        </w:r>
        <w:r w:rsidR="00805E20">
          <w:rPr>
            <w:noProof/>
            <w:webHidden/>
          </w:rPr>
          <w:fldChar w:fldCharType="end"/>
        </w:r>
      </w:hyperlink>
    </w:p>
    <w:p w14:paraId="2B734046" w14:textId="530CCC8E" w:rsidR="00805E20" w:rsidRDefault="0006202F">
      <w:pPr>
        <w:pStyle w:val="TOC2"/>
        <w:tabs>
          <w:tab w:val="left" w:pos="880"/>
          <w:tab w:val="right" w:leader="dot" w:pos="9350"/>
        </w:tabs>
        <w:rPr>
          <w:rFonts w:eastAsiaTheme="minorEastAsia"/>
          <w:noProof/>
          <w:lang w:eastAsia="es-ES"/>
        </w:rPr>
      </w:pPr>
      <w:hyperlink w:anchor="_Toc25662318" w:history="1">
        <w:r w:rsidR="00805E20" w:rsidRPr="00104498">
          <w:rPr>
            <w:rStyle w:val="Hyperlink"/>
            <w:noProof/>
            <w:lang w:val="es-419" w:eastAsia="en-IN" w:bidi="te-IN"/>
          </w:rPr>
          <w:t>4.1.</w:t>
        </w:r>
        <w:r w:rsidR="00805E20">
          <w:rPr>
            <w:rFonts w:eastAsiaTheme="minorEastAsia"/>
            <w:noProof/>
            <w:lang w:eastAsia="es-ES"/>
          </w:rPr>
          <w:tab/>
        </w:r>
        <w:r w:rsidR="00805E20" w:rsidRPr="00104498">
          <w:rPr>
            <w:rStyle w:val="Hyperlink"/>
            <w:noProof/>
            <w:lang w:val="es-419" w:eastAsia="en-IN" w:bidi="te-IN"/>
          </w:rPr>
          <w:t>Objetivos del evento</w:t>
        </w:r>
        <w:r w:rsidR="00805E20">
          <w:rPr>
            <w:noProof/>
            <w:webHidden/>
          </w:rPr>
          <w:tab/>
        </w:r>
        <w:r w:rsidR="00805E20">
          <w:rPr>
            <w:noProof/>
            <w:webHidden/>
          </w:rPr>
          <w:fldChar w:fldCharType="begin"/>
        </w:r>
        <w:r w:rsidR="00805E20">
          <w:rPr>
            <w:noProof/>
            <w:webHidden/>
          </w:rPr>
          <w:instrText xml:space="preserve"> PAGEREF _Toc25662318 \h </w:instrText>
        </w:r>
        <w:r w:rsidR="00805E20">
          <w:rPr>
            <w:noProof/>
            <w:webHidden/>
          </w:rPr>
        </w:r>
        <w:r w:rsidR="00805E20">
          <w:rPr>
            <w:noProof/>
            <w:webHidden/>
          </w:rPr>
          <w:fldChar w:fldCharType="separate"/>
        </w:r>
        <w:r w:rsidR="00805E20">
          <w:rPr>
            <w:noProof/>
            <w:webHidden/>
          </w:rPr>
          <w:t>5</w:t>
        </w:r>
        <w:r w:rsidR="00805E20">
          <w:rPr>
            <w:noProof/>
            <w:webHidden/>
          </w:rPr>
          <w:fldChar w:fldCharType="end"/>
        </w:r>
      </w:hyperlink>
    </w:p>
    <w:p w14:paraId="7F757732" w14:textId="11307D4C" w:rsidR="00805E20" w:rsidRDefault="0006202F">
      <w:pPr>
        <w:pStyle w:val="TOC2"/>
        <w:tabs>
          <w:tab w:val="left" w:pos="880"/>
          <w:tab w:val="right" w:leader="dot" w:pos="9350"/>
        </w:tabs>
        <w:rPr>
          <w:rFonts w:eastAsiaTheme="minorEastAsia"/>
          <w:noProof/>
          <w:lang w:eastAsia="es-ES"/>
        </w:rPr>
      </w:pPr>
      <w:hyperlink w:anchor="_Toc25662319" w:history="1">
        <w:r w:rsidR="00805E20" w:rsidRPr="00104498">
          <w:rPr>
            <w:rStyle w:val="Hyperlink"/>
            <w:noProof/>
            <w:lang w:val="es-419" w:eastAsia="en-IN" w:bidi="te-IN"/>
          </w:rPr>
          <w:t>4.2.</w:t>
        </w:r>
        <w:r w:rsidR="00805E20">
          <w:rPr>
            <w:rFonts w:eastAsiaTheme="minorEastAsia"/>
            <w:noProof/>
            <w:lang w:eastAsia="es-ES"/>
          </w:rPr>
          <w:tab/>
        </w:r>
        <w:r w:rsidR="00805E20" w:rsidRPr="00104498">
          <w:rPr>
            <w:rStyle w:val="Hyperlink"/>
            <w:noProof/>
            <w:lang w:val="es-419" w:eastAsia="en-IN" w:bidi="te-IN"/>
          </w:rPr>
          <w:t>Desarrollo</w:t>
        </w:r>
        <w:r w:rsidR="00805E20">
          <w:rPr>
            <w:noProof/>
            <w:webHidden/>
          </w:rPr>
          <w:tab/>
        </w:r>
        <w:r w:rsidR="00805E20">
          <w:rPr>
            <w:noProof/>
            <w:webHidden/>
          </w:rPr>
          <w:fldChar w:fldCharType="begin"/>
        </w:r>
        <w:r w:rsidR="00805E20">
          <w:rPr>
            <w:noProof/>
            <w:webHidden/>
          </w:rPr>
          <w:instrText xml:space="preserve"> PAGEREF _Toc25662319 \h </w:instrText>
        </w:r>
        <w:r w:rsidR="00805E20">
          <w:rPr>
            <w:noProof/>
            <w:webHidden/>
          </w:rPr>
        </w:r>
        <w:r w:rsidR="00805E20">
          <w:rPr>
            <w:noProof/>
            <w:webHidden/>
          </w:rPr>
          <w:fldChar w:fldCharType="separate"/>
        </w:r>
        <w:r w:rsidR="00805E20">
          <w:rPr>
            <w:noProof/>
            <w:webHidden/>
          </w:rPr>
          <w:t>5</w:t>
        </w:r>
        <w:r w:rsidR="00805E20">
          <w:rPr>
            <w:noProof/>
            <w:webHidden/>
          </w:rPr>
          <w:fldChar w:fldCharType="end"/>
        </w:r>
      </w:hyperlink>
    </w:p>
    <w:p w14:paraId="586ABB17" w14:textId="4D255931" w:rsidR="00805E20" w:rsidRDefault="0006202F">
      <w:pPr>
        <w:pStyle w:val="TOC2"/>
        <w:tabs>
          <w:tab w:val="left" w:pos="880"/>
          <w:tab w:val="right" w:leader="dot" w:pos="9350"/>
        </w:tabs>
        <w:rPr>
          <w:rFonts w:eastAsiaTheme="minorEastAsia"/>
          <w:noProof/>
          <w:lang w:eastAsia="es-ES"/>
        </w:rPr>
      </w:pPr>
      <w:hyperlink w:anchor="_Toc25662320" w:history="1">
        <w:r w:rsidR="00805E20" w:rsidRPr="00104498">
          <w:rPr>
            <w:rStyle w:val="Hyperlink"/>
            <w:noProof/>
            <w:lang w:val="es-419" w:eastAsia="en-IN" w:bidi="te-IN"/>
          </w:rPr>
          <w:t>4.3.</w:t>
        </w:r>
        <w:r w:rsidR="00805E20">
          <w:rPr>
            <w:rFonts w:eastAsiaTheme="minorEastAsia"/>
            <w:noProof/>
            <w:lang w:eastAsia="es-ES"/>
          </w:rPr>
          <w:tab/>
        </w:r>
        <w:r w:rsidR="00805E20" w:rsidRPr="00104498">
          <w:rPr>
            <w:rStyle w:val="Hyperlink"/>
            <w:noProof/>
            <w:lang w:val="es-419" w:eastAsia="en-IN" w:bidi="te-IN"/>
          </w:rPr>
          <w:t>Preguntas y respuestas</w:t>
        </w:r>
        <w:r w:rsidR="00805E20">
          <w:rPr>
            <w:noProof/>
            <w:webHidden/>
          </w:rPr>
          <w:tab/>
        </w:r>
        <w:r w:rsidR="00805E20">
          <w:rPr>
            <w:noProof/>
            <w:webHidden/>
          </w:rPr>
          <w:fldChar w:fldCharType="begin"/>
        </w:r>
        <w:r w:rsidR="00805E20">
          <w:rPr>
            <w:noProof/>
            <w:webHidden/>
          </w:rPr>
          <w:instrText xml:space="preserve"> PAGEREF _Toc25662320 \h </w:instrText>
        </w:r>
        <w:r w:rsidR="00805E20">
          <w:rPr>
            <w:noProof/>
            <w:webHidden/>
          </w:rPr>
        </w:r>
        <w:r w:rsidR="00805E20">
          <w:rPr>
            <w:noProof/>
            <w:webHidden/>
          </w:rPr>
          <w:fldChar w:fldCharType="separate"/>
        </w:r>
        <w:r w:rsidR="00805E20">
          <w:rPr>
            <w:noProof/>
            <w:webHidden/>
          </w:rPr>
          <w:t>6</w:t>
        </w:r>
        <w:r w:rsidR="00805E20">
          <w:rPr>
            <w:noProof/>
            <w:webHidden/>
          </w:rPr>
          <w:fldChar w:fldCharType="end"/>
        </w:r>
      </w:hyperlink>
    </w:p>
    <w:p w14:paraId="11983A00" w14:textId="5073F8EF" w:rsidR="00805E20" w:rsidRDefault="0006202F">
      <w:pPr>
        <w:pStyle w:val="TOC1"/>
        <w:tabs>
          <w:tab w:val="left" w:pos="440"/>
          <w:tab w:val="right" w:leader="dot" w:pos="9350"/>
        </w:tabs>
        <w:rPr>
          <w:rFonts w:eastAsiaTheme="minorEastAsia"/>
          <w:noProof/>
          <w:lang w:eastAsia="es-ES"/>
        </w:rPr>
      </w:pPr>
      <w:hyperlink w:anchor="_Toc25662321" w:history="1">
        <w:r w:rsidR="00805E20" w:rsidRPr="00104498">
          <w:rPr>
            <w:rStyle w:val="Hyperlink"/>
            <w:noProof/>
            <w:lang w:val="es-419" w:eastAsia="en-IN" w:bidi="te-IN"/>
          </w:rPr>
          <w:t>5.</w:t>
        </w:r>
        <w:r w:rsidR="00805E20">
          <w:rPr>
            <w:rFonts w:eastAsiaTheme="minorEastAsia"/>
            <w:noProof/>
            <w:lang w:eastAsia="es-ES"/>
          </w:rPr>
          <w:tab/>
        </w:r>
        <w:r w:rsidR="00805E20" w:rsidRPr="00104498">
          <w:rPr>
            <w:rStyle w:val="Hyperlink"/>
            <w:noProof/>
            <w:lang w:val="es-419" w:eastAsia="en-IN" w:bidi="te-IN"/>
          </w:rPr>
          <w:t>Conclusiones</w:t>
        </w:r>
        <w:r w:rsidR="00805E20">
          <w:rPr>
            <w:noProof/>
            <w:webHidden/>
          </w:rPr>
          <w:tab/>
        </w:r>
        <w:r w:rsidR="00805E20">
          <w:rPr>
            <w:noProof/>
            <w:webHidden/>
          </w:rPr>
          <w:fldChar w:fldCharType="begin"/>
        </w:r>
        <w:r w:rsidR="00805E20">
          <w:rPr>
            <w:noProof/>
            <w:webHidden/>
          </w:rPr>
          <w:instrText xml:space="preserve"> PAGEREF _Toc25662321 \h </w:instrText>
        </w:r>
        <w:r w:rsidR="00805E20">
          <w:rPr>
            <w:noProof/>
            <w:webHidden/>
          </w:rPr>
        </w:r>
        <w:r w:rsidR="00805E20">
          <w:rPr>
            <w:noProof/>
            <w:webHidden/>
          </w:rPr>
          <w:fldChar w:fldCharType="separate"/>
        </w:r>
        <w:r w:rsidR="00805E20">
          <w:rPr>
            <w:noProof/>
            <w:webHidden/>
          </w:rPr>
          <w:t>7</w:t>
        </w:r>
        <w:r w:rsidR="00805E20">
          <w:rPr>
            <w:noProof/>
            <w:webHidden/>
          </w:rPr>
          <w:fldChar w:fldCharType="end"/>
        </w:r>
      </w:hyperlink>
    </w:p>
    <w:p w14:paraId="17F5C0E8" w14:textId="3FDAA677" w:rsidR="00805E20" w:rsidRDefault="0006202F">
      <w:pPr>
        <w:pStyle w:val="TOC1"/>
        <w:tabs>
          <w:tab w:val="left" w:pos="440"/>
          <w:tab w:val="right" w:leader="dot" w:pos="9350"/>
        </w:tabs>
        <w:rPr>
          <w:rFonts w:eastAsiaTheme="minorEastAsia"/>
          <w:noProof/>
          <w:lang w:eastAsia="es-ES"/>
        </w:rPr>
      </w:pPr>
      <w:hyperlink w:anchor="_Toc25662322" w:history="1">
        <w:r w:rsidR="00805E20" w:rsidRPr="00104498">
          <w:rPr>
            <w:rStyle w:val="Hyperlink"/>
            <w:noProof/>
            <w:lang w:val="es-419" w:eastAsia="en-IN" w:bidi="te-IN"/>
          </w:rPr>
          <w:t>6.</w:t>
        </w:r>
        <w:r w:rsidR="00805E20">
          <w:rPr>
            <w:rFonts w:eastAsiaTheme="minorEastAsia"/>
            <w:noProof/>
            <w:lang w:eastAsia="es-ES"/>
          </w:rPr>
          <w:tab/>
        </w:r>
        <w:r w:rsidR="00805E20" w:rsidRPr="00104498">
          <w:rPr>
            <w:rStyle w:val="Hyperlink"/>
            <w:noProof/>
            <w:lang w:val="es-419" w:eastAsia="en-IN" w:bidi="te-IN"/>
          </w:rPr>
          <w:t>Anexos</w:t>
        </w:r>
        <w:r w:rsidR="00805E20">
          <w:rPr>
            <w:noProof/>
            <w:webHidden/>
          </w:rPr>
          <w:tab/>
        </w:r>
        <w:r w:rsidR="00805E20">
          <w:rPr>
            <w:noProof/>
            <w:webHidden/>
          </w:rPr>
          <w:fldChar w:fldCharType="begin"/>
        </w:r>
        <w:r w:rsidR="00805E20">
          <w:rPr>
            <w:noProof/>
            <w:webHidden/>
          </w:rPr>
          <w:instrText xml:space="preserve"> PAGEREF _Toc25662322 \h </w:instrText>
        </w:r>
        <w:r w:rsidR="00805E20">
          <w:rPr>
            <w:noProof/>
            <w:webHidden/>
          </w:rPr>
        </w:r>
        <w:r w:rsidR="00805E20">
          <w:rPr>
            <w:noProof/>
            <w:webHidden/>
          </w:rPr>
          <w:fldChar w:fldCharType="separate"/>
        </w:r>
        <w:r w:rsidR="00805E20">
          <w:rPr>
            <w:noProof/>
            <w:webHidden/>
          </w:rPr>
          <w:t>7</w:t>
        </w:r>
        <w:r w:rsidR="00805E20">
          <w:rPr>
            <w:noProof/>
            <w:webHidden/>
          </w:rPr>
          <w:fldChar w:fldCharType="end"/>
        </w:r>
      </w:hyperlink>
    </w:p>
    <w:p w14:paraId="49F652E1" w14:textId="000A6C75" w:rsidR="00805E20" w:rsidRDefault="0006202F">
      <w:pPr>
        <w:pStyle w:val="TOC2"/>
        <w:tabs>
          <w:tab w:val="left" w:pos="880"/>
          <w:tab w:val="right" w:leader="dot" w:pos="9350"/>
        </w:tabs>
        <w:rPr>
          <w:rFonts w:eastAsiaTheme="minorEastAsia"/>
          <w:noProof/>
          <w:lang w:eastAsia="es-ES"/>
        </w:rPr>
      </w:pPr>
      <w:hyperlink w:anchor="_Toc25662323" w:history="1">
        <w:r w:rsidR="00805E20" w:rsidRPr="00104498">
          <w:rPr>
            <w:rStyle w:val="Hyperlink"/>
            <w:noProof/>
            <w:lang w:val="es-419" w:eastAsia="en-IN" w:bidi="te-IN"/>
          </w:rPr>
          <w:t>6.1.</w:t>
        </w:r>
        <w:r w:rsidR="00805E20">
          <w:rPr>
            <w:rFonts w:eastAsiaTheme="minorEastAsia"/>
            <w:noProof/>
            <w:lang w:eastAsia="es-ES"/>
          </w:rPr>
          <w:tab/>
        </w:r>
        <w:r w:rsidR="00805E20" w:rsidRPr="00104498">
          <w:rPr>
            <w:rStyle w:val="Hyperlink"/>
            <w:noProof/>
            <w:lang w:val="es-419" w:eastAsia="en-IN" w:bidi="te-IN"/>
          </w:rPr>
          <w:t>Anexo 1: Agenda</w:t>
        </w:r>
        <w:r w:rsidR="00805E20">
          <w:rPr>
            <w:noProof/>
            <w:webHidden/>
          </w:rPr>
          <w:tab/>
        </w:r>
        <w:r w:rsidR="00805E20">
          <w:rPr>
            <w:noProof/>
            <w:webHidden/>
          </w:rPr>
          <w:fldChar w:fldCharType="begin"/>
        </w:r>
        <w:r w:rsidR="00805E20">
          <w:rPr>
            <w:noProof/>
            <w:webHidden/>
          </w:rPr>
          <w:instrText xml:space="preserve"> PAGEREF _Toc25662323 \h </w:instrText>
        </w:r>
        <w:r w:rsidR="00805E20">
          <w:rPr>
            <w:noProof/>
            <w:webHidden/>
          </w:rPr>
        </w:r>
        <w:r w:rsidR="00805E20">
          <w:rPr>
            <w:noProof/>
            <w:webHidden/>
          </w:rPr>
          <w:fldChar w:fldCharType="separate"/>
        </w:r>
        <w:r w:rsidR="00805E20">
          <w:rPr>
            <w:noProof/>
            <w:webHidden/>
          </w:rPr>
          <w:t>7</w:t>
        </w:r>
        <w:r w:rsidR="00805E20">
          <w:rPr>
            <w:noProof/>
            <w:webHidden/>
          </w:rPr>
          <w:fldChar w:fldCharType="end"/>
        </w:r>
      </w:hyperlink>
    </w:p>
    <w:p w14:paraId="09D67056" w14:textId="47070A54" w:rsidR="00805E20" w:rsidRDefault="0006202F">
      <w:pPr>
        <w:pStyle w:val="TOC2"/>
        <w:tabs>
          <w:tab w:val="left" w:pos="880"/>
          <w:tab w:val="right" w:leader="dot" w:pos="9350"/>
        </w:tabs>
        <w:rPr>
          <w:rFonts w:eastAsiaTheme="minorEastAsia"/>
          <w:noProof/>
          <w:lang w:eastAsia="es-ES"/>
        </w:rPr>
      </w:pPr>
      <w:hyperlink w:anchor="_Toc25662324" w:history="1">
        <w:r w:rsidR="00805E20" w:rsidRPr="00104498">
          <w:rPr>
            <w:rStyle w:val="Hyperlink"/>
            <w:noProof/>
            <w:lang w:val="es-419" w:eastAsia="en-IN" w:bidi="te-IN"/>
          </w:rPr>
          <w:t>6.2.</w:t>
        </w:r>
        <w:r w:rsidR="00805E20">
          <w:rPr>
            <w:rFonts w:eastAsiaTheme="minorEastAsia"/>
            <w:noProof/>
            <w:lang w:eastAsia="es-ES"/>
          </w:rPr>
          <w:tab/>
        </w:r>
        <w:r w:rsidR="00805E20" w:rsidRPr="00104498">
          <w:rPr>
            <w:rStyle w:val="Hyperlink"/>
            <w:noProof/>
            <w:lang w:val="es-419" w:eastAsia="en-IN" w:bidi="te-IN"/>
          </w:rPr>
          <w:t>Anexo 2: Registro de Asistentes – Evento de socialización 19 de noviembre de 2019</w:t>
        </w:r>
        <w:r w:rsidR="00805E20">
          <w:rPr>
            <w:noProof/>
            <w:webHidden/>
          </w:rPr>
          <w:tab/>
        </w:r>
        <w:r w:rsidR="00805E20">
          <w:rPr>
            <w:noProof/>
            <w:webHidden/>
          </w:rPr>
          <w:fldChar w:fldCharType="begin"/>
        </w:r>
        <w:r w:rsidR="00805E20">
          <w:rPr>
            <w:noProof/>
            <w:webHidden/>
          </w:rPr>
          <w:instrText xml:space="preserve"> PAGEREF _Toc25662324 \h </w:instrText>
        </w:r>
        <w:r w:rsidR="00805E20">
          <w:rPr>
            <w:noProof/>
            <w:webHidden/>
          </w:rPr>
        </w:r>
        <w:r w:rsidR="00805E20">
          <w:rPr>
            <w:noProof/>
            <w:webHidden/>
          </w:rPr>
          <w:fldChar w:fldCharType="separate"/>
        </w:r>
        <w:r w:rsidR="00805E20">
          <w:rPr>
            <w:noProof/>
            <w:webHidden/>
          </w:rPr>
          <w:t>10</w:t>
        </w:r>
        <w:r w:rsidR="00805E20">
          <w:rPr>
            <w:noProof/>
            <w:webHidden/>
          </w:rPr>
          <w:fldChar w:fldCharType="end"/>
        </w:r>
      </w:hyperlink>
    </w:p>
    <w:p w14:paraId="5F3D01C7" w14:textId="02A04A9E" w:rsidR="00E5666E" w:rsidRDefault="00805E20" w:rsidP="00ED444C">
      <w:r>
        <w:fldChar w:fldCharType="end"/>
      </w:r>
    </w:p>
    <w:p w14:paraId="1CFB9D8E" w14:textId="77777777" w:rsidR="007D6CB7" w:rsidRPr="007D6CB7" w:rsidRDefault="007D6CB7" w:rsidP="00B948F3">
      <w:pPr>
        <w:pStyle w:val="Heading4"/>
        <w:numPr>
          <w:ilvl w:val="0"/>
          <w:numId w:val="30"/>
        </w:numPr>
      </w:pPr>
      <w:bookmarkStart w:id="2" w:name="_Toc25662314"/>
      <w:r>
        <w:t>Antecedentes</w:t>
      </w:r>
      <w:bookmarkEnd w:id="2"/>
      <w:r>
        <w:t xml:space="preserve"> </w:t>
      </w:r>
    </w:p>
    <w:p w14:paraId="0CE196B4" w14:textId="6CB17D50" w:rsidR="00686DC8" w:rsidRDefault="00686DC8" w:rsidP="00686DC8">
      <w:pPr>
        <w:jc w:val="both"/>
      </w:pPr>
      <w:r>
        <w:t>En agosto de 2018, el Ministerio de Minas y Energía (</w:t>
      </w:r>
      <w:proofErr w:type="spellStart"/>
      <w:r>
        <w:t>MinEnergía</w:t>
      </w:r>
      <w:proofErr w:type="spellEnd"/>
      <w:r>
        <w:t>) adoptó el Plan Integral de Gestión de Cambio Climático del Sector Minero Energético (</w:t>
      </w:r>
      <w:proofErr w:type="spellStart"/>
      <w:r>
        <w:t>PIGCCme</w:t>
      </w:r>
      <w:proofErr w:type="spellEnd"/>
      <w:r>
        <w:t xml:space="preserve">) por medio de la Resolución 40807. </w:t>
      </w:r>
    </w:p>
    <w:p w14:paraId="455F1EBA" w14:textId="26E536D6" w:rsidR="00686DC8" w:rsidRDefault="00686DC8" w:rsidP="00686DC8">
      <w:pPr>
        <w:jc w:val="both"/>
      </w:pPr>
      <w:r>
        <w:t xml:space="preserve">Según la Ley 1931 de 2018 estos planes “son los instrumentos a través de los cuales cada ministerio identifica, evalúa y orienta la incorporación de medidas de mitigación de gases efecto invernadero y adaptación al cambio climático en las políticas y regulaciones del respectivo sector”. Para ello, </w:t>
      </w:r>
      <w:proofErr w:type="spellStart"/>
      <w:r>
        <w:t>MinEnergía</w:t>
      </w:r>
      <w:proofErr w:type="spellEnd"/>
      <w:r>
        <w:t xml:space="preserve"> suscribió un convenio con el </w:t>
      </w:r>
      <w:r w:rsidR="00B95F4B">
        <w:t xml:space="preserve">Centro </w:t>
      </w:r>
      <w:r w:rsidR="00EC083E">
        <w:t>Internacional de</w:t>
      </w:r>
      <w:r w:rsidR="00B95F4B">
        <w:t xml:space="preserve"> Agricultura Tropical (</w:t>
      </w:r>
      <w:r>
        <w:t>CIAT</w:t>
      </w:r>
      <w:r w:rsidR="00B95F4B">
        <w:t>)</w:t>
      </w:r>
      <w:r>
        <w:t>, con el objetivo de aunar esfuerzos técnicos y financieros para lograr la meta de reducir la emisión de 11,2 millones de toneladas de CO</w:t>
      </w:r>
      <w:r w:rsidRPr="00B95F4B">
        <w:rPr>
          <w:vertAlign w:val="subscript"/>
        </w:rPr>
        <w:t>2</w:t>
      </w:r>
      <w:r>
        <w:t xml:space="preserve"> para el año 2030.</w:t>
      </w:r>
    </w:p>
    <w:p w14:paraId="6D2AAD45" w14:textId="4972C809" w:rsidR="00686DC8" w:rsidRDefault="00686DC8" w:rsidP="00686DC8">
      <w:pPr>
        <w:jc w:val="both"/>
      </w:pPr>
      <w:r>
        <w:t xml:space="preserve">En este contexto, CIAT, a través de un consultor especializado en el desarrollo de documentos y guías para el establecimiento de líneas base y monitoreo de reducción de emisiones de </w:t>
      </w:r>
      <w:r w:rsidR="00EC083E">
        <w:t>Gases de Efecto Invernadero (</w:t>
      </w:r>
      <w:r>
        <w:t>GEI</w:t>
      </w:r>
      <w:r w:rsidR="00EC083E">
        <w:t>)</w:t>
      </w:r>
      <w:r>
        <w:t xml:space="preserve">, ha desarrollado una metodología específica para el sector de hidrocarburos en Colombia, para la formulación y monitoreo de proyectos de reducción de emisiones fugitivas en </w:t>
      </w:r>
      <w:proofErr w:type="spellStart"/>
      <w:r>
        <w:t>upstream</w:t>
      </w:r>
      <w:proofErr w:type="spellEnd"/>
      <w:r w:rsidR="00AC7C05">
        <w:t xml:space="preserve">, </w:t>
      </w:r>
      <w:proofErr w:type="spellStart"/>
      <w:r>
        <w:t>midstream</w:t>
      </w:r>
      <w:proofErr w:type="spellEnd"/>
      <w:r w:rsidR="00AC7C05">
        <w:t xml:space="preserve"> y </w:t>
      </w:r>
      <w:proofErr w:type="spellStart"/>
      <w:r w:rsidR="00AC7C05">
        <w:t>downstream</w:t>
      </w:r>
      <w:proofErr w:type="spellEnd"/>
      <w:r>
        <w:t>, en concordancia con lo planteado en el PIGCCME.</w:t>
      </w:r>
    </w:p>
    <w:p w14:paraId="53C742F9" w14:textId="01903F48" w:rsidR="009E4B5B" w:rsidRDefault="005D27D2" w:rsidP="00B948F3">
      <w:pPr>
        <w:pStyle w:val="Heading4"/>
        <w:numPr>
          <w:ilvl w:val="0"/>
          <w:numId w:val="30"/>
        </w:numPr>
        <w:rPr>
          <w:noProof/>
          <w:lang w:val="es-419" w:eastAsia="en-IN" w:bidi="te-IN"/>
        </w:rPr>
      </w:pPr>
      <w:bookmarkStart w:id="3" w:name="_Toc25662315"/>
      <w:r>
        <w:rPr>
          <w:noProof/>
          <w:lang w:val="es-419" w:eastAsia="en-IN" w:bidi="te-IN"/>
        </w:rPr>
        <w:t xml:space="preserve">Guía </w:t>
      </w:r>
      <w:r w:rsidR="008E0576">
        <w:rPr>
          <w:noProof/>
          <w:lang w:val="es-419" w:eastAsia="en-IN" w:bidi="te-IN"/>
        </w:rPr>
        <w:t>m</w:t>
      </w:r>
      <w:r>
        <w:rPr>
          <w:noProof/>
          <w:lang w:val="es-419" w:eastAsia="en-IN" w:bidi="te-IN"/>
        </w:rPr>
        <w:t>etodológica</w:t>
      </w:r>
      <w:bookmarkEnd w:id="3"/>
    </w:p>
    <w:p w14:paraId="57C67B92" w14:textId="77777777" w:rsidR="00581307" w:rsidRDefault="00015CE5" w:rsidP="00015CE5">
      <w:pPr>
        <w:jc w:val="both"/>
      </w:pPr>
      <w:r>
        <w:t xml:space="preserve">La guía metodológica propuesta busca que las acciones dirigidas e implementadas por la industria para la reducción de emisiones fugitivas de GEI, puedan ser reconocidas y cuantificadas de manera completa, consistente, transparente, precisa y conservadora, estableciendo reglas de elegibilidad, líneas base, métodos para calcular emisiones reducidas, así como prácticas de monitoreo del desempeño de los proyectos y procedimientos para el reporte de la información en las etapas de validación, registro y verificación periódica. </w:t>
      </w:r>
    </w:p>
    <w:p w14:paraId="2C0C3E0C" w14:textId="4A6BE831" w:rsidR="00015CE5" w:rsidRDefault="00581307" w:rsidP="00015CE5">
      <w:pPr>
        <w:jc w:val="both"/>
      </w:pPr>
      <w:r>
        <w:lastRenderedPageBreak/>
        <w:t xml:space="preserve">De igual forma </w:t>
      </w:r>
      <w:r w:rsidR="00015CE5">
        <w:t>permit</w:t>
      </w:r>
      <w:r>
        <w:t>e</w:t>
      </w:r>
      <w:r w:rsidR="00015CE5">
        <w:t xml:space="preserve"> a las emisiones reducidas por estos proyectos, poder participar en el mercado colombiano de carbono</w:t>
      </w:r>
      <w:r>
        <w:t>, gracias a que se desarrolló cumpliendo con los lineamientos descritos en la normativa vigente</w:t>
      </w:r>
      <w:r w:rsidR="006478A8">
        <w:t>.</w:t>
      </w:r>
    </w:p>
    <w:p w14:paraId="588A7FA4" w14:textId="605B09F0" w:rsidR="00C32FA5" w:rsidRDefault="00C32FA5" w:rsidP="00015CE5">
      <w:pPr>
        <w:jc w:val="both"/>
      </w:pPr>
      <w:r>
        <w:t>En la metodología se abordan tres tipos de proyectos</w:t>
      </w:r>
      <w:r w:rsidR="0051529F">
        <w:t xml:space="preserve">, para los cuáles se definen reglas de </w:t>
      </w:r>
      <w:proofErr w:type="spellStart"/>
      <w:r w:rsidR="0051529F">
        <w:t>adicionalidad</w:t>
      </w:r>
      <w:proofErr w:type="spellEnd"/>
      <w:r w:rsidR="0051529F">
        <w:t xml:space="preserve">, se establecen líneas base, opciones de cálculo para la estimación y </w:t>
      </w:r>
      <w:r w:rsidR="00252DF8">
        <w:t>planes de monitoreo</w:t>
      </w:r>
      <w:r w:rsidR="002156EB">
        <w:t>:</w:t>
      </w:r>
    </w:p>
    <w:p w14:paraId="3B5B4DD6" w14:textId="2300D334" w:rsidR="002156EB" w:rsidRDefault="00B60527" w:rsidP="002156EB">
      <w:pPr>
        <w:pStyle w:val="ListParagraph"/>
        <w:numPr>
          <w:ilvl w:val="0"/>
          <w:numId w:val="33"/>
        </w:numPr>
        <w:jc w:val="both"/>
      </w:pPr>
      <w:r w:rsidRPr="00B60527">
        <w:t>Reducción de Emisiones de GEI para la Recuperación de Gas Asociado de Producción para Aprovechamiento</w:t>
      </w:r>
    </w:p>
    <w:p w14:paraId="71B348CE" w14:textId="1BB3E305" w:rsidR="00B60527" w:rsidRDefault="003A53AC" w:rsidP="002156EB">
      <w:pPr>
        <w:pStyle w:val="ListParagraph"/>
        <w:numPr>
          <w:ilvl w:val="0"/>
          <w:numId w:val="33"/>
        </w:numPr>
        <w:jc w:val="both"/>
      </w:pPr>
      <w:r w:rsidRPr="003A53AC">
        <w:t>Reducción de Emisiones de GEI para la reducción de fugas de GEI en sistemas, equipos y componentes a través de programas avanzados de detección y corrección de fugas</w:t>
      </w:r>
    </w:p>
    <w:p w14:paraId="5F190318" w14:textId="551B8852" w:rsidR="003A53AC" w:rsidRDefault="00A320E3" w:rsidP="002156EB">
      <w:pPr>
        <w:pStyle w:val="ListParagraph"/>
        <w:numPr>
          <w:ilvl w:val="0"/>
          <w:numId w:val="33"/>
        </w:numPr>
        <w:jc w:val="both"/>
      </w:pPr>
      <w:r w:rsidRPr="00A320E3">
        <w:t>Reducción de Emisiones de GEI para las Medidas de Eficacia de Quema en la Operación y Diseño de Teas que Garanticen la Destrucción Total de las Fracciones de Metano Existentes en las Corrientes de Gas</w:t>
      </w:r>
    </w:p>
    <w:p w14:paraId="04AE9648" w14:textId="5DC0A4B1" w:rsidR="00EE0493" w:rsidRDefault="008E0576" w:rsidP="00B948F3">
      <w:pPr>
        <w:pStyle w:val="Heading4"/>
        <w:numPr>
          <w:ilvl w:val="0"/>
          <w:numId w:val="30"/>
        </w:numPr>
        <w:rPr>
          <w:lang w:val="es-419" w:eastAsia="en-IN" w:bidi="te-IN"/>
        </w:rPr>
      </w:pPr>
      <w:bookmarkStart w:id="4" w:name="_Toc25662316"/>
      <w:r>
        <w:rPr>
          <w:lang w:val="es-419" w:eastAsia="en-IN" w:bidi="te-IN"/>
        </w:rPr>
        <w:t>Taller y c</w:t>
      </w:r>
      <w:r w:rsidR="005D27D2">
        <w:rPr>
          <w:lang w:val="es-419" w:eastAsia="en-IN" w:bidi="te-IN"/>
        </w:rPr>
        <w:t>onsulta pública</w:t>
      </w:r>
      <w:bookmarkEnd w:id="4"/>
    </w:p>
    <w:p w14:paraId="1F8F9B54" w14:textId="0A4B2846" w:rsidR="006F589C" w:rsidRDefault="00A02609" w:rsidP="002536C4">
      <w:pPr>
        <w:jc w:val="both"/>
        <w:rPr>
          <w:lang w:val="es-419" w:eastAsia="en-IN" w:bidi="te-IN"/>
        </w:rPr>
      </w:pPr>
      <w:r>
        <w:rPr>
          <w:lang w:val="es-419" w:eastAsia="en-IN" w:bidi="te-IN"/>
        </w:rPr>
        <w:t>Desde el in</w:t>
      </w:r>
      <w:r w:rsidR="000B5DB0">
        <w:rPr>
          <w:lang w:val="es-419" w:eastAsia="en-IN" w:bidi="te-IN"/>
        </w:rPr>
        <w:t>i</w:t>
      </w:r>
      <w:r>
        <w:rPr>
          <w:lang w:val="es-419" w:eastAsia="en-IN" w:bidi="te-IN"/>
        </w:rPr>
        <w:t xml:space="preserve">cio del </w:t>
      </w:r>
      <w:r w:rsidR="00A84365">
        <w:rPr>
          <w:lang w:val="es-419" w:eastAsia="en-IN" w:bidi="te-IN"/>
        </w:rPr>
        <w:t>desarrollo de la m</w:t>
      </w:r>
      <w:r w:rsidR="000B5DB0">
        <w:rPr>
          <w:lang w:val="es-419" w:eastAsia="en-IN" w:bidi="te-IN"/>
        </w:rPr>
        <w:t>e</w:t>
      </w:r>
      <w:r w:rsidR="00A84365">
        <w:rPr>
          <w:lang w:val="es-419" w:eastAsia="en-IN" w:bidi="te-IN"/>
        </w:rPr>
        <w:t xml:space="preserve">todología se trabajó muy de la mano con diversas empresas del sector, con el fin de considerar </w:t>
      </w:r>
      <w:r w:rsidR="000B5DB0">
        <w:rPr>
          <w:lang w:val="es-419" w:eastAsia="en-IN" w:bidi="te-IN"/>
        </w:rPr>
        <w:t xml:space="preserve">las experiencias con las que el sector ya cuenta en materia de proyectos de reducción de emisiones fugitivas. </w:t>
      </w:r>
    </w:p>
    <w:p w14:paraId="0054C067" w14:textId="0284AC36" w:rsidR="00BF191C" w:rsidRDefault="00BF191C" w:rsidP="002536C4">
      <w:pPr>
        <w:jc w:val="both"/>
        <w:rPr>
          <w:lang w:val="es-419" w:eastAsia="en-IN" w:bidi="te-IN"/>
        </w:rPr>
      </w:pPr>
      <w:r>
        <w:rPr>
          <w:lang w:val="es-419" w:eastAsia="en-IN" w:bidi="te-IN"/>
        </w:rPr>
        <w:t xml:space="preserve">Para ello, el equipo consultor se apoyó en la Asociación Colombia del Petróleo </w:t>
      </w:r>
      <w:r w:rsidR="00A654F4">
        <w:rPr>
          <w:lang w:val="es-419" w:eastAsia="en-IN" w:bidi="te-IN"/>
        </w:rPr>
        <w:t>(ACP)</w:t>
      </w:r>
      <w:r w:rsidR="00A51D45">
        <w:rPr>
          <w:lang w:val="es-419" w:eastAsia="en-IN" w:bidi="te-IN"/>
        </w:rPr>
        <w:t xml:space="preserve">. A través de ellos se organizó un taller el 18 de </w:t>
      </w:r>
      <w:r w:rsidR="002178AD">
        <w:rPr>
          <w:lang w:val="es-419" w:eastAsia="en-IN" w:bidi="te-IN"/>
        </w:rPr>
        <w:t>o</w:t>
      </w:r>
      <w:r w:rsidR="00A51D45">
        <w:rPr>
          <w:lang w:val="es-419" w:eastAsia="en-IN" w:bidi="te-IN"/>
        </w:rPr>
        <w:t>ctubre de 2019</w:t>
      </w:r>
      <w:r w:rsidR="004751B0">
        <w:rPr>
          <w:lang w:val="es-419" w:eastAsia="en-IN" w:bidi="te-IN"/>
        </w:rPr>
        <w:t xml:space="preserve"> “</w:t>
      </w:r>
      <w:r w:rsidR="00E443AD" w:rsidRPr="00E443AD">
        <w:rPr>
          <w:lang w:val="es-419" w:eastAsia="en-IN" w:bidi="te-IN"/>
        </w:rPr>
        <w:t>Metodología para la Reducción de Emisiones Fugitivas en el sector hidrocarburos en el marco de la reglamentación nacional vigente</w:t>
      </w:r>
      <w:r w:rsidR="00E443AD">
        <w:rPr>
          <w:lang w:val="es-419" w:eastAsia="en-IN" w:bidi="te-IN"/>
        </w:rPr>
        <w:t>”</w:t>
      </w:r>
      <w:r w:rsidR="002661DA">
        <w:rPr>
          <w:lang w:val="es-419" w:eastAsia="en-IN" w:bidi="te-IN"/>
        </w:rPr>
        <w:t>. En dicho taller se presentó una versión preliminar de</w:t>
      </w:r>
      <w:r w:rsidR="001C0468">
        <w:rPr>
          <w:lang w:val="es-419" w:eastAsia="en-IN" w:bidi="te-IN"/>
        </w:rPr>
        <w:t xml:space="preserve"> la metodología</w:t>
      </w:r>
      <w:r w:rsidR="0034338B">
        <w:rPr>
          <w:lang w:val="es-419" w:eastAsia="en-IN" w:bidi="te-IN"/>
        </w:rPr>
        <w:t xml:space="preserve"> en el marco del PIGCCME, se </w:t>
      </w:r>
      <w:r w:rsidR="00C03C07">
        <w:rPr>
          <w:lang w:val="es-419" w:eastAsia="en-IN" w:bidi="te-IN"/>
        </w:rPr>
        <w:t>profundizó en la identificación, formulación y seguimiento a</w:t>
      </w:r>
      <w:r w:rsidR="00A71102">
        <w:rPr>
          <w:lang w:val="es-419" w:eastAsia="en-IN" w:bidi="te-IN"/>
        </w:rPr>
        <w:t xml:space="preserve"> los proyectos de mitigación como los que se busca sean desarrollados bajo la metodología</w:t>
      </w:r>
      <w:r w:rsidR="00F316E9">
        <w:rPr>
          <w:lang w:val="es-419" w:eastAsia="en-IN" w:bidi="te-IN"/>
        </w:rPr>
        <w:t xml:space="preserve">, se </w:t>
      </w:r>
      <w:r w:rsidR="00F71985">
        <w:rPr>
          <w:lang w:val="es-419" w:eastAsia="en-IN" w:bidi="te-IN"/>
        </w:rPr>
        <w:t>desarrollaron capacidades en e</w:t>
      </w:r>
      <w:r w:rsidR="001A0B13">
        <w:rPr>
          <w:lang w:val="es-419" w:eastAsia="en-IN" w:bidi="te-IN"/>
        </w:rPr>
        <w:t>l uso y aplicación de la metodología y de igual forma se identificaron oportunidades de mejora</w:t>
      </w:r>
      <w:r w:rsidR="00F50264">
        <w:rPr>
          <w:lang w:val="es-419" w:eastAsia="en-IN" w:bidi="te-IN"/>
        </w:rPr>
        <w:t>.</w:t>
      </w:r>
    </w:p>
    <w:p w14:paraId="36CF3CAE" w14:textId="75E0003C" w:rsidR="00F50264" w:rsidRDefault="00F50264" w:rsidP="002536C4">
      <w:pPr>
        <w:jc w:val="both"/>
        <w:rPr>
          <w:lang w:val="es-419" w:eastAsia="en-IN" w:bidi="te-IN"/>
        </w:rPr>
      </w:pPr>
      <w:r>
        <w:rPr>
          <w:lang w:val="es-419" w:eastAsia="en-IN" w:bidi="te-IN"/>
        </w:rPr>
        <w:t xml:space="preserve">Este taller contó con la presencia de </w:t>
      </w:r>
      <w:r w:rsidR="00CA7C0B">
        <w:rPr>
          <w:lang w:val="es-419" w:eastAsia="en-IN" w:bidi="te-IN"/>
        </w:rPr>
        <w:t xml:space="preserve">las siguientes empresas del sector: </w:t>
      </w:r>
      <w:r>
        <w:rPr>
          <w:lang w:val="es-419" w:eastAsia="en-IN" w:bidi="te-IN"/>
        </w:rPr>
        <w:t>Equi</w:t>
      </w:r>
      <w:r w:rsidR="00494021">
        <w:rPr>
          <w:lang w:val="es-419" w:eastAsia="en-IN" w:bidi="te-IN"/>
        </w:rPr>
        <w:t>ó</w:t>
      </w:r>
      <w:r>
        <w:rPr>
          <w:lang w:val="es-419" w:eastAsia="en-IN" w:bidi="te-IN"/>
        </w:rPr>
        <w:t>n, Mansarovar, CEPSA, Ecopetrol, OXY</w:t>
      </w:r>
      <w:r w:rsidR="006811B3">
        <w:rPr>
          <w:lang w:val="es-419" w:eastAsia="en-IN" w:bidi="te-IN"/>
        </w:rPr>
        <w:t xml:space="preserve"> y</w:t>
      </w:r>
      <w:r w:rsidR="00CA7C0B">
        <w:rPr>
          <w:lang w:val="es-419" w:eastAsia="en-IN" w:bidi="te-IN"/>
        </w:rPr>
        <w:t xml:space="preserve"> Canacol</w:t>
      </w:r>
      <w:r w:rsidR="006811B3">
        <w:rPr>
          <w:lang w:val="es-419" w:eastAsia="en-IN" w:bidi="te-IN"/>
        </w:rPr>
        <w:t>.</w:t>
      </w:r>
    </w:p>
    <w:p w14:paraId="3985A8A5" w14:textId="243EF207" w:rsidR="008D3451" w:rsidRDefault="00DF2402" w:rsidP="002536C4">
      <w:pPr>
        <w:jc w:val="both"/>
        <w:rPr>
          <w:lang w:val="es-419" w:eastAsia="en-IN" w:bidi="te-IN"/>
        </w:rPr>
      </w:pPr>
      <w:r>
        <w:rPr>
          <w:lang w:val="es-419" w:eastAsia="en-IN" w:bidi="te-IN"/>
        </w:rPr>
        <w:t>Con los insumos recibidos durante el taller, se desarrolló una n</w:t>
      </w:r>
      <w:r w:rsidR="009D3ADF">
        <w:rPr>
          <w:lang w:val="es-419" w:eastAsia="en-IN" w:bidi="te-IN"/>
        </w:rPr>
        <w:t>u</w:t>
      </w:r>
      <w:r>
        <w:rPr>
          <w:lang w:val="es-419" w:eastAsia="en-IN" w:bidi="te-IN"/>
        </w:rPr>
        <w:t xml:space="preserve">eva versión de la metodología, que fue sometida a consulta pública </w:t>
      </w:r>
      <w:r w:rsidR="001C58BF">
        <w:rPr>
          <w:lang w:val="es-419" w:eastAsia="en-IN" w:bidi="te-IN"/>
        </w:rPr>
        <w:t>entre</w:t>
      </w:r>
      <w:r w:rsidR="00775C24">
        <w:rPr>
          <w:lang w:val="es-419" w:eastAsia="en-IN" w:bidi="te-IN"/>
        </w:rPr>
        <w:t xml:space="preserve"> </w:t>
      </w:r>
      <w:r w:rsidR="00B8235D">
        <w:rPr>
          <w:lang w:val="es-419" w:eastAsia="en-IN" w:bidi="te-IN"/>
        </w:rPr>
        <w:t xml:space="preserve">el 7 </w:t>
      </w:r>
      <w:r w:rsidR="00FA3F68">
        <w:rPr>
          <w:lang w:val="es-419" w:eastAsia="en-IN" w:bidi="te-IN"/>
        </w:rPr>
        <w:t>y e</w:t>
      </w:r>
      <w:r w:rsidR="00775C24">
        <w:rPr>
          <w:lang w:val="es-419" w:eastAsia="en-IN" w:bidi="te-IN"/>
        </w:rPr>
        <w:t>l 15 de noviembre</w:t>
      </w:r>
      <w:r w:rsidR="00B8235D">
        <w:rPr>
          <w:lang w:val="es-419" w:eastAsia="en-IN" w:bidi="te-IN"/>
        </w:rPr>
        <w:t xml:space="preserve"> de 2019</w:t>
      </w:r>
      <w:r w:rsidR="00A66948">
        <w:rPr>
          <w:lang w:val="es-419" w:eastAsia="en-IN" w:bidi="te-IN"/>
        </w:rPr>
        <w:t xml:space="preserve"> en el </w:t>
      </w:r>
      <w:r w:rsidR="00F81AAB">
        <w:rPr>
          <w:lang w:val="es-419" w:eastAsia="en-IN" w:bidi="te-IN"/>
        </w:rPr>
        <w:t>siguiente enlace</w:t>
      </w:r>
      <w:r w:rsidR="00725D4A">
        <w:rPr>
          <w:lang w:val="es-419" w:eastAsia="en-IN" w:bidi="te-IN"/>
        </w:rPr>
        <w:t xml:space="preserve">: </w:t>
      </w:r>
      <w:r w:rsidR="00F81AAB">
        <w:rPr>
          <w:lang w:val="es-419" w:eastAsia="en-IN" w:bidi="te-IN"/>
        </w:rPr>
        <w:t xml:space="preserve"> </w:t>
      </w:r>
      <w:hyperlink r:id="rId13" w:history="1">
        <w:r w:rsidR="005C0ED6" w:rsidRPr="00957F16">
          <w:rPr>
            <w:rStyle w:val="Hyperlink"/>
            <w:lang w:val="es-419" w:eastAsia="en-IN" w:bidi="te-IN"/>
          </w:rPr>
          <w:t>https://www.minenergia.gov.co/en/foros?idForo=24150951&amp;idLbl=Listado+de+Foros+de+Noviembre+De+2019</w:t>
        </w:r>
      </w:hyperlink>
      <w:r w:rsidR="009F29E4">
        <w:rPr>
          <w:lang w:val="es-419" w:eastAsia="en-IN" w:bidi="te-IN"/>
        </w:rPr>
        <w:t xml:space="preserve"> . </w:t>
      </w:r>
      <w:r w:rsidR="00097679">
        <w:rPr>
          <w:lang w:val="es-419" w:eastAsia="en-IN" w:bidi="te-IN"/>
        </w:rPr>
        <w:t xml:space="preserve">Aun fuera de los plazos, </w:t>
      </w:r>
      <w:r w:rsidR="00A06B41">
        <w:rPr>
          <w:lang w:val="es-419" w:eastAsia="en-IN" w:bidi="te-IN"/>
        </w:rPr>
        <w:t>se recibieron comentarios hasta el 18 de noviembre de 2019.</w:t>
      </w:r>
    </w:p>
    <w:p w14:paraId="409C91E6" w14:textId="1B285148" w:rsidR="005C0ED6" w:rsidRDefault="005C0ED6" w:rsidP="002536C4">
      <w:pPr>
        <w:jc w:val="both"/>
        <w:rPr>
          <w:lang w:val="es-419" w:eastAsia="en-IN" w:bidi="te-IN"/>
        </w:rPr>
      </w:pPr>
      <w:r>
        <w:rPr>
          <w:lang w:val="es-419" w:eastAsia="en-IN" w:bidi="te-IN"/>
        </w:rPr>
        <w:t xml:space="preserve">En esta consulta se recibieron comentarios de parte de </w:t>
      </w:r>
      <w:r w:rsidR="00494021">
        <w:rPr>
          <w:lang w:val="es-419" w:eastAsia="en-IN" w:bidi="te-IN"/>
        </w:rPr>
        <w:t xml:space="preserve">personas naturales, empresas del sector </w:t>
      </w:r>
      <w:r w:rsidR="00634515">
        <w:rPr>
          <w:lang w:val="es-419" w:eastAsia="en-IN" w:bidi="te-IN"/>
        </w:rPr>
        <w:t xml:space="preserve">hidrocarburos </w:t>
      </w:r>
      <w:r w:rsidR="00494021">
        <w:rPr>
          <w:lang w:val="es-419" w:eastAsia="en-IN" w:bidi="te-IN"/>
        </w:rPr>
        <w:t>como Equión</w:t>
      </w:r>
      <w:r w:rsidR="00634515">
        <w:rPr>
          <w:lang w:val="es-419" w:eastAsia="en-IN" w:bidi="te-IN"/>
        </w:rPr>
        <w:t>, Ecopetrol, Ocensa y Canacol</w:t>
      </w:r>
      <w:r w:rsidR="0007165D">
        <w:rPr>
          <w:lang w:val="es-419" w:eastAsia="en-IN" w:bidi="te-IN"/>
        </w:rPr>
        <w:t xml:space="preserve">, así como </w:t>
      </w:r>
      <w:r w:rsidR="00622532">
        <w:rPr>
          <w:lang w:val="es-419" w:eastAsia="en-IN" w:bidi="te-IN"/>
        </w:rPr>
        <w:t>la universidad ECCI, XM y el certi</w:t>
      </w:r>
      <w:r w:rsidR="00AF6B98">
        <w:rPr>
          <w:lang w:val="es-419" w:eastAsia="en-IN" w:bidi="te-IN"/>
        </w:rPr>
        <w:t>ficador nacional Cercarbono.</w:t>
      </w:r>
    </w:p>
    <w:p w14:paraId="74C2E6A8" w14:textId="5B400E71" w:rsidR="00AE7F81" w:rsidRDefault="00956325" w:rsidP="002536C4">
      <w:pPr>
        <w:jc w:val="both"/>
        <w:rPr>
          <w:lang w:val="es-419" w:eastAsia="en-IN" w:bidi="te-IN"/>
        </w:rPr>
      </w:pPr>
      <w:r>
        <w:rPr>
          <w:lang w:val="es-419" w:eastAsia="en-IN" w:bidi="te-IN"/>
        </w:rPr>
        <w:t xml:space="preserve">De nuevo, se atendieron los comentarios pertinentes </w:t>
      </w:r>
      <w:r w:rsidR="00537760">
        <w:rPr>
          <w:lang w:val="es-419" w:eastAsia="en-IN" w:bidi="te-IN"/>
        </w:rPr>
        <w:t>recibidos a través de la consulta pública y se incorporaron en una nueva versión de la metodología</w:t>
      </w:r>
      <w:r w:rsidR="00A81A8D">
        <w:rPr>
          <w:lang w:val="es-419" w:eastAsia="en-IN" w:bidi="te-IN"/>
        </w:rPr>
        <w:t>, que fue presentada durante el evento de socialización.</w:t>
      </w:r>
    </w:p>
    <w:p w14:paraId="4376F285" w14:textId="77777777" w:rsidR="00AE7F81" w:rsidRDefault="00AE7F81">
      <w:pPr>
        <w:rPr>
          <w:lang w:val="es-419" w:eastAsia="en-IN" w:bidi="te-IN"/>
        </w:rPr>
      </w:pPr>
      <w:r>
        <w:rPr>
          <w:lang w:val="es-419" w:eastAsia="en-IN" w:bidi="te-IN"/>
        </w:rPr>
        <w:br w:type="page"/>
      </w:r>
    </w:p>
    <w:p w14:paraId="38C7F8E6" w14:textId="754D63AD" w:rsidR="007D6CB7" w:rsidRDefault="00A55841" w:rsidP="00B948F3">
      <w:pPr>
        <w:pStyle w:val="Heading4"/>
        <w:numPr>
          <w:ilvl w:val="0"/>
          <w:numId w:val="30"/>
        </w:numPr>
        <w:rPr>
          <w:lang w:val="es-419" w:eastAsia="en-IN" w:bidi="te-IN"/>
        </w:rPr>
      </w:pPr>
      <w:bookmarkStart w:id="5" w:name="_Toc25662317"/>
      <w:r>
        <w:rPr>
          <w:lang w:val="es-419" w:eastAsia="en-IN" w:bidi="te-IN"/>
        </w:rPr>
        <w:lastRenderedPageBreak/>
        <w:t>Evento de socialización</w:t>
      </w:r>
      <w:bookmarkEnd w:id="5"/>
    </w:p>
    <w:p w14:paraId="742FD2A4" w14:textId="39B894DF" w:rsidR="00F20630" w:rsidRDefault="00F20630" w:rsidP="00220DD0">
      <w:pPr>
        <w:pStyle w:val="Heading5"/>
        <w:numPr>
          <w:ilvl w:val="1"/>
          <w:numId w:val="30"/>
        </w:numPr>
        <w:rPr>
          <w:lang w:val="es-419" w:eastAsia="en-IN" w:bidi="te-IN"/>
        </w:rPr>
      </w:pPr>
      <w:bookmarkStart w:id="6" w:name="_Toc25662318"/>
      <w:r>
        <w:rPr>
          <w:lang w:val="es-419" w:eastAsia="en-IN" w:bidi="te-IN"/>
        </w:rPr>
        <w:t xml:space="preserve">Objetivos </w:t>
      </w:r>
      <w:r w:rsidR="00816E84">
        <w:rPr>
          <w:lang w:val="es-419" w:eastAsia="en-IN" w:bidi="te-IN"/>
        </w:rPr>
        <w:t>del evento</w:t>
      </w:r>
      <w:bookmarkEnd w:id="6"/>
    </w:p>
    <w:p w14:paraId="1A0B1831" w14:textId="5D34BBD6" w:rsidR="006C4404" w:rsidRDefault="009D0993" w:rsidP="00225B4F">
      <w:pPr>
        <w:jc w:val="both"/>
        <w:rPr>
          <w:lang w:val="es-419" w:eastAsia="en-IN" w:bidi="te-IN"/>
        </w:rPr>
      </w:pPr>
      <w:r>
        <w:rPr>
          <w:lang w:val="es-419" w:eastAsia="en-IN" w:bidi="te-IN"/>
        </w:rPr>
        <w:t xml:space="preserve">El evento estuvo a cargo de las empresas contratadas para la consultoría, Atmosphere Alternative y </w:t>
      </w:r>
      <w:r w:rsidR="00CD2857">
        <w:rPr>
          <w:lang w:val="es-419" w:eastAsia="en-IN" w:bidi="te-IN"/>
        </w:rPr>
        <w:t>CAIA</w:t>
      </w:r>
      <w:r w:rsidR="00591685">
        <w:rPr>
          <w:lang w:val="es-419" w:eastAsia="en-IN" w:bidi="te-IN"/>
        </w:rPr>
        <w:t xml:space="preserve"> Ingeniería</w:t>
      </w:r>
      <w:r w:rsidR="00E72445">
        <w:rPr>
          <w:lang w:val="es-419" w:eastAsia="en-IN" w:bidi="te-IN"/>
        </w:rPr>
        <w:t xml:space="preserve"> y se desarrolló el día 19 de noviembre de 2019 en la mañana en el </w:t>
      </w:r>
      <w:r w:rsidR="00FD2653">
        <w:rPr>
          <w:lang w:val="es-419" w:eastAsia="en-IN" w:bidi="te-IN"/>
        </w:rPr>
        <w:t>H</w:t>
      </w:r>
      <w:r w:rsidR="00E72445">
        <w:rPr>
          <w:lang w:val="es-419" w:eastAsia="en-IN" w:bidi="te-IN"/>
        </w:rPr>
        <w:t>otel Tequendama en Bogotá.</w:t>
      </w:r>
      <w:r w:rsidR="00225B4F">
        <w:rPr>
          <w:lang w:val="es-419" w:eastAsia="en-IN" w:bidi="te-IN"/>
        </w:rPr>
        <w:t xml:space="preserve"> El</w:t>
      </w:r>
      <w:r w:rsidR="00415367">
        <w:rPr>
          <w:lang w:val="es-419" w:eastAsia="en-IN" w:bidi="te-IN"/>
        </w:rPr>
        <w:t xml:space="preserve"> evento estaba dirigido al público en general, pero enfocado en las empresas del sector hidrocarburos, quienes serán los encargados de </w:t>
      </w:r>
      <w:r w:rsidR="00DC7783">
        <w:rPr>
          <w:lang w:val="es-419" w:eastAsia="en-IN" w:bidi="te-IN"/>
        </w:rPr>
        <w:t xml:space="preserve">desarrollar proyectos de mitigación y </w:t>
      </w:r>
      <w:r w:rsidR="00FD657C">
        <w:rPr>
          <w:lang w:val="es-419" w:eastAsia="en-IN" w:bidi="te-IN"/>
        </w:rPr>
        <w:t>aplicar la metodología para certificar dichas reducciones.</w:t>
      </w:r>
      <w:r w:rsidR="006C4404">
        <w:rPr>
          <w:lang w:val="es-419" w:eastAsia="en-IN" w:bidi="te-IN"/>
        </w:rPr>
        <w:t xml:space="preserve"> </w:t>
      </w:r>
    </w:p>
    <w:p w14:paraId="793406E6" w14:textId="54029F52" w:rsidR="009D0993" w:rsidRDefault="006C4404" w:rsidP="00225B4F">
      <w:pPr>
        <w:jc w:val="both"/>
        <w:rPr>
          <w:lang w:val="es-419" w:eastAsia="en-IN" w:bidi="te-IN"/>
        </w:rPr>
      </w:pPr>
      <w:r>
        <w:rPr>
          <w:lang w:val="es-419" w:eastAsia="en-IN" w:bidi="te-IN"/>
        </w:rPr>
        <w:t>Los objetivos del evento fueron:</w:t>
      </w:r>
    </w:p>
    <w:p w14:paraId="03A6FC23" w14:textId="413799CC" w:rsidR="006C4404" w:rsidRDefault="005B7D85" w:rsidP="006C4404">
      <w:pPr>
        <w:pStyle w:val="ListParagraph"/>
        <w:numPr>
          <w:ilvl w:val="0"/>
          <w:numId w:val="35"/>
        </w:numPr>
        <w:jc w:val="both"/>
        <w:rPr>
          <w:lang w:val="es-419" w:eastAsia="en-IN" w:bidi="te-IN"/>
        </w:rPr>
      </w:pPr>
      <w:r>
        <w:rPr>
          <w:lang w:val="es-419" w:eastAsia="en-IN" w:bidi="te-IN"/>
        </w:rPr>
        <w:t xml:space="preserve">Contextualizar a los asistentes </w:t>
      </w:r>
      <w:r w:rsidR="00BA4F26">
        <w:rPr>
          <w:lang w:val="es-419" w:eastAsia="en-IN" w:bidi="te-IN"/>
        </w:rPr>
        <w:t xml:space="preserve">en </w:t>
      </w:r>
      <w:r w:rsidR="00B437DA">
        <w:rPr>
          <w:lang w:val="es-419" w:eastAsia="en-IN" w:bidi="te-IN"/>
        </w:rPr>
        <w:t>e</w:t>
      </w:r>
      <w:r w:rsidR="00481D58">
        <w:rPr>
          <w:lang w:val="es-419" w:eastAsia="en-IN" w:bidi="te-IN"/>
        </w:rPr>
        <w:t>l marco del impuesto nacional al carbono</w:t>
      </w:r>
      <w:r w:rsidR="00CF6EED">
        <w:rPr>
          <w:lang w:val="es-419" w:eastAsia="en-IN" w:bidi="te-IN"/>
        </w:rPr>
        <w:t xml:space="preserve">, </w:t>
      </w:r>
      <w:r w:rsidR="00481D58">
        <w:rPr>
          <w:lang w:val="es-419" w:eastAsia="en-IN" w:bidi="te-IN"/>
        </w:rPr>
        <w:t>su mecanismo de no causación</w:t>
      </w:r>
      <w:r w:rsidR="00CF6EED">
        <w:rPr>
          <w:lang w:val="es-419" w:eastAsia="en-IN" w:bidi="te-IN"/>
        </w:rPr>
        <w:t xml:space="preserve"> y el crecimiento del mercado colombiano de bonos de carbono</w:t>
      </w:r>
      <w:r w:rsidR="00C41CD7">
        <w:rPr>
          <w:lang w:val="es-419" w:eastAsia="en-IN" w:bidi="te-IN"/>
        </w:rPr>
        <w:t>.</w:t>
      </w:r>
    </w:p>
    <w:p w14:paraId="79C9E6F3" w14:textId="0D140E24" w:rsidR="00CF6EED" w:rsidRDefault="000D685A" w:rsidP="006C4404">
      <w:pPr>
        <w:pStyle w:val="ListParagraph"/>
        <w:numPr>
          <w:ilvl w:val="0"/>
          <w:numId w:val="35"/>
        </w:numPr>
        <w:jc w:val="both"/>
        <w:rPr>
          <w:lang w:val="es-419" w:eastAsia="en-IN" w:bidi="te-IN"/>
        </w:rPr>
      </w:pPr>
      <w:r>
        <w:rPr>
          <w:lang w:val="es-419" w:eastAsia="en-IN" w:bidi="te-IN"/>
        </w:rPr>
        <w:t xml:space="preserve">Explicar de forma </w:t>
      </w:r>
      <w:r w:rsidR="00252096">
        <w:rPr>
          <w:lang w:val="es-419" w:eastAsia="en-IN" w:bidi="te-IN"/>
        </w:rPr>
        <w:t>breve los aspectos generales de la metodología</w:t>
      </w:r>
      <w:r w:rsidR="00C41CD7">
        <w:rPr>
          <w:lang w:val="es-419" w:eastAsia="en-IN" w:bidi="te-IN"/>
        </w:rPr>
        <w:t>.</w:t>
      </w:r>
    </w:p>
    <w:p w14:paraId="7026340E" w14:textId="556F2530" w:rsidR="00E72445" w:rsidRDefault="00A91237" w:rsidP="00403525">
      <w:pPr>
        <w:pStyle w:val="ListParagraph"/>
        <w:numPr>
          <w:ilvl w:val="0"/>
          <w:numId w:val="35"/>
        </w:numPr>
        <w:jc w:val="both"/>
        <w:rPr>
          <w:lang w:val="es-419" w:eastAsia="en-IN" w:bidi="te-IN"/>
        </w:rPr>
      </w:pPr>
      <w:r w:rsidRPr="007D1C34">
        <w:rPr>
          <w:lang w:val="es-419" w:eastAsia="en-IN" w:bidi="te-IN"/>
        </w:rPr>
        <w:t xml:space="preserve">Compartir casos de éxito de proyectos de mitigación, desarrollados por una empresa del sector, </w:t>
      </w:r>
      <w:r w:rsidR="00B646E7" w:rsidRPr="007D1C34">
        <w:rPr>
          <w:lang w:val="es-419" w:eastAsia="en-IN" w:bidi="te-IN"/>
        </w:rPr>
        <w:t>con un tipo de proyecto elegible dentro de la metodología desarrollada</w:t>
      </w:r>
      <w:r w:rsidR="00E4276D" w:rsidRPr="007D1C34">
        <w:rPr>
          <w:lang w:val="es-419" w:eastAsia="en-IN" w:bidi="te-IN"/>
        </w:rPr>
        <w:t xml:space="preserve">, </w:t>
      </w:r>
      <w:r w:rsidR="008913DE" w:rsidRPr="007D1C34">
        <w:rPr>
          <w:lang w:val="es-419" w:eastAsia="en-IN" w:bidi="te-IN"/>
        </w:rPr>
        <w:t xml:space="preserve">que ya cuenta con reducciones verificados, bajo </w:t>
      </w:r>
      <w:r w:rsidR="007D1C34" w:rsidRPr="007D1C34">
        <w:rPr>
          <w:lang w:val="es-419" w:eastAsia="en-IN" w:bidi="te-IN"/>
        </w:rPr>
        <w:t>otra metodología internacional</w:t>
      </w:r>
      <w:r w:rsidR="00C41CD7">
        <w:rPr>
          <w:lang w:val="es-419" w:eastAsia="en-IN" w:bidi="te-IN"/>
        </w:rPr>
        <w:t>.</w:t>
      </w:r>
    </w:p>
    <w:p w14:paraId="2F8A4A6E" w14:textId="23F27F6D" w:rsidR="0017781F" w:rsidRDefault="002B5B60" w:rsidP="00403525">
      <w:pPr>
        <w:pStyle w:val="ListParagraph"/>
        <w:numPr>
          <w:ilvl w:val="0"/>
          <w:numId w:val="35"/>
        </w:numPr>
        <w:jc w:val="both"/>
        <w:rPr>
          <w:lang w:val="es-419" w:eastAsia="en-IN" w:bidi="te-IN"/>
        </w:rPr>
      </w:pPr>
      <w:r>
        <w:rPr>
          <w:lang w:val="es-419" w:eastAsia="en-IN" w:bidi="te-IN"/>
        </w:rPr>
        <w:t>Exponer</w:t>
      </w:r>
      <w:r w:rsidR="0017781F">
        <w:rPr>
          <w:lang w:val="es-419" w:eastAsia="en-IN" w:bidi="te-IN"/>
        </w:rPr>
        <w:t xml:space="preserve"> a profundidad las</w:t>
      </w:r>
      <w:r w:rsidR="001A73E8">
        <w:rPr>
          <w:lang w:val="es-419" w:eastAsia="en-IN" w:bidi="te-IN"/>
        </w:rPr>
        <w:t xml:space="preserve"> especificidades de </w:t>
      </w:r>
      <w:r>
        <w:rPr>
          <w:lang w:val="es-419" w:eastAsia="en-IN" w:bidi="te-IN"/>
        </w:rPr>
        <w:t>cada tipo de proyecto contemplado en la metodología</w:t>
      </w:r>
      <w:r w:rsidR="00C41CD7">
        <w:rPr>
          <w:lang w:val="es-419" w:eastAsia="en-IN" w:bidi="te-IN"/>
        </w:rPr>
        <w:t>.</w:t>
      </w:r>
    </w:p>
    <w:p w14:paraId="759ED619" w14:textId="0F740CA2" w:rsidR="002B5B60" w:rsidRDefault="00A91237" w:rsidP="00403525">
      <w:pPr>
        <w:pStyle w:val="ListParagraph"/>
        <w:numPr>
          <w:ilvl w:val="0"/>
          <w:numId w:val="35"/>
        </w:numPr>
        <w:jc w:val="both"/>
        <w:rPr>
          <w:lang w:val="es-419" w:eastAsia="en-IN" w:bidi="te-IN"/>
        </w:rPr>
      </w:pPr>
      <w:r w:rsidRPr="007D1C34">
        <w:rPr>
          <w:lang w:val="es-419" w:eastAsia="en-IN" w:bidi="te-IN"/>
        </w:rPr>
        <w:t xml:space="preserve">Compartir casos de éxito de proyectos de mitigación, desarrollados por una empresa del sector, </w:t>
      </w:r>
      <w:r w:rsidR="00B646E7" w:rsidRPr="007D1C34">
        <w:rPr>
          <w:lang w:val="es-419" w:eastAsia="en-IN" w:bidi="te-IN"/>
        </w:rPr>
        <w:t>con un tipo de proyecto elegible dentro de la metodología desarrollada</w:t>
      </w:r>
      <w:r w:rsidR="00E4276D" w:rsidRPr="007D1C34">
        <w:rPr>
          <w:lang w:val="es-419" w:eastAsia="en-IN" w:bidi="te-IN"/>
        </w:rPr>
        <w:t xml:space="preserve">, </w:t>
      </w:r>
      <w:r w:rsidR="008913DE" w:rsidRPr="007D1C34">
        <w:rPr>
          <w:lang w:val="es-419" w:eastAsia="en-IN" w:bidi="te-IN"/>
        </w:rPr>
        <w:t xml:space="preserve">que ya cuenta con reducciones verificados bajo </w:t>
      </w:r>
      <w:r w:rsidR="007D1C34" w:rsidRPr="007D1C34">
        <w:rPr>
          <w:lang w:val="es-419" w:eastAsia="en-IN" w:bidi="te-IN"/>
        </w:rPr>
        <w:t>otra metodología internacional</w:t>
      </w:r>
      <w:r w:rsidR="00C41CD7">
        <w:rPr>
          <w:lang w:val="es-419" w:eastAsia="en-IN" w:bidi="te-IN"/>
        </w:rPr>
        <w:t>.</w:t>
      </w:r>
    </w:p>
    <w:p w14:paraId="72154983" w14:textId="166DC8ED" w:rsidR="00891AFD" w:rsidRDefault="00792387" w:rsidP="00403525">
      <w:pPr>
        <w:pStyle w:val="ListParagraph"/>
        <w:numPr>
          <w:ilvl w:val="0"/>
          <w:numId w:val="35"/>
        </w:numPr>
        <w:jc w:val="both"/>
        <w:rPr>
          <w:lang w:val="es-419" w:eastAsia="en-IN" w:bidi="te-IN"/>
        </w:rPr>
      </w:pPr>
      <w:r>
        <w:rPr>
          <w:lang w:val="es-419" w:eastAsia="en-IN" w:bidi="te-IN"/>
        </w:rPr>
        <w:t xml:space="preserve">Profundizar en el proceso </w:t>
      </w:r>
      <w:r w:rsidR="00820705">
        <w:rPr>
          <w:lang w:val="es-419" w:eastAsia="en-IN" w:bidi="te-IN"/>
        </w:rPr>
        <w:t>que se debe llevar a cabo para obtener la certificación de las reducciones de emisiones logradas por un proyecto de mitigación.</w:t>
      </w:r>
    </w:p>
    <w:p w14:paraId="0CC1D7C9" w14:textId="1876404D" w:rsidR="00820705" w:rsidRPr="007D1C34" w:rsidRDefault="00844D34" w:rsidP="00403525">
      <w:pPr>
        <w:pStyle w:val="ListParagraph"/>
        <w:numPr>
          <w:ilvl w:val="0"/>
          <w:numId w:val="35"/>
        </w:numPr>
        <w:jc w:val="both"/>
        <w:rPr>
          <w:lang w:val="es-419" w:eastAsia="en-IN" w:bidi="te-IN"/>
        </w:rPr>
      </w:pPr>
      <w:r>
        <w:rPr>
          <w:lang w:val="es-419" w:eastAsia="en-IN" w:bidi="te-IN"/>
        </w:rPr>
        <w:t xml:space="preserve">Comunicar </w:t>
      </w:r>
      <w:r w:rsidR="0065004B">
        <w:rPr>
          <w:lang w:val="es-419" w:eastAsia="en-IN" w:bidi="te-IN"/>
        </w:rPr>
        <w:t xml:space="preserve">los aspectos </w:t>
      </w:r>
      <w:r w:rsidR="00B26534">
        <w:rPr>
          <w:lang w:val="es-419" w:eastAsia="en-IN" w:bidi="te-IN"/>
        </w:rPr>
        <w:t>normativo</w:t>
      </w:r>
      <w:r w:rsidR="0065004B">
        <w:rPr>
          <w:lang w:val="es-419" w:eastAsia="en-IN" w:bidi="te-IN"/>
        </w:rPr>
        <w:t xml:space="preserve">s que se encuentran en formulación </w:t>
      </w:r>
      <w:r w:rsidR="001E3A00">
        <w:rPr>
          <w:lang w:val="es-419" w:eastAsia="en-IN" w:bidi="te-IN"/>
        </w:rPr>
        <w:t xml:space="preserve">por parte los entes </w:t>
      </w:r>
      <w:r w:rsidR="00B26534">
        <w:rPr>
          <w:lang w:val="es-419" w:eastAsia="en-IN" w:bidi="te-IN"/>
        </w:rPr>
        <w:t>regulatorios.</w:t>
      </w:r>
    </w:p>
    <w:p w14:paraId="1EEED222" w14:textId="184CBE7B" w:rsidR="001B78CC" w:rsidRDefault="001B78CC" w:rsidP="00220DD0">
      <w:pPr>
        <w:pStyle w:val="Heading5"/>
        <w:numPr>
          <w:ilvl w:val="1"/>
          <w:numId w:val="30"/>
        </w:numPr>
        <w:rPr>
          <w:lang w:val="es-419" w:eastAsia="en-IN" w:bidi="te-IN"/>
        </w:rPr>
      </w:pPr>
      <w:bookmarkStart w:id="7" w:name="_Toc25662319"/>
      <w:r>
        <w:rPr>
          <w:lang w:val="es-419" w:eastAsia="en-IN" w:bidi="te-IN"/>
        </w:rPr>
        <w:t>Desarrollo</w:t>
      </w:r>
      <w:bookmarkEnd w:id="7"/>
      <w:r>
        <w:rPr>
          <w:lang w:val="es-419" w:eastAsia="en-IN" w:bidi="te-IN"/>
        </w:rPr>
        <w:t xml:space="preserve"> </w:t>
      </w:r>
    </w:p>
    <w:p w14:paraId="6B930683" w14:textId="01C50B50" w:rsidR="006D58CE" w:rsidRDefault="006D58CE" w:rsidP="00554CD0">
      <w:pPr>
        <w:jc w:val="both"/>
        <w:rPr>
          <w:lang w:val="es-419" w:eastAsia="en-IN" w:bidi="te-IN"/>
        </w:rPr>
      </w:pPr>
      <w:r>
        <w:rPr>
          <w:lang w:val="es-419" w:eastAsia="en-IN" w:bidi="te-IN"/>
        </w:rPr>
        <w:t>En los anexos se encuentra la agenda final</w:t>
      </w:r>
      <w:r w:rsidR="00AF54C5">
        <w:rPr>
          <w:lang w:val="es-419" w:eastAsia="en-IN" w:bidi="te-IN"/>
        </w:rPr>
        <w:t xml:space="preserve"> del evento propuesta para ese día.</w:t>
      </w:r>
    </w:p>
    <w:p w14:paraId="53342829" w14:textId="49F8DF15" w:rsidR="00734BA4" w:rsidRDefault="00547137" w:rsidP="00554CD0">
      <w:pPr>
        <w:jc w:val="both"/>
        <w:rPr>
          <w:lang w:val="es-419" w:eastAsia="en-IN" w:bidi="te-IN"/>
        </w:rPr>
      </w:pPr>
      <w:r>
        <w:rPr>
          <w:lang w:val="es-419" w:eastAsia="en-IN" w:bidi="te-IN"/>
        </w:rPr>
        <w:t xml:space="preserve">A lo largo de las presentaciones </w:t>
      </w:r>
      <w:r w:rsidR="00C57CD6">
        <w:rPr>
          <w:lang w:val="es-419" w:eastAsia="en-IN" w:bidi="te-IN"/>
        </w:rPr>
        <w:t>de cada una de las secciones se fue dando respuesta a las inquietudes y aportes presentados por los asistentes.</w:t>
      </w:r>
    </w:p>
    <w:p w14:paraId="4AD81FF0" w14:textId="39118DC7" w:rsidR="00AF54C5" w:rsidRDefault="0063103B" w:rsidP="00554CD0">
      <w:pPr>
        <w:jc w:val="both"/>
        <w:rPr>
          <w:lang w:val="es-419" w:eastAsia="en-IN" w:bidi="te-IN"/>
        </w:rPr>
      </w:pPr>
      <w:r>
        <w:rPr>
          <w:lang w:val="es-419" w:eastAsia="en-IN" w:bidi="te-IN"/>
        </w:rPr>
        <w:t xml:space="preserve">Cuando se llegó a la parte de la descripción detallada </w:t>
      </w:r>
      <w:r w:rsidR="009A5419">
        <w:rPr>
          <w:lang w:val="es-419" w:eastAsia="en-IN" w:bidi="te-IN"/>
        </w:rPr>
        <w:t>del uso de la metodología bajo los diferentes tipos de proyecto</w:t>
      </w:r>
      <w:r w:rsidR="006D58CE">
        <w:rPr>
          <w:lang w:val="es-419" w:eastAsia="en-IN" w:bidi="te-IN"/>
        </w:rPr>
        <w:t xml:space="preserve">, se optó por </w:t>
      </w:r>
      <w:r w:rsidR="00AF54C5">
        <w:rPr>
          <w:lang w:val="es-419" w:eastAsia="en-IN" w:bidi="te-IN"/>
        </w:rPr>
        <w:t xml:space="preserve">discutir en </w:t>
      </w:r>
      <w:r w:rsidR="006D58CE">
        <w:rPr>
          <w:lang w:val="es-419" w:eastAsia="en-IN" w:bidi="te-IN"/>
        </w:rPr>
        <w:t>un solo grupo</w:t>
      </w:r>
      <w:r w:rsidR="00AF54C5">
        <w:rPr>
          <w:lang w:val="es-419" w:eastAsia="en-IN" w:bidi="te-IN"/>
        </w:rPr>
        <w:t xml:space="preserve"> los tres tipos de proyecto, </w:t>
      </w:r>
      <w:r w:rsidR="00153894">
        <w:rPr>
          <w:lang w:val="es-419" w:eastAsia="en-IN" w:bidi="te-IN"/>
        </w:rPr>
        <w:t>debido al interés general en los métodos para cuantificar reducción de emisiones de fugas físicas</w:t>
      </w:r>
      <w:r w:rsidR="00AF54C5">
        <w:rPr>
          <w:lang w:val="es-419" w:eastAsia="en-IN" w:bidi="te-IN"/>
        </w:rPr>
        <w:t>.</w:t>
      </w:r>
    </w:p>
    <w:p w14:paraId="765DEA99" w14:textId="4D0EC182" w:rsidR="007121A7" w:rsidRDefault="00AF54C5" w:rsidP="00554CD0">
      <w:pPr>
        <w:jc w:val="both"/>
        <w:rPr>
          <w:lang w:val="es-419" w:eastAsia="en-IN" w:bidi="te-IN"/>
        </w:rPr>
      </w:pPr>
      <w:r>
        <w:rPr>
          <w:lang w:val="es-419" w:eastAsia="en-IN" w:bidi="te-IN"/>
        </w:rPr>
        <w:t>S</w:t>
      </w:r>
      <w:r w:rsidR="009A5419">
        <w:rPr>
          <w:lang w:val="es-419" w:eastAsia="en-IN" w:bidi="te-IN"/>
        </w:rPr>
        <w:t xml:space="preserve">e </w:t>
      </w:r>
      <w:r w:rsidR="00FB4753">
        <w:rPr>
          <w:lang w:val="es-419" w:eastAsia="en-IN" w:bidi="te-IN"/>
        </w:rPr>
        <w:t>repartieron c</w:t>
      </w:r>
      <w:r w:rsidR="00186847">
        <w:rPr>
          <w:lang w:val="es-419" w:eastAsia="en-IN" w:bidi="te-IN"/>
        </w:rPr>
        <w:t xml:space="preserve">opias impresas </w:t>
      </w:r>
      <w:r w:rsidR="00254970">
        <w:rPr>
          <w:lang w:val="es-419" w:eastAsia="en-IN" w:bidi="te-IN"/>
        </w:rPr>
        <w:t xml:space="preserve">de </w:t>
      </w:r>
      <w:r w:rsidR="00AD7062">
        <w:rPr>
          <w:lang w:val="es-419" w:eastAsia="en-IN" w:bidi="te-IN"/>
        </w:rPr>
        <w:t xml:space="preserve">ejemplos de proyectos hipotéticos. De esta forma, se </w:t>
      </w:r>
      <w:r>
        <w:rPr>
          <w:lang w:val="es-419" w:eastAsia="en-IN" w:bidi="te-IN"/>
        </w:rPr>
        <w:t>les</w:t>
      </w:r>
      <w:r w:rsidR="00AD7062">
        <w:rPr>
          <w:lang w:val="es-419" w:eastAsia="en-IN" w:bidi="te-IN"/>
        </w:rPr>
        <w:t xml:space="preserve"> pidió a los participantes qu</w:t>
      </w:r>
      <w:r w:rsidR="006130D4">
        <w:rPr>
          <w:lang w:val="es-419" w:eastAsia="en-IN" w:bidi="te-IN"/>
        </w:rPr>
        <w:t>e respondieran a al</w:t>
      </w:r>
      <w:r w:rsidR="002E4F84">
        <w:rPr>
          <w:lang w:val="es-419" w:eastAsia="en-IN" w:bidi="te-IN"/>
        </w:rPr>
        <w:t>gunas preguntas planteadas por los moderadores</w:t>
      </w:r>
      <w:r w:rsidR="00F072FB">
        <w:rPr>
          <w:lang w:val="es-419" w:eastAsia="en-IN" w:bidi="te-IN"/>
        </w:rPr>
        <w:t xml:space="preserve">, con el fin de direccionar </w:t>
      </w:r>
      <w:r w:rsidR="00072C63">
        <w:rPr>
          <w:lang w:val="es-419" w:eastAsia="en-IN" w:bidi="te-IN"/>
        </w:rPr>
        <w:t>el uso de la información provista, de acuerdo con los criterios y cálculos de la metodología</w:t>
      </w:r>
      <w:r w:rsidR="007121A7">
        <w:rPr>
          <w:lang w:val="es-419" w:eastAsia="en-IN" w:bidi="te-IN"/>
        </w:rPr>
        <w:t>.</w:t>
      </w:r>
    </w:p>
    <w:p w14:paraId="4A2288FE" w14:textId="04B559DE" w:rsidR="005E6CEF" w:rsidRPr="00734BA4" w:rsidRDefault="007B552F" w:rsidP="00554CD0">
      <w:pPr>
        <w:jc w:val="both"/>
        <w:rPr>
          <w:lang w:val="es-419" w:eastAsia="en-IN" w:bidi="te-IN"/>
        </w:rPr>
      </w:pPr>
      <w:r>
        <w:rPr>
          <w:lang w:val="es-419" w:eastAsia="en-IN" w:bidi="te-IN"/>
        </w:rPr>
        <w:t xml:space="preserve">En la última sección del evento se </w:t>
      </w:r>
      <w:r w:rsidR="009006EF">
        <w:rPr>
          <w:lang w:val="es-419" w:eastAsia="en-IN" w:bidi="te-IN"/>
        </w:rPr>
        <w:t xml:space="preserve">presentaron </w:t>
      </w:r>
      <w:r w:rsidR="00E53BC5">
        <w:rPr>
          <w:lang w:val="es-419" w:eastAsia="en-IN" w:bidi="te-IN"/>
        </w:rPr>
        <w:t>las actividades que está</w:t>
      </w:r>
      <w:r w:rsidR="00680B5C">
        <w:rPr>
          <w:lang w:val="es-419" w:eastAsia="en-IN" w:bidi="te-IN"/>
        </w:rPr>
        <w:t>n</w:t>
      </w:r>
      <w:r w:rsidR="00E53BC5">
        <w:rPr>
          <w:lang w:val="es-419" w:eastAsia="en-IN" w:bidi="te-IN"/>
        </w:rPr>
        <w:t xml:space="preserve"> llevando a cabo </w:t>
      </w:r>
      <w:r w:rsidR="00680B5C">
        <w:rPr>
          <w:lang w:val="es-419" w:eastAsia="en-IN" w:bidi="te-IN"/>
        </w:rPr>
        <w:t xml:space="preserve">desde la </w:t>
      </w:r>
      <w:r w:rsidR="0005612B">
        <w:rPr>
          <w:lang w:val="es-419" w:eastAsia="en-IN" w:bidi="te-IN"/>
        </w:rPr>
        <w:t>D</w:t>
      </w:r>
      <w:r w:rsidR="00680B5C">
        <w:rPr>
          <w:lang w:val="es-419" w:eastAsia="en-IN" w:bidi="te-IN"/>
        </w:rPr>
        <w:t xml:space="preserve">irección de </w:t>
      </w:r>
      <w:r w:rsidR="0005612B">
        <w:rPr>
          <w:lang w:val="es-419" w:eastAsia="en-IN" w:bidi="te-IN"/>
        </w:rPr>
        <w:t xml:space="preserve">Hidrocarburos </w:t>
      </w:r>
      <w:r w:rsidR="00416D6D">
        <w:rPr>
          <w:lang w:val="es-419" w:eastAsia="en-IN" w:bidi="te-IN"/>
        </w:rPr>
        <w:t xml:space="preserve">del </w:t>
      </w:r>
      <w:r w:rsidR="00CB3A34">
        <w:rPr>
          <w:lang w:val="es-419" w:eastAsia="en-IN" w:bidi="te-IN"/>
        </w:rPr>
        <w:t>MinEnergía</w:t>
      </w:r>
      <w:r w:rsidR="00CA1EDD">
        <w:rPr>
          <w:lang w:val="es-419" w:eastAsia="en-IN" w:bidi="te-IN"/>
        </w:rPr>
        <w:t xml:space="preserve">. Actualmente se encuentran </w:t>
      </w:r>
      <w:r w:rsidR="00DF13A4">
        <w:rPr>
          <w:lang w:val="es-419" w:eastAsia="en-IN" w:bidi="te-IN"/>
        </w:rPr>
        <w:t xml:space="preserve">en el levantamiento de la línea base, para definir el reglamento </w:t>
      </w:r>
      <w:r w:rsidR="00496D77">
        <w:rPr>
          <w:lang w:val="es-419" w:eastAsia="en-IN" w:bidi="te-IN"/>
        </w:rPr>
        <w:t xml:space="preserve">técnico de quemas y venteos </w:t>
      </w:r>
      <w:r w:rsidR="00830DE9">
        <w:rPr>
          <w:lang w:val="es-419" w:eastAsia="en-IN" w:bidi="te-IN"/>
        </w:rPr>
        <w:t xml:space="preserve">en </w:t>
      </w:r>
      <w:r w:rsidR="00496D77">
        <w:rPr>
          <w:lang w:val="es-419" w:eastAsia="en-IN" w:bidi="te-IN"/>
        </w:rPr>
        <w:t>upstream</w:t>
      </w:r>
      <w:r w:rsidR="00830DE9">
        <w:rPr>
          <w:lang w:val="es-419" w:eastAsia="en-IN" w:bidi="te-IN"/>
        </w:rPr>
        <w:t>. En este sentido, se extendió la invitación al sector para</w:t>
      </w:r>
      <w:r w:rsidR="004E458F">
        <w:rPr>
          <w:lang w:val="es-419" w:eastAsia="en-IN" w:bidi="te-IN"/>
        </w:rPr>
        <w:t xml:space="preserve"> que</w:t>
      </w:r>
      <w:r w:rsidR="00830DE9">
        <w:rPr>
          <w:lang w:val="es-419" w:eastAsia="en-IN" w:bidi="te-IN"/>
        </w:rPr>
        <w:t xml:space="preserve"> </w:t>
      </w:r>
      <w:r w:rsidR="004A62EA">
        <w:rPr>
          <w:lang w:val="es-419" w:eastAsia="en-IN" w:bidi="te-IN"/>
        </w:rPr>
        <w:t xml:space="preserve">inicie </w:t>
      </w:r>
      <w:r w:rsidR="00E37B22">
        <w:rPr>
          <w:lang w:val="es-419" w:eastAsia="en-IN" w:bidi="te-IN"/>
        </w:rPr>
        <w:t xml:space="preserve">prontamente </w:t>
      </w:r>
      <w:r w:rsidR="004A62EA">
        <w:rPr>
          <w:lang w:val="es-419" w:eastAsia="en-IN" w:bidi="te-IN"/>
        </w:rPr>
        <w:t>con</w:t>
      </w:r>
      <w:r w:rsidR="00261180">
        <w:rPr>
          <w:lang w:val="es-419" w:eastAsia="en-IN" w:bidi="te-IN"/>
        </w:rPr>
        <w:t xml:space="preserve"> las acciones de reducción de </w:t>
      </w:r>
      <w:r w:rsidR="00F135F5">
        <w:rPr>
          <w:lang w:val="es-419" w:eastAsia="en-IN" w:bidi="te-IN"/>
        </w:rPr>
        <w:t>emisiones fugitivas</w:t>
      </w:r>
      <w:r w:rsidR="00F611B6">
        <w:rPr>
          <w:lang w:val="es-419" w:eastAsia="en-IN" w:bidi="te-IN"/>
        </w:rPr>
        <w:t xml:space="preserve"> mient</w:t>
      </w:r>
      <w:r w:rsidR="004A62EA">
        <w:rPr>
          <w:lang w:val="es-419" w:eastAsia="en-IN" w:bidi="te-IN"/>
        </w:rPr>
        <w:t>ras se trata de iniciativas voluntarias</w:t>
      </w:r>
      <w:r w:rsidR="00917884">
        <w:rPr>
          <w:lang w:val="es-419" w:eastAsia="en-IN" w:bidi="te-IN"/>
        </w:rPr>
        <w:t xml:space="preserve"> que cuentan con incentivos de bonos de carbono, antes de que </w:t>
      </w:r>
      <w:r w:rsidR="00D21F66">
        <w:rPr>
          <w:lang w:val="es-419" w:eastAsia="en-IN" w:bidi="te-IN"/>
        </w:rPr>
        <w:t xml:space="preserve">entre en </w:t>
      </w:r>
      <w:r w:rsidR="00D21F66">
        <w:rPr>
          <w:lang w:val="es-419" w:eastAsia="en-IN" w:bidi="te-IN"/>
        </w:rPr>
        <w:lastRenderedPageBreak/>
        <w:t>vigor</w:t>
      </w:r>
      <w:r w:rsidR="00917884">
        <w:rPr>
          <w:lang w:val="es-419" w:eastAsia="en-IN" w:bidi="te-IN"/>
        </w:rPr>
        <w:t xml:space="preserve"> la regulación</w:t>
      </w:r>
      <w:r w:rsidR="00E37B22">
        <w:rPr>
          <w:lang w:val="es-419" w:eastAsia="en-IN" w:bidi="te-IN"/>
        </w:rPr>
        <w:t>, en la que dichas iniciativas serán de carácter obligatorio</w:t>
      </w:r>
      <w:r w:rsidR="00D21F66">
        <w:rPr>
          <w:lang w:val="es-419" w:eastAsia="en-IN" w:bidi="te-IN"/>
        </w:rPr>
        <w:t xml:space="preserve"> y no contarán con ningún tipo de beneficio</w:t>
      </w:r>
      <w:r w:rsidR="00E37B22">
        <w:rPr>
          <w:lang w:val="es-419" w:eastAsia="en-IN" w:bidi="te-IN"/>
        </w:rPr>
        <w:t xml:space="preserve">. </w:t>
      </w:r>
    </w:p>
    <w:p w14:paraId="2598D17A" w14:textId="73EFE879" w:rsidR="00030AE7" w:rsidRDefault="00030AE7" w:rsidP="00220DD0">
      <w:pPr>
        <w:pStyle w:val="Heading5"/>
        <w:numPr>
          <w:ilvl w:val="1"/>
          <w:numId w:val="30"/>
        </w:numPr>
        <w:rPr>
          <w:lang w:val="es-419" w:eastAsia="en-IN" w:bidi="te-IN"/>
        </w:rPr>
      </w:pPr>
      <w:bookmarkStart w:id="8" w:name="_Toc25662320"/>
      <w:r>
        <w:rPr>
          <w:lang w:val="es-419" w:eastAsia="en-IN" w:bidi="te-IN"/>
        </w:rPr>
        <w:t>Preguntas y respuestas</w:t>
      </w:r>
      <w:bookmarkEnd w:id="8"/>
    </w:p>
    <w:p w14:paraId="55B66EBB" w14:textId="70C3C818" w:rsidR="00D21F66" w:rsidRDefault="00D21F66" w:rsidP="00D21F66">
      <w:pPr>
        <w:rPr>
          <w:lang w:val="es-419" w:eastAsia="en-IN" w:bidi="te-IN"/>
        </w:rPr>
      </w:pPr>
      <w:r>
        <w:rPr>
          <w:lang w:val="es-419" w:eastAsia="en-IN" w:bidi="te-IN"/>
        </w:rPr>
        <w:t>A continuación, se presentan algunas de las preguntas e inquietudes que surgieron durante el evento y la respuesta que se dio.</w:t>
      </w:r>
    </w:p>
    <w:p w14:paraId="6DD3DC81" w14:textId="6E0CC33E" w:rsidR="00D21F66" w:rsidRDefault="00BF002E" w:rsidP="007E5CB7">
      <w:pPr>
        <w:pStyle w:val="ListParagraph"/>
        <w:numPr>
          <w:ilvl w:val="0"/>
          <w:numId w:val="35"/>
        </w:numPr>
        <w:ind w:left="142" w:hanging="142"/>
        <w:rPr>
          <w:lang w:val="es-419" w:eastAsia="en-IN" w:bidi="te-IN"/>
        </w:rPr>
      </w:pPr>
      <w:r>
        <w:rPr>
          <w:lang w:val="es-419" w:eastAsia="en-IN" w:bidi="te-IN"/>
        </w:rPr>
        <w:t xml:space="preserve">Si se cuenta con normatividad técnica </w:t>
      </w:r>
      <w:r w:rsidR="00077818">
        <w:rPr>
          <w:lang w:val="es-419" w:eastAsia="en-IN" w:bidi="te-IN"/>
        </w:rPr>
        <w:t xml:space="preserve">aplicable a otros países en materia de control de </w:t>
      </w:r>
      <w:r w:rsidR="00166B48">
        <w:rPr>
          <w:lang w:val="es-419" w:eastAsia="en-IN" w:bidi="te-IN"/>
        </w:rPr>
        <w:t>fugas, el uso de esta metodología para emitir bonos por cumplir con dicha normativa consistiría en premiar una mala práctica del sector.</w:t>
      </w:r>
    </w:p>
    <w:p w14:paraId="7AAB1B34" w14:textId="10A72D3B" w:rsidR="00166B48" w:rsidRDefault="00C37739" w:rsidP="007E5CB7">
      <w:pPr>
        <w:pStyle w:val="ListParagraph"/>
        <w:numPr>
          <w:ilvl w:val="0"/>
          <w:numId w:val="36"/>
        </w:numPr>
        <w:rPr>
          <w:lang w:val="es-419" w:eastAsia="en-IN" w:bidi="te-IN"/>
        </w:rPr>
      </w:pPr>
      <w:r>
        <w:rPr>
          <w:lang w:val="es-419" w:eastAsia="en-IN" w:bidi="te-IN"/>
        </w:rPr>
        <w:t xml:space="preserve">Actualmente, el país no cuenta con normativa para el control de fugas, en ese sentido, toda iniciativa encaminada a reducir las fugas se considera una actividad voluntaria. </w:t>
      </w:r>
    </w:p>
    <w:p w14:paraId="787EDC1D" w14:textId="0134FF47" w:rsidR="00C37739" w:rsidRDefault="00C37739" w:rsidP="00C37739">
      <w:pPr>
        <w:pStyle w:val="ListParagraph"/>
        <w:rPr>
          <w:lang w:val="es-419" w:eastAsia="en-IN" w:bidi="te-IN"/>
        </w:rPr>
      </w:pPr>
      <w:r>
        <w:rPr>
          <w:lang w:val="es-419" w:eastAsia="en-IN" w:bidi="te-IN"/>
        </w:rPr>
        <w:t>La metodología no busca premiar las malas prácticas, sino el cambio y la adopción de las mejores prácticas disponibles.</w:t>
      </w:r>
    </w:p>
    <w:p w14:paraId="2C44BB31" w14:textId="5534B389" w:rsidR="00C37739" w:rsidRDefault="0095257F" w:rsidP="00BC773C">
      <w:pPr>
        <w:pStyle w:val="ListParagraph"/>
        <w:numPr>
          <w:ilvl w:val="0"/>
          <w:numId w:val="35"/>
        </w:numPr>
        <w:ind w:left="142" w:hanging="142"/>
        <w:jc w:val="both"/>
        <w:rPr>
          <w:lang w:val="es-419" w:eastAsia="en-IN" w:bidi="te-IN"/>
        </w:rPr>
      </w:pPr>
      <w:r>
        <w:rPr>
          <w:lang w:val="es-419" w:eastAsia="en-IN" w:bidi="te-IN"/>
        </w:rPr>
        <w:t>En caso de que durante el periodo de acreditación se presente una falla mecánica, para un proyecto de reducción de fugas, significaría un riesgo para el desarrollador del proyecto</w:t>
      </w:r>
      <w:r w:rsidR="00C37739">
        <w:rPr>
          <w:lang w:val="es-419" w:eastAsia="en-IN" w:bidi="te-IN"/>
        </w:rPr>
        <w:t>.</w:t>
      </w:r>
      <w:r w:rsidR="00B6205D">
        <w:rPr>
          <w:lang w:val="es-419" w:eastAsia="en-IN" w:bidi="te-IN"/>
        </w:rPr>
        <w:t xml:space="preserve"> Se sugiere implementar algún tipo de verificación </w:t>
      </w:r>
      <w:r w:rsidR="0002483A">
        <w:rPr>
          <w:lang w:val="es-419" w:eastAsia="en-IN" w:bidi="te-IN"/>
        </w:rPr>
        <w:t>del estado del componente una vez se corrija esa falla.</w:t>
      </w:r>
    </w:p>
    <w:p w14:paraId="61D8641C" w14:textId="01044529" w:rsidR="0031558A" w:rsidRDefault="00D1233F" w:rsidP="00BC773C">
      <w:pPr>
        <w:pStyle w:val="ListParagraph"/>
        <w:numPr>
          <w:ilvl w:val="0"/>
          <w:numId w:val="36"/>
        </w:numPr>
        <w:jc w:val="both"/>
        <w:rPr>
          <w:lang w:val="es-419" w:eastAsia="en-IN" w:bidi="te-IN"/>
        </w:rPr>
      </w:pPr>
      <w:r>
        <w:rPr>
          <w:lang w:val="es-419" w:eastAsia="en-IN" w:bidi="te-IN"/>
        </w:rPr>
        <w:t>Se decide incorporar un requisito adicional a la metodología para garantizar la corrección de la fuga a lo largo del periodo de acreditación</w:t>
      </w:r>
    </w:p>
    <w:p w14:paraId="19E520A4" w14:textId="09589009" w:rsidR="00BA243E" w:rsidRDefault="00DC4DB3" w:rsidP="00BC773C">
      <w:pPr>
        <w:pStyle w:val="ListParagraph"/>
        <w:numPr>
          <w:ilvl w:val="0"/>
          <w:numId w:val="35"/>
        </w:numPr>
        <w:ind w:left="142" w:hanging="142"/>
        <w:jc w:val="both"/>
        <w:rPr>
          <w:lang w:val="es-419" w:eastAsia="en-IN" w:bidi="te-IN"/>
        </w:rPr>
      </w:pPr>
      <w:r>
        <w:rPr>
          <w:lang w:val="es-419" w:eastAsia="en-IN" w:bidi="te-IN"/>
        </w:rPr>
        <w:t xml:space="preserve">De parte del Ministerio de Ambiente y Desarrollo Sostenible se </w:t>
      </w:r>
      <w:r w:rsidR="008B0459">
        <w:rPr>
          <w:lang w:val="es-419" w:eastAsia="en-IN" w:bidi="te-IN"/>
        </w:rPr>
        <w:t xml:space="preserve">aclara que no saldrá una nueva resolución </w:t>
      </w:r>
      <w:r w:rsidR="00AE0023">
        <w:rPr>
          <w:lang w:val="es-419" w:eastAsia="en-IN" w:bidi="te-IN"/>
        </w:rPr>
        <w:t>una vez entre en operación el RENARE</w:t>
      </w:r>
      <w:r w:rsidR="00DD67D8">
        <w:rPr>
          <w:lang w:val="es-419" w:eastAsia="en-IN" w:bidi="te-IN"/>
        </w:rPr>
        <w:t>.</w:t>
      </w:r>
    </w:p>
    <w:p w14:paraId="4A0B37AF" w14:textId="25BCCE4B" w:rsidR="00AE0023" w:rsidRDefault="008D7B19" w:rsidP="00BC773C">
      <w:pPr>
        <w:pStyle w:val="ListParagraph"/>
        <w:numPr>
          <w:ilvl w:val="0"/>
          <w:numId w:val="35"/>
        </w:numPr>
        <w:ind w:left="142" w:hanging="142"/>
        <w:jc w:val="both"/>
        <w:rPr>
          <w:lang w:val="es-419" w:eastAsia="en-IN" w:bidi="te-IN"/>
        </w:rPr>
      </w:pPr>
      <w:r>
        <w:rPr>
          <w:lang w:val="es-419" w:eastAsia="en-IN" w:bidi="te-IN"/>
        </w:rPr>
        <w:t>¿Con esta metodología se pueden desarrollar por separado los procesos de validación y verificación?</w:t>
      </w:r>
    </w:p>
    <w:p w14:paraId="5742D568" w14:textId="58CEDE96" w:rsidR="008D7B19" w:rsidRDefault="008D7B19" w:rsidP="00BC773C">
      <w:pPr>
        <w:pStyle w:val="ListParagraph"/>
        <w:numPr>
          <w:ilvl w:val="0"/>
          <w:numId w:val="36"/>
        </w:numPr>
        <w:jc w:val="both"/>
        <w:rPr>
          <w:lang w:val="es-419" w:eastAsia="en-IN" w:bidi="te-IN"/>
        </w:rPr>
      </w:pPr>
      <w:r>
        <w:rPr>
          <w:lang w:val="es-419" w:eastAsia="en-IN" w:bidi="te-IN"/>
        </w:rPr>
        <w:t>Si</w:t>
      </w:r>
    </w:p>
    <w:p w14:paraId="133DF683" w14:textId="4EC19AB5" w:rsidR="008D7B19" w:rsidRDefault="00513EA1" w:rsidP="00BC773C">
      <w:pPr>
        <w:pStyle w:val="ListParagraph"/>
        <w:numPr>
          <w:ilvl w:val="0"/>
          <w:numId w:val="37"/>
        </w:numPr>
        <w:ind w:left="142" w:hanging="142"/>
        <w:jc w:val="both"/>
        <w:rPr>
          <w:lang w:val="es-419" w:eastAsia="en-IN" w:bidi="te-IN"/>
        </w:rPr>
      </w:pPr>
      <w:r>
        <w:rPr>
          <w:lang w:val="es-419" w:eastAsia="en-IN" w:bidi="te-IN"/>
        </w:rPr>
        <w:t>¿</w:t>
      </w:r>
      <w:r w:rsidR="0019652D">
        <w:rPr>
          <w:lang w:val="es-419" w:eastAsia="en-IN" w:bidi="te-IN"/>
        </w:rPr>
        <w:t xml:space="preserve">Cómo se comprueba la regla específica </w:t>
      </w:r>
      <w:r w:rsidR="00091E3D">
        <w:rPr>
          <w:lang w:val="es-419" w:eastAsia="en-IN" w:bidi="te-IN"/>
        </w:rPr>
        <w:t xml:space="preserve">1 de los proyectos de reducción de fugas, en la que se debe demostrar que durante los 3 años antes de la implementación del proyecto no existía un </w:t>
      </w:r>
      <w:r w:rsidR="005018C0">
        <w:rPr>
          <w:lang w:val="es-419" w:eastAsia="en-IN" w:bidi="te-IN"/>
        </w:rPr>
        <w:t>programa avanzado de corrección y detección de fugas?</w:t>
      </w:r>
    </w:p>
    <w:p w14:paraId="7458E90B" w14:textId="747CED14" w:rsidR="004B0910" w:rsidRDefault="00572F9B" w:rsidP="00BC773C">
      <w:pPr>
        <w:pStyle w:val="ListParagraph"/>
        <w:numPr>
          <w:ilvl w:val="0"/>
          <w:numId w:val="36"/>
        </w:numPr>
        <w:jc w:val="both"/>
        <w:rPr>
          <w:lang w:val="es-419" w:eastAsia="en-IN" w:bidi="te-IN"/>
        </w:rPr>
      </w:pPr>
      <w:r>
        <w:rPr>
          <w:lang w:val="es-419" w:eastAsia="en-IN" w:bidi="te-IN"/>
        </w:rPr>
        <w:t xml:space="preserve">Demostrando que no hay </w:t>
      </w:r>
      <w:r w:rsidR="0099486E">
        <w:rPr>
          <w:lang w:val="es-419" w:eastAsia="en-IN" w:bidi="te-IN"/>
        </w:rPr>
        <w:t xml:space="preserve">asignación de recursos, así como </w:t>
      </w:r>
      <w:r w:rsidR="00806A36">
        <w:rPr>
          <w:lang w:val="es-419" w:eastAsia="en-IN" w:bidi="te-IN"/>
        </w:rPr>
        <w:t>la ausencia de</w:t>
      </w:r>
      <w:r w:rsidR="0099486E">
        <w:rPr>
          <w:lang w:val="es-419" w:eastAsia="en-IN" w:bidi="te-IN"/>
        </w:rPr>
        <w:t xml:space="preserve"> registros de las rutinas y planes de mantenimiento</w:t>
      </w:r>
      <w:r w:rsidR="00806A36">
        <w:rPr>
          <w:lang w:val="es-419" w:eastAsia="en-IN" w:bidi="te-IN"/>
        </w:rPr>
        <w:t>.</w:t>
      </w:r>
    </w:p>
    <w:p w14:paraId="77A00489" w14:textId="2BCA9D08" w:rsidR="007D4BA3" w:rsidRDefault="007D4BA3" w:rsidP="00BC773C">
      <w:pPr>
        <w:pStyle w:val="ListParagraph"/>
        <w:numPr>
          <w:ilvl w:val="0"/>
          <w:numId w:val="38"/>
        </w:numPr>
        <w:jc w:val="both"/>
        <w:rPr>
          <w:lang w:val="es-419" w:eastAsia="en-IN" w:bidi="te-IN"/>
        </w:rPr>
      </w:pPr>
      <w:r>
        <w:rPr>
          <w:lang w:val="es-419" w:eastAsia="en-IN" w:bidi="te-IN"/>
        </w:rPr>
        <w:t xml:space="preserve">¿Qué pasa con los permisos de emisiones </w:t>
      </w:r>
      <w:r w:rsidR="00C5142A">
        <w:rPr>
          <w:lang w:val="es-419" w:eastAsia="en-IN" w:bidi="te-IN"/>
        </w:rPr>
        <w:t>otorgados por la Agencia Nacional de Licencias Ambientales (ANLA)</w:t>
      </w:r>
      <w:r w:rsidR="00B66E7D">
        <w:rPr>
          <w:lang w:val="es-419" w:eastAsia="en-IN" w:bidi="te-IN"/>
        </w:rPr>
        <w:t xml:space="preserve">? </w:t>
      </w:r>
      <w:r w:rsidR="00BC773C">
        <w:rPr>
          <w:lang w:val="es-419" w:eastAsia="en-IN" w:bidi="te-IN"/>
        </w:rPr>
        <w:t>¿Esos requerimientos normativos impedirían la adicionalidad del proyecto?</w:t>
      </w:r>
    </w:p>
    <w:p w14:paraId="2C9EC946" w14:textId="5F8B7C87" w:rsidR="00B66E7D" w:rsidRDefault="00B66E7D" w:rsidP="00BC773C">
      <w:pPr>
        <w:pStyle w:val="ListParagraph"/>
        <w:numPr>
          <w:ilvl w:val="0"/>
          <w:numId w:val="36"/>
        </w:numPr>
        <w:jc w:val="both"/>
        <w:rPr>
          <w:lang w:val="es-419" w:eastAsia="en-IN" w:bidi="te-IN"/>
        </w:rPr>
      </w:pPr>
      <w:r>
        <w:rPr>
          <w:lang w:val="es-419" w:eastAsia="en-IN" w:bidi="te-IN"/>
        </w:rPr>
        <w:t>Dichos permisos corresponden a emisiones diferentes a las de GEI</w:t>
      </w:r>
      <w:r w:rsidR="007265EB">
        <w:rPr>
          <w:lang w:val="es-419" w:eastAsia="en-IN" w:bidi="te-IN"/>
        </w:rPr>
        <w:t xml:space="preserve">. Por otro lado, MinEnergía cuenta </w:t>
      </w:r>
      <w:r w:rsidR="00BD3270">
        <w:rPr>
          <w:lang w:val="es-419" w:eastAsia="en-IN" w:bidi="te-IN"/>
        </w:rPr>
        <w:t>con reglamentación de mantenimientos, que tampoco aborda directamente las emisiones fugitivas de GEI</w:t>
      </w:r>
      <w:r w:rsidR="00144BF8">
        <w:rPr>
          <w:lang w:val="es-419" w:eastAsia="en-IN" w:bidi="te-IN"/>
        </w:rPr>
        <w:t xml:space="preserve">. En cuanto a los nuevos licenciamientos, se están exigiendo </w:t>
      </w:r>
      <w:r w:rsidR="00BB7986">
        <w:rPr>
          <w:lang w:val="es-419" w:eastAsia="en-IN" w:bidi="te-IN"/>
        </w:rPr>
        <w:t>monitoreo de emisiones fugitivas, sin embargo, lo que permite acceder al beneficio de bonos de carbono es la corrección de dichas fugas</w:t>
      </w:r>
      <w:r w:rsidR="00BC773C">
        <w:rPr>
          <w:lang w:val="es-419" w:eastAsia="en-IN" w:bidi="te-IN"/>
        </w:rPr>
        <w:t>.</w:t>
      </w:r>
    </w:p>
    <w:p w14:paraId="053526BB" w14:textId="2C6209E7" w:rsidR="00BC773C" w:rsidRDefault="005B6F96" w:rsidP="00BC773C">
      <w:pPr>
        <w:pStyle w:val="ListParagraph"/>
        <w:numPr>
          <w:ilvl w:val="0"/>
          <w:numId w:val="38"/>
        </w:numPr>
        <w:jc w:val="both"/>
        <w:rPr>
          <w:lang w:val="es-419" w:eastAsia="en-IN" w:bidi="te-IN"/>
        </w:rPr>
      </w:pPr>
      <w:r>
        <w:rPr>
          <w:lang w:val="es-419" w:eastAsia="en-IN" w:bidi="te-IN"/>
        </w:rPr>
        <w:t>¿</w:t>
      </w:r>
      <w:r w:rsidR="009D1601">
        <w:rPr>
          <w:lang w:val="es-419" w:eastAsia="en-IN" w:bidi="te-IN"/>
        </w:rPr>
        <w:t>En la sección de adicionalidad de la metodología, c</w:t>
      </w:r>
      <w:r>
        <w:rPr>
          <w:lang w:val="es-419" w:eastAsia="en-IN" w:bidi="te-IN"/>
        </w:rPr>
        <w:t xml:space="preserve">ómo se definió que </w:t>
      </w:r>
      <w:r w:rsidR="0023112E">
        <w:rPr>
          <w:lang w:val="es-419" w:eastAsia="en-IN" w:bidi="te-IN"/>
        </w:rPr>
        <w:t xml:space="preserve">16% era el tope para determinar </w:t>
      </w:r>
      <w:r w:rsidR="00B6587B">
        <w:rPr>
          <w:lang w:val="es-419" w:eastAsia="en-IN" w:bidi="te-IN"/>
        </w:rPr>
        <w:t xml:space="preserve">si se trata o no de una práctica común en el sector? </w:t>
      </w:r>
      <w:r w:rsidR="009D1601">
        <w:rPr>
          <w:lang w:val="es-419" w:eastAsia="en-IN" w:bidi="te-IN"/>
        </w:rPr>
        <w:t>¿Cómo se demuestra</w:t>
      </w:r>
      <w:r w:rsidR="00E473D4">
        <w:rPr>
          <w:lang w:val="es-419" w:eastAsia="en-IN" w:bidi="te-IN"/>
        </w:rPr>
        <w:t xml:space="preserve"> que</w:t>
      </w:r>
      <w:r w:rsidR="009D1601">
        <w:rPr>
          <w:lang w:val="es-419" w:eastAsia="en-IN" w:bidi="te-IN"/>
        </w:rPr>
        <w:t xml:space="preserve"> la </w:t>
      </w:r>
      <w:r w:rsidR="00B22143">
        <w:rPr>
          <w:lang w:val="es-419" w:eastAsia="en-IN" w:bidi="te-IN"/>
        </w:rPr>
        <w:t>difusión de</w:t>
      </w:r>
      <w:r w:rsidR="00E473D4">
        <w:rPr>
          <w:lang w:val="es-419" w:eastAsia="en-IN" w:bidi="te-IN"/>
        </w:rPr>
        <w:t xml:space="preserve"> la práctica es inferior al 16%?</w:t>
      </w:r>
    </w:p>
    <w:p w14:paraId="18A58E25" w14:textId="22019F7B" w:rsidR="00BB0477" w:rsidRDefault="007C6D3A" w:rsidP="00BB0477">
      <w:pPr>
        <w:pStyle w:val="ListParagraph"/>
        <w:numPr>
          <w:ilvl w:val="0"/>
          <w:numId w:val="36"/>
        </w:numPr>
        <w:jc w:val="both"/>
        <w:rPr>
          <w:lang w:val="es-419" w:eastAsia="en-IN" w:bidi="te-IN"/>
        </w:rPr>
      </w:pPr>
      <w:r>
        <w:rPr>
          <w:lang w:val="es-419" w:eastAsia="en-IN" w:bidi="te-IN"/>
        </w:rPr>
        <w:t xml:space="preserve">El valor se </w:t>
      </w:r>
      <w:r w:rsidR="00A216C9">
        <w:rPr>
          <w:lang w:val="es-419" w:eastAsia="en-IN" w:bidi="te-IN"/>
        </w:rPr>
        <w:t>seleccionó</w:t>
      </w:r>
      <w:r>
        <w:rPr>
          <w:lang w:val="es-419" w:eastAsia="en-IN" w:bidi="te-IN"/>
        </w:rPr>
        <w:t xml:space="preserve"> de estudios de penetración</w:t>
      </w:r>
      <w:r w:rsidR="00F80E0B">
        <w:rPr>
          <w:lang w:val="es-419" w:eastAsia="en-IN" w:bidi="te-IN"/>
        </w:rPr>
        <w:t xml:space="preserve"> de inovación</w:t>
      </w:r>
      <w:r>
        <w:rPr>
          <w:lang w:val="es-419" w:eastAsia="en-IN" w:bidi="te-IN"/>
        </w:rPr>
        <w:t xml:space="preserve">. </w:t>
      </w:r>
      <w:r w:rsidR="006409BD">
        <w:rPr>
          <w:lang w:val="es-419" w:eastAsia="en-IN" w:bidi="te-IN"/>
        </w:rPr>
        <w:t>Se puede demostrar basado en información publicada en estudios sectoriales publicados por entidades reconocidas como la</w:t>
      </w:r>
      <w:r w:rsidR="000B6238">
        <w:rPr>
          <w:lang w:val="es-419" w:eastAsia="en-IN" w:bidi="te-IN"/>
        </w:rPr>
        <w:t xml:space="preserve"> ACP, la Unidad de Planeación </w:t>
      </w:r>
      <w:r w:rsidR="00D545D3">
        <w:rPr>
          <w:lang w:val="es-419" w:eastAsia="en-IN" w:bidi="te-IN"/>
        </w:rPr>
        <w:t>Minero-energética</w:t>
      </w:r>
      <w:r w:rsidR="006409BD">
        <w:rPr>
          <w:lang w:val="es-419" w:eastAsia="en-IN" w:bidi="te-IN"/>
        </w:rPr>
        <w:t xml:space="preserve"> </w:t>
      </w:r>
      <w:r w:rsidR="000B6238">
        <w:rPr>
          <w:lang w:val="es-419" w:eastAsia="en-IN" w:bidi="te-IN"/>
        </w:rPr>
        <w:t>(</w:t>
      </w:r>
      <w:r w:rsidR="006409BD">
        <w:rPr>
          <w:lang w:val="es-419" w:eastAsia="en-IN" w:bidi="te-IN"/>
        </w:rPr>
        <w:t>UPME</w:t>
      </w:r>
      <w:r w:rsidR="000B6238">
        <w:rPr>
          <w:lang w:val="es-419" w:eastAsia="en-IN" w:bidi="te-IN"/>
        </w:rPr>
        <w:t xml:space="preserve">) </w:t>
      </w:r>
      <w:r w:rsidR="006409BD">
        <w:rPr>
          <w:lang w:val="es-419" w:eastAsia="en-IN" w:bidi="te-IN"/>
        </w:rPr>
        <w:t xml:space="preserve">o el </w:t>
      </w:r>
      <w:r w:rsidR="000B6238">
        <w:rPr>
          <w:lang w:val="es-419" w:eastAsia="en-IN" w:bidi="te-IN"/>
        </w:rPr>
        <w:t>Instituto Colombiano del Petróleo (</w:t>
      </w:r>
      <w:r w:rsidR="006409BD">
        <w:rPr>
          <w:lang w:val="es-419" w:eastAsia="en-IN" w:bidi="te-IN"/>
        </w:rPr>
        <w:t>ICP</w:t>
      </w:r>
      <w:r w:rsidR="000B6238">
        <w:rPr>
          <w:lang w:val="es-419" w:eastAsia="en-IN" w:bidi="te-IN"/>
        </w:rPr>
        <w:t>)</w:t>
      </w:r>
      <w:r w:rsidR="006409BD">
        <w:rPr>
          <w:lang w:val="es-419" w:eastAsia="en-IN" w:bidi="te-IN"/>
        </w:rPr>
        <w:t>.</w:t>
      </w:r>
    </w:p>
    <w:p w14:paraId="408DEF3A" w14:textId="295FE5C6" w:rsidR="00AF7EDE" w:rsidRDefault="00A3685C" w:rsidP="00AF7EDE">
      <w:pPr>
        <w:pStyle w:val="ListParagraph"/>
        <w:numPr>
          <w:ilvl w:val="0"/>
          <w:numId w:val="38"/>
        </w:numPr>
        <w:jc w:val="both"/>
        <w:rPr>
          <w:lang w:val="es-419" w:eastAsia="en-IN" w:bidi="te-IN"/>
        </w:rPr>
      </w:pPr>
      <w:r>
        <w:rPr>
          <w:lang w:val="es-419" w:eastAsia="en-IN" w:bidi="te-IN"/>
        </w:rPr>
        <w:t>¿Cuál es la razón de excluir el CO</w:t>
      </w:r>
      <w:r w:rsidRPr="00A3685C">
        <w:rPr>
          <w:vertAlign w:val="subscript"/>
          <w:lang w:val="es-419" w:eastAsia="en-IN" w:bidi="te-IN"/>
        </w:rPr>
        <w:t>2</w:t>
      </w:r>
      <w:r w:rsidR="006C3D86">
        <w:rPr>
          <w:lang w:val="es-419" w:eastAsia="en-IN" w:bidi="te-IN"/>
        </w:rPr>
        <w:t xml:space="preserve"> en los proyectos de reducción de fugas?</w:t>
      </w:r>
    </w:p>
    <w:p w14:paraId="5EFEB438" w14:textId="6D37D0B2" w:rsidR="006C3D86" w:rsidRDefault="006C3D86" w:rsidP="006C3D86">
      <w:pPr>
        <w:pStyle w:val="ListParagraph"/>
        <w:numPr>
          <w:ilvl w:val="0"/>
          <w:numId w:val="36"/>
        </w:numPr>
        <w:jc w:val="both"/>
        <w:rPr>
          <w:lang w:val="es-419" w:eastAsia="en-IN" w:bidi="te-IN"/>
        </w:rPr>
      </w:pPr>
      <w:r>
        <w:rPr>
          <w:lang w:val="es-419" w:eastAsia="en-IN" w:bidi="te-IN"/>
        </w:rPr>
        <w:t>Se asume que sea a través de la fuga o de otro medio, el CO</w:t>
      </w:r>
      <w:r w:rsidRPr="006C3D86">
        <w:rPr>
          <w:vertAlign w:val="subscript"/>
          <w:lang w:val="es-419" w:eastAsia="en-IN" w:bidi="te-IN"/>
        </w:rPr>
        <w:t>2</w:t>
      </w:r>
      <w:r>
        <w:rPr>
          <w:lang w:val="es-419" w:eastAsia="en-IN" w:bidi="te-IN"/>
        </w:rPr>
        <w:t xml:space="preserve"> va a llegar a la atmósfera. En caso de que se recupere ese gas y se inyecte para evitar la emisión del gas a la atmósfera, el proyecto sería considerado dentro de la categoría de proyectos 1. </w:t>
      </w:r>
    </w:p>
    <w:p w14:paraId="114E2139" w14:textId="7E6419FC" w:rsidR="00A74EFC" w:rsidRDefault="00B364E8" w:rsidP="007111F4">
      <w:pPr>
        <w:pStyle w:val="ListParagraph"/>
        <w:numPr>
          <w:ilvl w:val="0"/>
          <w:numId w:val="38"/>
        </w:numPr>
        <w:jc w:val="both"/>
        <w:rPr>
          <w:lang w:val="es-419" w:eastAsia="en-IN" w:bidi="te-IN"/>
        </w:rPr>
      </w:pPr>
      <w:r>
        <w:rPr>
          <w:lang w:val="es-419" w:eastAsia="en-IN" w:bidi="te-IN"/>
        </w:rPr>
        <w:lastRenderedPageBreak/>
        <w:t xml:space="preserve">¿Cómo se calcula la incertidumbre </w:t>
      </w:r>
      <w:r w:rsidR="00F667BC">
        <w:rPr>
          <w:lang w:val="es-419" w:eastAsia="en-IN" w:bidi="te-IN"/>
        </w:rPr>
        <w:t>de la medición de la tasa de flujo de las fugas?</w:t>
      </w:r>
    </w:p>
    <w:p w14:paraId="6145CEB5" w14:textId="1236F710" w:rsidR="00F667BC" w:rsidRDefault="00014BFA" w:rsidP="00F667BC">
      <w:pPr>
        <w:pStyle w:val="ListParagraph"/>
        <w:numPr>
          <w:ilvl w:val="0"/>
          <w:numId w:val="36"/>
        </w:numPr>
        <w:jc w:val="both"/>
        <w:rPr>
          <w:lang w:val="es-419" w:eastAsia="en-IN" w:bidi="te-IN"/>
        </w:rPr>
      </w:pPr>
      <w:r>
        <w:rPr>
          <w:lang w:val="es-419" w:eastAsia="en-IN" w:bidi="te-IN"/>
        </w:rPr>
        <w:t xml:space="preserve">Se determina a partir de los equipos de medición empleados y las características de las campañas de medición. </w:t>
      </w:r>
      <w:r w:rsidR="008326A0">
        <w:rPr>
          <w:lang w:val="es-419" w:eastAsia="en-IN" w:bidi="te-IN"/>
        </w:rPr>
        <w:t>Actualmente hay una oferta internacional de consultores con equipos especializados en esta cuantificación.</w:t>
      </w:r>
    </w:p>
    <w:p w14:paraId="61B0E778" w14:textId="13141520" w:rsidR="00015F8B" w:rsidRDefault="00015F8B" w:rsidP="00015F8B">
      <w:pPr>
        <w:pStyle w:val="ListParagraph"/>
        <w:numPr>
          <w:ilvl w:val="0"/>
          <w:numId w:val="38"/>
        </w:numPr>
        <w:jc w:val="both"/>
        <w:rPr>
          <w:lang w:val="es-419" w:eastAsia="en-IN" w:bidi="te-IN"/>
        </w:rPr>
      </w:pPr>
      <w:r>
        <w:rPr>
          <w:lang w:val="es-419" w:eastAsia="en-IN" w:bidi="te-IN"/>
        </w:rPr>
        <w:t>¿Cuándo se publica la herramienta de cálculo?</w:t>
      </w:r>
    </w:p>
    <w:p w14:paraId="771516F6" w14:textId="423368BD" w:rsidR="00015F8B" w:rsidRDefault="00015F8B" w:rsidP="00015F8B">
      <w:pPr>
        <w:pStyle w:val="ListParagraph"/>
        <w:numPr>
          <w:ilvl w:val="0"/>
          <w:numId w:val="36"/>
        </w:numPr>
        <w:jc w:val="both"/>
        <w:rPr>
          <w:lang w:val="es-419" w:eastAsia="en-IN" w:bidi="te-IN"/>
        </w:rPr>
      </w:pPr>
      <w:r>
        <w:rPr>
          <w:lang w:val="es-419" w:eastAsia="en-IN" w:bidi="te-IN"/>
        </w:rPr>
        <w:t xml:space="preserve">Se publica con la versión final de la metodología. </w:t>
      </w:r>
    </w:p>
    <w:p w14:paraId="2589BB4A" w14:textId="0D2B7217" w:rsidR="00015F8B" w:rsidRDefault="004E3214" w:rsidP="00015F8B">
      <w:pPr>
        <w:pStyle w:val="ListParagraph"/>
        <w:numPr>
          <w:ilvl w:val="0"/>
          <w:numId w:val="38"/>
        </w:numPr>
        <w:jc w:val="both"/>
        <w:rPr>
          <w:lang w:val="es-419" w:eastAsia="en-IN" w:bidi="te-IN"/>
        </w:rPr>
      </w:pPr>
      <w:r>
        <w:rPr>
          <w:lang w:val="es-419" w:eastAsia="en-IN" w:bidi="te-IN"/>
        </w:rPr>
        <w:t xml:space="preserve">¿Quién se encarga de verificar la metodología? </w:t>
      </w:r>
    </w:p>
    <w:p w14:paraId="7E7424DD" w14:textId="41BFB2D4" w:rsidR="004E3214" w:rsidRPr="00015F8B" w:rsidRDefault="004E3214" w:rsidP="004E3214">
      <w:pPr>
        <w:pStyle w:val="ListParagraph"/>
        <w:numPr>
          <w:ilvl w:val="0"/>
          <w:numId w:val="36"/>
        </w:numPr>
        <w:jc w:val="both"/>
        <w:rPr>
          <w:lang w:val="es-419" w:eastAsia="en-IN" w:bidi="te-IN"/>
        </w:rPr>
      </w:pPr>
      <w:r>
        <w:rPr>
          <w:lang w:val="es-419" w:eastAsia="en-IN" w:bidi="te-IN"/>
        </w:rPr>
        <w:t>El certificador que decida acoger la metodología.</w:t>
      </w:r>
    </w:p>
    <w:p w14:paraId="2FA05F8F" w14:textId="432D2DC6" w:rsidR="001B78CC" w:rsidRDefault="00CA1EDD" w:rsidP="00CA1EDD">
      <w:pPr>
        <w:pStyle w:val="Heading4"/>
        <w:numPr>
          <w:ilvl w:val="0"/>
          <w:numId w:val="30"/>
        </w:numPr>
        <w:rPr>
          <w:lang w:val="es-419" w:eastAsia="en-IN" w:bidi="te-IN"/>
        </w:rPr>
      </w:pPr>
      <w:bookmarkStart w:id="9" w:name="_Toc25662321"/>
      <w:r>
        <w:rPr>
          <w:lang w:val="es-419" w:eastAsia="en-IN" w:bidi="te-IN"/>
        </w:rPr>
        <w:t>Conclusiones</w:t>
      </w:r>
      <w:bookmarkEnd w:id="9"/>
    </w:p>
    <w:p w14:paraId="07268702" w14:textId="01496448" w:rsidR="00030AE7" w:rsidRDefault="00A74EFC" w:rsidP="007111F4">
      <w:pPr>
        <w:jc w:val="both"/>
        <w:rPr>
          <w:lang w:val="es-419" w:eastAsia="en-IN" w:bidi="te-IN"/>
        </w:rPr>
      </w:pPr>
      <w:r>
        <w:rPr>
          <w:lang w:val="es-419" w:eastAsia="en-IN" w:bidi="te-IN"/>
        </w:rPr>
        <w:t xml:space="preserve">Se percibió una actitud positiva y entusiasta del sector, que quiere aprovechar la oportunidad que se abre gracias a esta metodología, para </w:t>
      </w:r>
      <w:r w:rsidR="007111F4">
        <w:rPr>
          <w:lang w:val="es-419" w:eastAsia="en-IN" w:bidi="te-IN"/>
        </w:rPr>
        <w:t>superar</w:t>
      </w:r>
      <w:r>
        <w:rPr>
          <w:lang w:val="es-419" w:eastAsia="en-IN" w:bidi="te-IN"/>
        </w:rPr>
        <w:t xml:space="preserve"> las barreras </w:t>
      </w:r>
      <w:r w:rsidR="007111F4">
        <w:rPr>
          <w:lang w:val="es-419" w:eastAsia="en-IN" w:bidi="te-IN"/>
        </w:rPr>
        <w:t>existentes</w:t>
      </w:r>
      <w:r w:rsidR="00572020">
        <w:rPr>
          <w:lang w:val="es-419" w:eastAsia="en-IN" w:bidi="te-IN"/>
        </w:rPr>
        <w:t xml:space="preserve"> en la implementación de mejores pr</w:t>
      </w:r>
      <w:r w:rsidR="00EA3C65">
        <w:rPr>
          <w:lang w:val="es-419" w:eastAsia="en-IN" w:bidi="te-IN"/>
        </w:rPr>
        <w:t>á</w:t>
      </w:r>
      <w:r w:rsidR="00572020">
        <w:rPr>
          <w:lang w:val="es-419" w:eastAsia="en-IN" w:bidi="te-IN"/>
        </w:rPr>
        <w:t>cticas que reduzcan la</w:t>
      </w:r>
      <w:r w:rsidR="00EA3C65">
        <w:rPr>
          <w:lang w:val="es-419" w:eastAsia="en-IN" w:bidi="te-IN"/>
        </w:rPr>
        <w:t>s emisiones fugitivas.</w:t>
      </w:r>
      <w:r w:rsidR="004C1BC2">
        <w:rPr>
          <w:lang w:val="es-419" w:eastAsia="en-IN" w:bidi="te-IN"/>
        </w:rPr>
        <w:t xml:space="preserve"> Sin embargo, </w:t>
      </w:r>
      <w:r w:rsidR="000A2450">
        <w:rPr>
          <w:lang w:val="es-419" w:eastAsia="en-IN" w:bidi="te-IN"/>
        </w:rPr>
        <w:t>se generó incertidumbre en torno a</w:t>
      </w:r>
      <w:r w:rsidR="00D57DA8">
        <w:rPr>
          <w:lang w:val="es-419" w:eastAsia="en-IN" w:bidi="te-IN"/>
        </w:rPr>
        <w:t xml:space="preserve">l avance en materia regulatoria y los tiempos durante los cuáles será posible acceder a los beneficios de los </w:t>
      </w:r>
      <w:r w:rsidR="00A02C51">
        <w:rPr>
          <w:lang w:val="es-419" w:eastAsia="en-IN" w:bidi="te-IN"/>
        </w:rPr>
        <w:t>bonos de carbono, como acciones voluntarias de mitigación.</w:t>
      </w:r>
    </w:p>
    <w:p w14:paraId="36D396AD" w14:textId="56419F4E" w:rsidR="00EA3C65" w:rsidRDefault="00EA3C65" w:rsidP="007111F4">
      <w:pPr>
        <w:jc w:val="both"/>
        <w:rPr>
          <w:lang w:val="es-419" w:eastAsia="en-IN" w:bidi="te-IN"/>
        </w:rPr>
      </w:pPr>
      <w:r>
        <w:rPr>
          <w:lang w:val="es-419" w:eastAsia="en-IN" w:bidi="te-IN"/>
        </w:rPr>
        <w:t xml:space="preserve">De igual forma, el sector ha sido muy activo en el desarrollo de la metodología, lo que ha permitido </w:t>
      </w:r>
      <w:r w:rsidR="00D63E20">
        <w:rPr>
          <w:lang w:val="es-419" w:eastAsia="en-IN" w:bidi="te-IN"/>
        </w:rPr>
        <w:t xml:space="preserve">desarrollar un </w:t>
      </w:r>
      <w:r w:rsidR="00EA0205">
        <w:rPr>
          <w:lang w:val="es-419" w:eastAsia="en-IN" w:bidi="te-IN"/>
        </w:rPr>
        <w:t xml:space="preserve">documento riguroso, </w:t>
      </w:r>
      <w:r w:rsidR="0026018C">
        <w:rPr>
          <w:lang w:val="es-419" w:eastAsia="en-IN" w:bidi="te-IN"/>
        </w:rPr>
        <w:t xml:space="preserve">simple y </w:t>
      </w:r>
      <w:r w:rsidR="00BF7B01">
        <w:rPr>
          <w:lang w:val="es-419" w:eastAsia="en-IN" w:bidi="te-IN"/>
        </w:rPr>
        <w:t>ajustado al contexto del sector de hidrocarburos colombiano.</w:t>
      </w:r>
    </w:p>
    <w:p w14:paraId="4B9123ED" w14:textId="0027B69F" w:rsidR="00CB09AD" w:rsidRDefault="00414791" w:rsidP="00414791">
      <w:pPr>
        <w:jc w:val="both"/>
        <w:rPr>
          <w:lang w:val="es-419" w:eastAsia="en-IN" w:bidi="te-IN"/>
        </w:rPr>
      </w:pPr>
      <w:r>
        <w:rPr>
          <w:lang w:val="es-419" w:eastAsia="en-IN" w:bidi="te-IN"/>
        </w:rPr>
        <w:t xml:space="preserve">Se incorporaron algunos ajustes a la versión final de la metodología, en razón a los comentarios </w:t>
      </w:r>
      <w:r w:rsidR="00055D99">
        <w:rPr>
          <w:lang w:val="es-419" w:eastAsia="en-IN" w:bidi="te-IN"/>
        </w:rPr>
        <w:t>e inquietudes recolectados durante el evento de socialización.</w:t>
      </w:r>
    </w:p>
    <w:p w14:paraId="1A1C22BA" w14:textId="3E0E8D70" w:rsidR="007D6CB7" w:rsidRDefault="00B948F3" w:rsidP="00B948F3">
      <w:pPr>
        <w:pStyle w:val="Heading4"/>
        <w:numPr>
          <w:ilvl w:val="0"/>
          <w:numId w:val="30"/>
        </w:numPr>
        <w:rPr>
          <w:lang w:val="es-419" w:eastAsia="en-IN" w:bidi="te-IN"/>
        </w:rPr>
      </w:pPr>
      <w:bookmarkStart w:id="10" w:name="_Toc25662322"/>
      <w:r w:rsidRPr="00C10CF8">
        <w:rPr>
          <w:lang w:val="es-419" w:eastAsia="en-IN" w:bidi="te-IN"/>
        </w:rPr>
        <w:t>Anexos</w:t>
      </w:r>
      <w:bookmarkEnd w:id="10"/>
    </w:p>
    <w:p w14:paraId="4F54E4BE" w14:textId="50FC771D" w:rsidR="007577CA" w:rsidRDefault="00760CE1" w:rsidP="007577CA">
      <w:pPr>
        <w:pStyle w:val="Heading5"/>
        <w:numPr>
          <w:ilvl w:val="1"/>
          <w:numId w:val="30"/>
        </w:numPr>
        <w:rPr>
          <w:lang w:val="es-419" w:eastAsia="en-IN" w:bidi="te-IN"/>
        </w:rPr>
      </w:pPr>
      <w:bookmarkStart w:id="11" w:name="_Toc25662323"/>
      <w:r>
        <w:rPr>
          <w:lang w:val="es-419" w:eastAsia="en-IN" w:bidi="te-IN"/>
        </w:rPr>
        <w:t>Anexo 1: Agenda</w:t>
      </w:r>
      <w:bookmarkEnd w:id="11"/>
      <w:r>
        <w:rPr>
          <w:lang w:val="es-419" w:eastAsia="en-IN" w:bidi="te-IN"/>
        </w:rPr>
        <w:t xml:space="preserve"> </w:t>
      </w:r>
      <w:r w:rsidR="00805E20">
        <w:rPr>
          <w:lang w:val="es-419" w:eastAsia="en-IN" w:bidi="te-IN"/>
        </w:rPr>
        <w:t>- Evento de socialización 19 de noviembre de 2019</w:t>
      </w:r>
    </w:p>
    <w:p w14:paraId="6F15C0AF" w14:textId="77777777" w:rsidR="006D6E70" w:rsidRPr="00D914A2" w:rsidRDefault="006D6E70" w:rsidP="006D6E70">
      <w:pPr>
        <w:spacing w:after="0"/>
      </w:pPr>
      <w:r w:rsidRPr="00C10CF8">
        <w:rPr>
          <w:b/>
          <w:bCs/>
          <w:color w:val="3E89CE"/>
        </w:rPr>
        <w:t>Fecha:</w:t>
      </w:r>
      <w:r w:rsidRPr="00C10CF8">
        <w:rPr>
          <w:color w:val="3E89CE"/>
        </w:rPr>
        <w:t xml:space="preserve"> </w:t>
      </w:r>
      <w:r>
        <w:t>martes, 19 de noviembre de 2019</w:t>
      </w:r>
    </w:p>
    <w:p w14:paraId="308DF13C" w14:textId="77777777" w:rsidR="006D6E70" w:rsidRPr="00D914A2" w:rsidRDefault="006D6E70" w:rsidP="006D6E70">
      <w:pPr>
        <w:spacing w:after="0"/>
      </w:pPr>
      <w:r w:rsidRPr="00C10CF8">
        <w:rPr>
          <w:b/>
          <w:bCs/>
          <w:color w:val="3E89CE"/>
        </w:rPr>
        <w:t>Lugar:</w:t>
      </w:r>
      <w:r w:rsidRPr="00C10CF8">
        <w:rPr>
          <w:color w:val="3E89CE"/>
        </w:rPr>
        <w:t xml:space="preserve"> </w:t>
      </w:r>
      <w:r>
        <w:t xml:space="preserve">Hotel Tequendama, </w:t>
      </w:r>
      <w:r w:rsidRPr="0089075F">
        <w:t>Cra.10 # 26–21</w:t>
      </w:r>
      <w:r>
        <w:t>, Salón golfistas 2</w:t>
      </w:r>
    </w:p>
    <w:p w14:paraId="506C67C8" w14:textId="77777777" w:rsidR="006D6E70" w:rsidRPr="00A33D95" w:rsidRDefault="006D6E70" w:rsidP="006D6E70">
      <w:pPr>
        <w:spacing w:after="0"/>
        <w:rPr>
          <w:u w:val="single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5"/>
        <w:gridCol w:w="201"/>
        <w:gridCol w:w="652"/>
        <w:gridCol w:w="3600"/>
        <w:gridCol w:w="3396"/>
      </w:tblGrid>
      <w:tr w:rsidR="006D6E70" w:rsidRPr="00D914A2" w14:paraId="29936246" w14:textId="77777777" w:rsidTr="008E2011">
        <w:trPr>
          <w:trHeight w:val="300"/>
        </w:trPr>
        <w:tc>
          <w:tcPr>
            <w:tcW w:w="1498" w:type="dxa"/>
            <w:gridSpan w:val="3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5B9BD5"/>
            <w:noWrap/>
            <w:vAlign w:val="center"/>
            <w:hideMark/>
          </w:tcPr>
          <w:p w14:paraId="69D64D74" w14:textId="77777777" w:rsidR="006D6E70" w:rsidRPr="00D914A2" w:rsidRDefault="006D6E70" w:rsidP="008E2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D914A2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Horario</w:t>
            </w:r>
          </w:p>
        </w:tc>
        <w:tc>
          <w:tcPr>
            <w:tcW w:w="360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5B9BD5"/>
            <w:noWrap/>
            <w:vAlign w:val="center"/>
            <w:hideMark/>
          </w:tcPr>
          <w:p w14:paraId="5D664743" w14:textId="77777777" w:rsidR="006D6E70" w:rsidRPr="00D914A2" w:rsidRDefault="006D6E70" w:rsidP="008E2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D914A2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Sección</w:t>
            </w:r>
          </w:p>
        </w:tc>
        <w:tc>
          <w:tcPr>
            <w:tcW w:w="3396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5B9BD5"/>
            <w:noWrap/>
            <w:vAlign w:val="center"/>
            <w:hideMark/>
          </w:tcPr>
          <w:p w14:paraId="37C8B34D" w14:textId="77777777" w:rsidR="006D6E70" w:rsidRPr="00D914A2" w:rsidRDefault="006D6E70" w:rsidP="008E2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D914A2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Responsable</w:t>
            </w:r>
          </w:p>
        </w:tc>
      </w:tr>
      <w:tr w:rsidR="006D6E70" w:rsidRPr="00D914A2" w14:paraId="49228BF9" w14:textId="77777777" w:rsidTr="006C583F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162DCDFB" w14:textId="77777777" w:rsidR="006D6E70" w:rsidRPr="00D914A2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t>8:00</w:t>
            </w: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7643D2A6" w14:textId="77777777" w:rsidR="006D6E70" w:rsidRPr="00D914A2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F51A8D" w14:textId="77777777" w:rsidR="006D6E70" w:rsidRPr="00D914A2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t>8:30</w:t>
            </w:r>
          </w:p>
        </w:tc>
        <w:tc>
          <w:tcPr>
            <w:tcW w:w="6996" w:type="dxa"/>
            <w:gridSpan w:val="2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084A99" w14:textId="77777777" w:rsidR="006D6E70" w:rsidRPr="00D914A2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D914A2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Apertura y registro</w:t>
            </w:r>
          </w:p>
        </w:tc>
      </w:tr>
      <w:tr w:rsidR="006D6E70" w:rsidRPr="00D914A2" w14:paraId="1C2416D6" w14:textId="77777777" w:rsidTr="006C583F">
        <w:trPr>
          <w:trHeight w:val="1200"/>
        </w:trPr>
        <w:tc>
          <w:tcPr>
            <w:tcW w:w="645" w:type="dxa"/>
            <w:tcBorders>
              <w:top w:val="nil"/>
              <w:left w:val="single" w:sz="4" w:space="0" w:color="5B9BD5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0B8BB" w14:textId="77777777" w:rsidR="006D6E70" w:rsidRPr="00D914A2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t>8:30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BBFA5" w14:textId="77777777" w:rsidR="006D6E70" w:rsidRPr="00D914A2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13CB05" w14:textId="77777777" w:rsidR="006D6E70" w:rsidRPr="00D914A2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8</w:t>
            </w: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t>: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E6073DB" w14:textId="77777777" w:rsidR="006D6E70" w:rsidRPr="00D914A2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D914A2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Bienvenida</w:t>
            </w:r>
            <w:r w:rsidRPr="00D914A2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br/>
            </w: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t>Palabras del Ministerio de Minas y Energía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y</w:t>
            </w: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del Centro Internacional de Agricultura 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Tropical (CIAT)</w:t>
            </w: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54967E8" w14:textId="77777777" w:rsidR="006D6E70" w:rsidRPr="00D914A2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914A2">
              <w:rPr>
                <w:rFonts w:ascii="Calibri" w:eastAsia="Times New Roman" w:hAnsi="Calibri" w:cs="Calibri"/>
                <w:i/>
                <w:iCs/>
                <w:color w:val="000000"/>
                <w:lang w:eastAsia="es-ES"/>
              </w:rPr>
              <w:t>Ministerio de Minas y Energía</w:t>
            </w: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br/>
            </w:r>
            <w:r w:rsidRPr="00D914A2">
              <w:rPr>
                <w:rFonts w:ascii="Calibri" w:eastAsia="Times New Roman" w:hAnsi="Calibri" w:cs="Calibri"/>
                <w:i/>
                <w:iCs/>
                <w:color w:val="000000"/>
                <w:lang w:eastAsia="es-ES"/>
              </w:rPr>
              <w:t>Centro Internacional de Agricultura Forestal</w:t>
            </w:r>
          </w:p>
        </w:tc>
      </w:tr>
      <w:tr w:rsidR="006D6E70" w:rsidRPr="00D914A2" w14:paraId="307DFE6D" w14:textId="77777777" w:rsidTr="006C583F">
        <w:trPr>
          <w:trHeight w:val="945"/>
        </w:trPr>
        <w:tc>
          <w:tcPr>
            <w:tcW w:w="64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2F8CC46B" w14:textId="77777777" w:rsidR="006D6E70" w:rsidRPr="00D914A2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8</w:t>
            </w: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t>: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50</w:t>
            </w:r>
          </w:p>
        </w:tc>
        <w:tc>
          <w:tcPr>
            <w:tcW w:w="20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46580AF2" w14:textId="77777777" w:rsidR="006D6E70" w:rsidRPr="00D914A2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t>-</w:t>
            </w:r>
          </w:p>
        </w:tc>
        <w:tc>
          <w:tcPr>
            <w:tcW w:w="65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A8CA18" w14:textId="77777777" w:rsidR="006D6E70" w:rsidRPr="00D914A2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t>9: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85DCEEF" w14:textId="77777777" w:rsidR="006D6E70" w:rsidRPr="00D914A2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914A2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Contexto Nacional del Impuesto al Carbono</w:t>
            </w:r>
            <w:r w:rsidRPr="00D914A2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br/>
            </w: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t>Descripción del contexto del impuesto nacional al carbono y el mercado de bonos de carbono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D8AD52" w14:textId="77777777" w:rsidR="006D6E70" w:rsidRPr="00D914A2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Alexander Valencia - </w:t>
            </w:r>
            <w:r w:rsidRPr="00D914A2">
              <w:rPr>
                <w:rFonts w:ascii="Calibri" w:eastAsia="Times New Roman" w:hAnsi="Calibri" w:cs="Calibri"/>
                <w:i/>
                <w:iCs/>
                <w:color w:val="000000"/>
                <w:lang w:eastAsia="es-ES"/>
              </w:rPr>
              <w:t>CAIA Ingeniería</w:t>
            </w:r>
          </w:p>
        </w:tc>
      </w:tr>
      <w:tr w:rsidR="006D6E70" w:rsidRPr="002E0661" w14:paraId="5E46D7E0" w14:textId="77777777" w:rsidTr="006C583F">
        <w:trPr>
          <w:trHeight w:val="1920"/>
        </w:trPr>
        <w:tc>
          <w:tcPr>
            <w:tcW w:w="64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6C967B0E" w14:textId="77777777" w:rsidR="006D6E70" w:rsidRPr="00D914A2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9: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1</w:t>
            </w: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t>0</w:t>
            </w: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63FBB1A8" w14:textId="77777777" w:rsidR="006D6E70" w:rsidRPr="00D914A2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DB77B0" w14:textId="77777777" w:rsidR="006D6E70" w:rsidRPr="00D914A2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t>9: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38B65DF" w14:textId="77777777" w:rsidR="006D6E70" w:rsidRPr="00D914A2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914A2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 xml:space="preserve">Presentación de la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guía</w:t>
            </w:r>
            <w:r w:rsidRPr="00D914A2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 xml:space="preserve"> de cuantificación y reporte de proyectos de mitigación</w:t>
            </w: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br/>
              <w:t>Breve descripción de la "Guía metodológica para la certificación de emisiones reducidas por la implementación de proyectos de mejora operativa en el sector de hidrocarburos”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CFC1B4" w14:textId="77777777" w:rsidR="006D6E70" w:rsidRPr="00D914A2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  <w:r w:rsidRPr="00D914A2">
              <w:rPr>
                <w:rFonts w:ascii="Calibri" w:eastAsia="Times New Roman" w:hAnsi="Calibri" w:cs="Calibri"/>
                <w:color w:val="000000"/>
                <w:lang w:val="en-US" w:eastAsia="es-ES"/>
              </w:rPr>
              <w:t xml:space="preserve">Jessica Wade Murphy - </w:t>
            </w:r>
            <w:r w:rsidRPr="00D914A2">
              <w:rPr>
                <w:rFonts w:ascii="Calibri" w:eastAsia="Times New Roman" w:hAnsi="Calibri" w:cs="Calibri"/>
                <w:i/>
                <w:iCs/>
                <w:color w:val="000000"/>
                <w:lang w:val="en-US" w:eastAsia="es-ES"/>
              </w:rPr>
              <w:t>Atmosphere Alternative</w:t>
            </w:r>
          </w:p>
        </w:tc>
      </w:tr>
      <w:tr w:rsidR="006D6E70" w:rsidRPr="00D914A2" w14:paraId="153F7BD0" w14:textId="77777777" w:rsidTr="006C583F">
        <w:trPr>
          <w:trHeight w:val="1200"/>
        </w:trPr>
        <w:tc>
          <w:tcPr>
            <w:tcW w:w="64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5ED4A323" w14:textId="77777777" w:rsidR="006D6E70" w:rsidRPr="00D914A2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9</w:t>
            </w: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t>: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3</w:t>
            </w: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t>0</w:t>
            </w: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1E834BBC" w14:textId="77777777" w:rsidR="006D6E70" w:rsidRPr="00D914A2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FD32DB" w14:textId="77777777" w:rsidR="006D6E70" w:rsidRPr="00D914A2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10</w:t>
            </w: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t>: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0</w:t>
            </w: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594C0F1" w14:textId="77777777" w:rsidR="006D6E70" w:rsidRPr="00D914A2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D914A2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Casos de éxito</w:t>
            </w:r>
            <w:r w:rsidRPr="00D914A2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br/>
            </w: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Socialización de casos de éxito de proyectos de mitigación desarrollados en el sector de 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hidrocarburos</w:t>
            </w: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en Colombia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6BABF09" w14:textId="77777777" w:rsidR="006D6E70" w:rsidRPr="00D914A2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A66556">
              <w:rPr>
                <w:rFonts w:ascii="Calibri" w:eastAsia="Times New Roman" w:hAnsi="Calibri" w:cs="Calibri"/>
                <w:color w:val="000000"/>
                <w:lang w:eastAsia="es-ES"/>
              </w:rPr>
              <w:t>Recuperación de gas asociado para aprovechamiento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, </w:t>
            </w:r>
            <w:r w:rsidRPr="00A66556">
              <w:rPr>
                <w:rFonts w:ascii="Calibri" w:eastAsia="Times New Roman" w:hAnsi="Calibri" w:cs="Calibri"/>
                <w:i/>
                <w:iCs/>
                <w:color w:val="000000"/>
                <w:lang w:eastAsia="es-ES"/>
              </w:rPr>
              <w:t>Ecopetrol</w:t>
            </w: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br/>
            </w:r>
            <w:r w:rsidRPr="00A66556">
              <w:rPr>
                <w:rFonts w:ascii="Calibri" w:eastAsia="Times New Roman" w:hAnsi="Calibri" w:cs="Calibri"/>
                <w:color w:val="000000"/>
                <w:lang w:eastAsia="es-ES"/>
              </w:rPr>
              <w:t>Reducción de fugas físicas de GEI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, </w:t>
            </w:r>
            <w:proofErr w:type="spellStart"/>
            <w:r w:rsidRPr="00A66556">
              <w:rPr>
                <w:rFonts w:ascii="Calibri" w:eastAsia="Times New Roman" w:hAnsi="Calibri" w:cs="Calibri"/>
                <w:i/>
                <w:iCs/>
                <w:color w:val="000000"/>
                <w:lang w:eastAsia="es-ES"/>
              </w:rPr>
              <w:t>Canacol</w:t>
            </w:r>
            <w:proofErr w:type="spellEnd"/>
            <w:r w:rsidRPr="00A66556">
              <w:rPr>
                <w:rFonts w:ascii="Calibri" w:eastAsia="Times New Roman" w:hAnsi="Calibri" w:cs="Calibri"/>
                <w:i/>
                <w:iCs/>
                <w:color w:val="000000"/>
                <w:lang w:eastAsia="es-ES"/>
              </w:rPr>
              <w:t xml:space="preserve"> </w:t>
            </w:r>
            <w:proofErr w:type="spellStart"/>
            <w:r w:rsidRPr="00A66556">
              <w:rPr>
                <w:rFonts w:ascii="Calibri" w:eastAsia="Times New Roman" w:hAnsi="Calibri" w:cs="Calibri"/>
                <w:i/>
                <w:iCs/>
                <w:color w:val="000000"/>
                <w:lang w:eastAsia="es-ES"/>
              </w:rPr>
              <w:t>Energy</w:t>
            </w:r>
            <w:proofErr w:type="spellEnd"/>
          </w:p>
        </w:tc>
      </w:tr>
      <w:tr w:rsidR="006D6E70" w:rsidRPr="00D914A2" w14:paraId="7417FAC3" w14:textId="77777777" w:rsidTr="006C583F">
        <w:trPr>
          <w:trHeight w:val="361"/>
        </w:trPr>
        <w:tc>
          <w:tcPr>
            <w:tcW w:w="64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</w:tcPr>
          <w:p w14:paraId="3F7D8F3D" w14:textId="77777777" w:rsidR="006D6E70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10</w:t>
            </w: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t>: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0</w:t>
            </w: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t>0</w:t>
            </w: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</w:tcPr>
          <w:p w14:paraId="4EECE53C" w14:textId="77777777" w:rsidR="006D6E70" w:rsidRPr="00D914A2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2312F9" w14:textId="77777777" w:rsidR="006D6E70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10</w:t>
            </w: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t>: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699BD50A" w14:textId="77777777" w:rsidR="006D6E70" w:rsidRPr="00D914A2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Refrigerio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A48C0C5" w14:textId="77777777" w:rsidR="006D6E70" w:rsidRPr="00D914A2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es-ES"/>
              </w:rPr>
            </w:pPr>
          </w:p>
        </w:tc>
      </w:tr>
      <w:tr w:rsidR="006D6E70" w:rsidRPr="00D914A2" w14:paraId="38B8653E" w14:textId="77777777" w:rsidTr="006C583F">
        <w:trPr>
          <w:trHeight w:val="1260"/>
        </w:trPr>
        <w:tc>
          <w:tcPr>
            <w:tcW w:w="645" w:type="dxa"/>
            <w:vMerge w:val="restart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56FC09B1" w14:textId="77777777" w:rsidR="006D6E70" w:rsidRPr="00D914A2" w:rsidRDefault="006D6E70" w:rsidP="008E2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t>10: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20</w:t>
            </w:r>
          </w:p>
        </w:tc>
        <w:tc>
          <w:tcPr>
            <w:tcW w:w="201" w:type="dxa"/>
            <w:vMerge w:val="restart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1E0CB913" w14:textId="77777777" w:rsidR="006D6E70" w:rsidRPr="00D914A2" w:rsidRDefault="006D6E70" w:rsidP="008E2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t>-</w:t>
            </w:r>
          </w:p>
        </w:tc>
        <w:tc>
          <w:tcPr>
            <w:tcW w:w="652" w:type="dxa"/>
            <w:vMerge w:val="restart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24C559" w14:textId="77777777" w:rsidR="006D6E70" w:rsidRPr="00D914A2" w:rsidRDefault="006D6E70" w:rsidP="008E2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11</w:t>
            </w: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t>: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2B3D10E" w14:textId="02CAEF35" w:rsidR="006D6E70" w:rsidRPr="00D914A2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914A2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Taller sobre la metodología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 xml:space="preserve"> y herramienta</w:t>
            </w: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br/>
              <w:t xml:space="preserve">Taller para la explicación de la metodología 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y la herramienta de cálculo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67EB3E" w14:textId="77777777" w:rsidR="006D6E70" w:rsidRPr="00D914A2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  <w:tr w:rsidR="0006202F" w:rsidRPr="0006202F" w14:paraId="354EAE3D" w14:textId="77777777" w:rsidTr="006E72AC">
        <w:trPr>
          <w:trHeight w:val="600"/>
        </w:trPr>
        <w:tc>
          <w:tcPr>
            <w:tcW w:w="645" w:type="dxa"/>
            <w:vMerge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vAlign w:val="center"/>
            <w:hideMark/>
          </w:tcPr>
          <w:p w14:paraId="1510CC73" w14:textId="77777777" w:rsidR="0006202F" w:rsidRPr="00D914A2" w:rsidRDefault="0006202F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01" w:type="dxa"/>
            <w:vMerge/>
            <w:tcBorders>
              <w:top w:val="nil"/>
              <w:left w:val="nil"/>
              <w:bottom w:val="single" w:sz="4" w:space="0" w:color="5B9BD5"/>
              <w:right w:val="nil"/>
            </w:tcBorders>
            <w:vAlign w:val="center"/>
            <w:hideMark/>
          </w:tcPr>
          <w:p w14:paraId="408011D9" w14:textId="77777777" w:rsidR="0006202F" w:rsidRPr="00D914A2" w:rsidRDefault="0006202F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52" w:type="dxa"/>
            <w:vMerge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0C3982E8" w14:textId="77777777" w:rsidR="0006202F" w:rsidRPr="00D914A2" w:rsidRDefault="0006202F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55FC64A" w14:textId="1FB0222F" w:rsidR="0006202F" w:rsidRPr="00A33D95" w:rsidRDefault="0006202F" w:rsidP="006D6E70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269" w:hanging="269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A33D95">
              <w:rPr>
                <w:rFonts w:ascii="Calibri" w:eastAsia="Times New Roman" w:hAnsi="Calibri" w:cs="Calibri"/>
                <w:color w:val="000000"/>
                <w:lang w:eastAsia="es-ES"/>
              </w:rPr>
              <w:t>Reducción de fugas físicas de GEI en sistemas, componentes o equipos</w:t>
            </w:r>
            <w:r w:rsidRPr="00A33D95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</w:t>
            </w:r>
          </w:p>
        </w:tc>
        <w:tc>
          <w:tcPr>
            <w:tcW w:w="3396" w:type="dxa"/>
            <w:vMerge w:val="restart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BAD2F9" w14:textId="77777777" w:rsidR="0006202F" w:rsidRDefault="0006202F" w:rsidP="008E201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val="en-US" w:eastAsia="es-ES"/>
              </w:rPr>
            </w:pPr>
            <w:r w:rsidRPr="00D914A2">
              <w:rPr>
                <w:rFonts w:ascii="Calibri" w:eastAsia="Times New Roman" w:hAnsi="Calibri" w:cs="Calibri"/>
                <w:color w:val="000000"/>
                <w:lang w:val="en-US" w:eastAsia="es-ES"/>
              </w:rPr>
              <w:t xml:space="preserve">Jessica Wade Murphy - </w:t>
            </w:r>
            <w:r w:rsidRPr="00D914A2">
              <w:rPr>
                <w:rFonts w:ascii="Calibri" w:eastAsia="Times New Roman" w:hAnsi="Calibri" w:cs="Calibri"/>
                <w:i/>
                <w:iCs/>
                <w:color w:val="000000"/>
                <w:lang w:val="en-US" w:eastAsia="es-ES"/>
              </w:rPr>
              <w:t>Atmosphere Alternative</w:t>
            </w:r>
          </w:p>
          <w:p w14:paraId="1646CDB7" w14:textId="2D3C598C" w:rsidR="0006202F" w:rsidRPr="0006202F" w:rsidRDefault="0006202F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s-ES"/>
              </w:rPr>
            </w:pP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t>Alexander Valencia -</w:t>
            </w:r>
            <w:r w:rsidRPr="00D914A2">
              <w:rPr>
                <w:rFonts w:ascii="Calibri" w:eastAsia="Times New Roman" w:hAnsi="Calibri" w:cs="Calibri"/>
                <w:i/>
                <w:iCs/>
                <w:color w:val="000000"/>
                <w:lang w:eastAsia="es-ES"/>
              </w:rPr>
              <w:t xml:space="preserve"> CAIA Ingeniería</w:t>
            </w:r>
          </w:p>
        </w:tc>
      </w:tr>
      <w:tr w:rsidR="0006202F" w:rsidRPr="00D914A2" w14:paraId="7B1813E8" w14:textId="77777777" w:rsidTr="006E72AC">
        <w:trPr>
          <w:trHeight w:val="119"/>
        </w:trPr>
        <w:tc>
          <w:tcPr>
            <w:tcW w:w="645" w:type="dxa"/>
            <w:vMerge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vAlign w:val="center"/>
            <w:hideMark/>
          </w:tcPr>
          <w:p w14:paraId="267F1BF3" w14:textId="77777777" w:rsidR="0006202F" w:rsidRPr="0006202F" w:rsidRDefault="0006202F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s-ES"/>
              </w:rPr>
            </w:pPr>
          </w:p>
        </w:tc>
        <w:tc>
          <w:tcPr>
            <w:tcW w:w="201" w:type="dxa"/>
            <w:vMerge/>
            <w:tcBorders>
              <w:top w:val="nil"/>
              <w:left w:val="nil"/>
              <w:bottom w:val="single" w:sz="4" w:space="0" w:color="5B9BD5"/>
              <w:right w:val="nil"/>
            </w:tcBorders>
            <w:vAlign w:val="center"/>
            <w:hideMark/>
          </w:tcPr>
          <w:p w14:paraId="755FFF2F" w14:textId="77777777" w:rsidR="0006202F" w:rsidRPr="0006202F" w:rsidRDefault="0006202F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s-ES"/>
              </w:rPr>
            </w:pPr>
          </w:p>
        </w:tc>
        <w:tc>
          <w:tcPr>
            <w:tcW w:w="652" w:type="dxa"/>
            <w:vMerge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7ECD99F8" w14:textId="77777777" w:rsidR="0006202F" w:rsidRPr="0006202F" w:rsidRDefault="0006202F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s-ES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098AE83" w14:textId="4886BE45" w:rsidR="0006202F" w:rsidRPr="00A33D95" w:rsidRDefault="0006202F" w:rsidP="006D6E70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269" w:hanging="269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A33D95">
              <w:rPr>
                <w:rFonts w:ascii="Calibri" w:eastAsia="Times New Roman" w:hAnsi="Calibri" w:cs="Calibri"/>
                <w:color w:val="000000"/>
                <w:lang w:eastAsia="es-ES"/>
              </w:rPr>
              <w:t>Medidas de eficacia de quema en tea</w:t>
            </w:r>
          </w:p>
        </w:tc>
        <w:tc>
          <w:tcPr>
            <w:tcW w:w="3396" w:type="dxa"/>
            <w:vMerge/>
            <w:tcBorders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6BB553" w14:textId="15728E86" w:rsidR="0006202F" w:rsidRPr="00D914A2" w:rsidRDefault="0006202F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06202F" w:rsidRPr="002E0661" w14:paraId="26232A9D" w14:textId="77777777" w:rsidTr="006E72AC">
        <w:trPr>
          <w:trHeight w:val="300"/>
        </w:trPr>
        <w:tc>
          <w:tcPr>
            <w:tcW w:w="645" w:type="dxa"/>
            <w:vMerge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vAlign w:val="center"/>
            <w:hideMark/>
          </w:tcPr>
          <w:p w14:paraId="65C094B4" w14:textId="77777777" w:rsidR="0006202F" w:rsidRPr="00D914A2" w:rsidRDefault="0006202F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01" w:type="dxa"/>
            <w:vMerge/>
            <w:tcBorders>
              <w:top w:val="nil"/>
              <w:left w:val="nil"/>
              <w:bottom w:val="single" w:sz="4" w:space="0" w:color="5B9BD5"/>
              <w:right w:val="nil"/>
            </w:tcBorders>
            <w:vAlign w:val="center"/>
            <w:hideMark/>
          </w:tcPr>
          <w:p w14:paraId="2815AD1C" w14:textId="77777777" w:rsidR="0006202F" w:rsidRPr="00D914A2" w:rsidRDefault="0006202F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52" w:type="dxa"/>
            <w:vMerge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629EDE57" w14:textId="77777777" w:rsidR="0006202F" w:rsidRPr="00D914A2" w:rsidRDefault="0006202F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3C4A147" w14:textId="743E3840" w:rsidR="0006202F" w:rsidRPr="00A33D95" w:rsidRDefault="0006202F" w:rsidP="006D6E70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269" w:hanging="269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A33D95">
              <w:rPr>
                <w:rFonts w:ascii="Calibri" w:eastAsia="Times New Roman" w:hAnsi="Calibri" w:cs="Calibri"/>
                <w:color w:val="000000"/>
                <w:lang w:eastAsia="es-ES"/>
              </w:rPr>
              <w:t>Recuperación de gas asociado para aprovechamiento</w:t>
            </w:r>
          </w:p>
        </w:tc>
        <w:tc>
          <w:tcPr>
            <w:tcW w:w="3396" w:type="dxa"/>
            <w:vMerge/>
            <w:tcBorders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6BC2F6" w14:textId="208067AF" w:rsidR="0006202F" w:rsidRPr="00D914A2" w:rsidRDefault="0006202F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</w:p>
        </w:tc>
      </w:tr>
      <w:tr w:rsidR="006D6E70" w:rsidRPr="002E0661" w14:paraId="7AA7B8B2" w14:textId="77777777" w:rsidTr="006C583F">
        <w:trPr>
          <w:trHeight w:val="1500"/>
        </w:trPr>
        <w:tc>
          <w:tcPr>
            <w:tcW w:w="645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2E269B4F" w14:textId="77777777" w:rsidR="006D6E70" w:rsidRPr="00D914A2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11</w:t>
            </w: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t>: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50</w:t>
            </w: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1A20EA1D" w14:textId="77777777" w:rsidR="006D6E70" w:rsidRPr="00D914A2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C207CA" w14:textId="77777777" w:rsidR="006D6E70" w:rsidRPr="00D914A2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12</w:t>
            </w: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t>: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DB1C57F" w14:textId="77777777" w:rsidR="006D6E70" w:rsidRPr="00D914A2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914A2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Proceso de certificación de reducción de emisiones</w:t>
            </w: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br/>
              <w:t xml:space="preserve">Explicación del proceso detallado de certificación de las reducciones logradas 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por</w:t>
            </w: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proyectos de mitigación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F26F62" w14:textId="77777777" w:rsidR="006D6E70" w:rsidRPr="00D914A2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  <w:r w:rsidRPr="00D914A2">
              <w:rPr>
                <w:rFonts w:ascii="Calibri" w:eastAsia="Times New Roman" w:hAnsi="Calibri" w:cs="Calibri"/>
                <w:color w:val="000000"/>
                <w:lang w:val="en-US" w:eastAsia="es-ES"/>
              </w:rPr>
              <w:t xml:space="preserve">Jessica Wade Murphy - </w:t>
            </w:r>
            <w:r w:rsidRPr="00D914A2">
              <w:rPr>
                <w:rFonts w:ascii="Calibri" w:eastAsia="Times New Roman" w:hAnsi="Calibri" w:cs="Calibri"/>
                <w:i/>
                <w:iCs/>
                <w:color w:val="000000"/>
                <w:lang w:val="en-US" w:eastAsia="es-ES"/>
              </w:rPr>
              <w:t>Atmosphere Alternative</w:t>
            </w:r>
          </w:p>
        </w:tc>
      </w:tr>
      <w:tr w:rsidR="006D6E70" w:rsidRPr="00D914A2" w14:paraId="4CFF2CF9" w14:textId="77777777" w:rsidTr="006C583F">
        <w:trPr>
          <w:trHeight w:val="1200"/>
        </w:trPr>
        <w:tc>
          <w:tcPr>
            <w:tcW w:w="64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0F658A6A" w14:textId="77777777" w:rsidR="006D6E70" w:rsidRPr="00D914A2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2</w:t>
            </w: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t>: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10</w:t>
            </w:r>
          </w:p>
        </w:tc>
        <w:tc>
          <w:tcPr>
            <w:tcW w:w="20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457BC0D3" w14:textId="77777777" w:rsidR="006D6E70" w:rsidRPr="00D914A2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t>-</w:t>
            </w:r>
          </w:p>
        </w:tc>
        <w:tc>
          <w:tcPr>
            <w:tcW w:w="65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A140F6" w14:textId="77777777" w:rsidR="006D6E70" w:rsidRPr="00D914A2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2</w:t>
            </w: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t>: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30</w:t>
            </w:r>
          </w:p>
        </w:tc>
        <w:tc>
          <w:tcPr>
            <w:tcW w:w="360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045DCD5" w14:textId="77777777" w:rsidR="006D6E70" w:rsidRPr="00D914A2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914A2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Perspectivas regulatorias del sector</w:t>
            </w:r>
            <w:r w:rsidRPr="00D914A2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br/>
            </w: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t>Presentación de los siguientes pasos que se están adelantando en la regulación del sector de petróleo y gas</w:t>
            </w:r>
          </w:p>
        </w:tc>
        <w:tc>
          <w:tcPr>
            <w:tcW w:w="3396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335AB73" w14:textId="77777777" w:rsidR="006D6E70" w:rsidRPr="00D914A2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914A2">
              <w:rPr>
                <w:rFonts w:ascii="Calibri" w:eastAsia="Times New Roman" w:hAnsi="Calibri" w:cs="Calibri"/>
                <w:i/>
                <w:iCs/>
                <w:color w:val="000000"/>
                <w:lang w:eastAsia="es-ES"/>
              </w:rPr>
              <w:t>Ministerio de Minas y Energía</w:t>
            </w: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</w:t>
            </w:r>
            <w:r w:rsidRPr="00D914A2">
              <w:rPr>
                <w:rFonts w:ascii="Calibri" w:eastAsia="Times New Roman" w:hAnsi="Calibri" w:cs="Calibri"/>
                <w:color w:val="000000"/>
                <w:lang w:eastAsia="es-ES"/>
              </w:rPr>
              <w:br/>
            </w:r>
            <w:r w:rsidRPr="00D914A2">
              <w:rPr>
                <w:rFonts w:ascii="Calibri" w:eastAsia="Times New Roman" w:hAnsi="Calibri" w:cs="Calibri"/>
                <w:i/>
                <w:iCs/>
                <w:color w:val="000000"/>
                <w:lang w:eastAsia="es-ES"/>
              </w:rPr>
              <w:t>Agencia Nacional de Hidrocarburos</w:t>
            </w:r>
          </w:p>
        </w:tc>
      </w:tr>
      <w:tr w:rsidR="006D6E70" w:rsidRPr="00D914A2" w14:paraId="2F40DF52" w14:textId="77777777" w:rsidTr="006C583F">
        <w:trPr>
          <w:trHeight w:val="894"/>
        </w:trPr>
        <w:tc>
          <w:tcPr>
            <w:tcW w:w="64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</w:tcPr>
          <w:p w14:paraId="746D3042" w14:textId="77777777" w:rsidR="006D6E70" w:rsidRPr="00D914A2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12:30 </w:t>
            </w:r>
          </w:p>
        </w:tc>
        <w:tc>
          <w:tcPr>
            <w:tcW w:w="20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</w:tcPr>
          <w:p w14:paraId="1BE15215" w14:textId="77777777" w:rsidR="006D6E70" w:rsidRPr="00D914A2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-</w:t>
            </w:r>
          </w:p>
        </w:tc>
        <w:tc>
          <w:tcPr>
            <w:tcW w:w="65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16BE15" w14:textId="77777777" w:rsidR="006D6E70" w:rsidRPr="00D914A2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12:45</w:t>
            </w:r>
          </w:p>
        </w:tc>
        <w:tc>
          <w:tcPr>
            <w:tcW w:w="360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3986E5ED" w14:textId="77777777" w:rsidR="006D6E70" w:rsidRPr="00D914A2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Cierre del taller</w:t>
            </w:r>
          </w:p>
        </w:tc>
        <w:tc>
          <w:tcPr>
            <w:tcW w:w="3396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72F74B7" w14:textId="77777777" w:rsidR="006D6E70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s-ES"/>
              </w:rPr>
            </w:pPr>
            <w:r w:rsidRPr="00D914A2">
              <w:rPr>
                <w:rFonts w:ascii="Calibri" w:eastAsia="Times New Roman" w:hAnsi="Calibri" w:cs="Calibri"/>
                <w:i/>
                <w:iCs/>
                <w:color w:val="000000"/>
                <w:lang w:eastAsia="es-ES"/>
              </w:rPr>
              <w:t>Ministerio de Minas y Energía</w:t>
            </w:r>
          </w:p>
          <w:p w14:paraId="429D4C20" w14:textId="77777777" w:rsidR="006D6E70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s-ES"/>
              </w:rPr>
            </w:pPr>
            <w:r w:rsidRPr="00D914A2">
              <w:rPr>
                <w:rFonts w:ascii="Calibri" w:eastAsia="Times New Roman" w:hAnsi="Calibri" w:cs="Calibri"/>
                <w:i/>
                <w:iCs/>
                <w:color w:val="000000"/>
                <w:lang w:eastAsia="es-ES"/>
              </w:rPr>
              <w:t>CAIA Ingeniería</w:t>
            </w:r>
          </w:p>
          <w:p w14:paraId="277E3195" w14:textId="77777777" w:rsidR="006D6E70" w:rsidRPr="00D914A2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es-ES"/>
              </w:rPr>
            </w:pPr>
            <w:proofErr w:type="spellStart"/>
            <w:r w:rsidRPr="00D914A2">
              <w:rPr>
                <w:rFonts w:ascii="Calibri" w:eastAsia="Times New Roman" w:hAnsi="Calibri" w:cs="Calibri"/>
                <w:i/>
                <w:iCs/>
                <w:color w:val="000000"/>
                <w:lang w:eastAsia="es-ES"/>
              </w:rPr>
              <w:t>Atmosphere</w:t>
            </w:r>
            <w:proofErr w:type="spellEnd"/>
            <w:r w:rsidRPr="00D914A2">
              <w:rPr>
                <w:rFonts w:ascii="Calibri" w:eastAsia="Times New Roman" w:hAnsi="Calibri" w:cs="Calibri"/>
                <w:i/>
                <w:iCs/>
                <w:color w:val="000000"/>
                <w:lang w:eastAsia="es-ES"/>
              </w:rPr>
              <w:t xml:space="preserve"> </w:t>
            </w:r>
            <w:proofErr w:type="spellStart"/>
            <w:r w:rsidRPr="00D914A2">
              <w:rPr>
                <w:rFonts w:ascii="Calibri" w:eastAsia="Times New Roman" w:hAnsi="Calibri" w:cs="Calibri"/>
                <w:i/>
                <w:iCs/>
                <w:color w:val="000000"/>
                <w:lang w:eastAsia="es-ES"/>
              </w:rPr>
              <w:t>Alternative</w:t>
            </w:r>
            <w:proofErr w:type="spellEnd"/>
          </w:p>
        </w:tc>
      </w:tr>
      <w:tr w:rsidR="006D6E70" w:rsidRPr="00D914A2" w14:paraId="66848C01" w14:textId="77777777" w:rsidTr="003F4FBB">
        <w:trPr>
          <w:trHeight w:val="553"/>
        </w:trPr>
        <w:tc>
          <w:tcPr>
            <w:tcW w:w="1498" w:type="dxa"/>
            <w:gridSpan w:val="3"/>
            <w:tcBorders>
              <w:top w:val="single" w:sz="4" w:space="0" w:color="5B9BD5"/>
              <w:left w:val="single" w:sz="4" w:space="0" w:color="5B9BD5"/>
              <w:bottom w:val="single" w:sz="4" w:space="0" w:color="4472C4" w:themeColor="accent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C41D7C" w14:textId="77777777" w:rsidR="006D6E70" w:rsidRDefault="006D6E70" w:rsidP="008E2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12:45</w:t>
            </w:r>
          </w:p>
        </w:tc>
        <w:tc>
          <w:tcPr>
            <w:tcW w:w="3600" w:type="dxa"/>
            <w:tcBorders>
              <w:top w:val="single" w:sz="4" w:space="0" w:color="5B9BD5"/>
              <w:left w:val="nil"/>
              <w:bottom w:val="single" w:sz="4" w:space="0" w:color="4472C4" w:themeColor="accent5"/>
              <w:right w:val="single" w:sz="4" w:space="0" w:color="5B9BD5"/>
            </w:tcBorders>
            <w:shd w:val="clear" w:color="auto" w:fill="auto"/>
            <w:vAlign w:val="center"/>
          </w:tcPr>
          <w:p w14:paraId="0CAC0FF1" w14:textId="77777777" w:rsidR="006D6E70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Almuerzo</w:t>
            </w:r>
          </w:p>
        </w:tc>
        <w:tc>
          <w:tcPr>
            <w:tcW w:w="3396" w:type="dxa"/>
            <w:tcBorders>
              <w:top w:val="single" w:sz="4" w:space="0" w:color="5B9BD5"/>
              <w:left w:val="nil"/>
              <w:bottom w:val="single" w:sz="4" w:space="0" w:color="4472C4" w:themeColor="accent5"/>
              <w:right w:val="single" w:sz="4" w:space="0" w:color="5B9BD5"/>
            </w:tcBorders>
            <w:shd w:val="clear" w:color="auto" w:fill="auto"/>
            <w:vAlign w:val="center"/>
          </w:tcPr>
          <w:p w14:paraId="3FEC47A0" w14:textId="77777777" w:rsidR="006D6E70" w:rsidRPr="00D914A2" w:rsidRDefault="006D6E70" w:rsidP="008E201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s-ES"/>
              </w:rPr>
            </w:pPr>
          </w:p>
        </w:tc>
      </w:tr>
    </w:tbl>
    <w:p w14:paraId="456758B2" w14:textId="77777777" w:rsidR="00760CE1" w:rsidRPr="00760CE1" w:rsidRDefault="00760CE1" w:rsidP="00760CE1">
      <w:pPr>
        <w:rPr>
          <w:lang w:val="es-419" w:eastAsia="en-IN" w:bidi="te-IN"/>
        </w:rPr>
      </w:pPr>
    </w:p>
    <w:p w14:paraId="0BD1D707" w14:textId="77777777" w:rsidR="00A72D33" w:rsidRPr="00253EFF" w:rsidRDefault="00A72D33" w:rsidP="00253EFF">
      <w:pPr>
        <w:rPr>
          <w:lang w:val="es-419" w:eastAsia="en-IN" w:bidi="te-IN"/>
        </w:rPr>
      </w:pPr>
    </w:p>
    <w:p w14:paraId="74058148" w14:textId="77777777" w:rsidR="007B6907" w:rsidRDefault="007B6907" w:rsidP="00F16719">
      <w:pPr>
        <w:pStyle w:val="ListParagraph"/>
        <w:rPr>
          <w:lang w:val="es-419" w:eastAsia="en-IN" w:bidi="te-IN"/>
        </w:rPr>
      </w:pPr>
    </w:p>
    <w:p w14:paraId="0C1916DE" w14:textId="77777777" w:rsidR="00E41806" w:rsidRDefault="00E41806" w:rsidP="00E41806">
      <w:pPr>
        <w:rPr>
          <w:lang w:val="es-419" w:eastAsia="en-IN" w:bidi="te-IN"/>
        </w:rPr>
      </w:pPr>
    </w:p>
    <w:p w14:paraId="7F838DBD" w14:textId="77777777" w:rsidR="00DB74AC" w:rsidRDefault="00DB74AC" w:rsidP="00BC34A6">
      <w:pPr>
        <w:pStyle w:val="Heading5"/>
        <w:numPr>
          <w:ilvl w:val="1"/>
          <w:numId w:val="30"/>
        </w:numPr>
        <w:rPr>
          <w:lang w:val="es-419" w:eastAsia="en-IN" w:bidi="te-IN"/>
        </w:rPr>
        <w:sectPr w:rsidR="00DB74AC" w:rsidSect="00D363DF">
          <w:headerReference w:type="default" r:id="rId14"/>
          <w:footerReference w:type="default" r:id="rId15"/>
          <w:pgSz w:w="12240" w:h="15840" w:code="1"/>
          <w:pgMar w:top="1440" w:right="1440" w:bottom="1134" w:left="1440" w:header="709" w:footer="94" w:gutter="0"/>
          <w:cols w:space="708"/>
          <w:titlePg/>
          <w:docGrid w:linePitch="360"/>
        </w:sectPr>
      </w:pPr>
    </w:p>
    <w:p w14:paraId="3D42B2C3" w14:textId="5E40454D" w:rsidR="00E41806" w:rsidRDefault="00BC34A6" w:rsidP="00BC34A6">
      <w:pPr>
        <w:pStyle w:val="Heading5"/>
        <w:numPr>
          <w:ilvl w:val="1"/>
          <w:numId w:val="30"/>
        </w:numPr>
        <w:rPr>
          <w:lang w:val="es-419" w:eastAsia="en-IN" w:bidi="te-IN"/>
        </w:rPr>
      </w:pPr>
      <w:bookmarkStart w:id="12" w:name="_Toc25662324"/>
      <w:r>
        <w:rPr>
          <w:lang w:val="es-419" w:eastAsia="en-IN" w:bidi="te-IN"/>
        </w:rPr>
        <w:lastRenderedPageBreak/>
        <w:t xml:space="preserve">Anexo 2: </w:t>
      </w:r>
      <w:r w:rsidR="00C32FA5">
        <w:rPr>
          <w:lang w:val="es-419" w:eastAsia="en-IN" w:bidi="te-IN"/>
        </w:rPr>
        <w:t>Registro</w:t>
      </w:r>
      <w:r>
        <w:rPr>
          <w:lang w:val="es-419" w:eastAsia="en-IN" w:bidi="te-IN"/>
        </w:rPr>
        <w:t xml:space="preserve"> de Asistentes</w:t>
      </w:r>
      <w:r w:rsidR="00DB74AC">
        <w:rPr>
          <w:lang w:val="es-419" w:eastAsia="en-IN" w:bidi="te-IN"/>
        </w:rPr>
        <w:t xml:space="preserve"> – Evento de socialización 19 de noviembre de 2019</w:t>
      </w:r>
      <w:bookmarkEnd w:id="12"/>
    </w:p>
    <w:p w14:paraId="4EA91B88" w14:textId="77777777" w:rsidR="00BC34A6" w:rsidRDefault="00BC34A6" w:rsidP="00E41806">
      <w:pPr>
        <w:rPr>
          <w:lang w:val="es-419" w:eastAsia="en-IN" w:bidi="te-IN"/>
        </w:rPr>
      </w:pPr>
      <w:r>
        <w:rPr>
          <w:noProof/>
          <w:lang w:val="es-419" w:eastAsia="en-IN" w:bidi="te-IN"/>
        </w:rPr>
        <w:drawing>
          <wp:inline distT="0" distB="0" distL="0" distR="0" wp14:anchorId="25E04CCC" wp14:editId="3735806E">
            <wp:extent cx="5942673" cy="3641698"/>
            <wp:effectExtent l="0" t="0" r="1270" b="0"/>
            <wp:docPr id="8" name="Picture 8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92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64" b="5628"/>
                    <a:stretch/>
                  </pic:blipFill>
                  <pic:spPr bwMode="auto">
                    <a:xfrm>
                      <a:off x="0" y="0"/>
                      <a:ext cx="5943600" cy="3642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23905E" w14:textId="550213B3" w:rsidR="008F646E" w:rsidRPr="00810C5E" w:rsidRDefault="00BC34A6" w:rsidP="00BC34A6">
      <w:pPr>
        <w:rPr>
          <w:b/>
          <w:bCs/>
        </w:rPr>
      </w:pPr>
      <w:r>
        <w:rPr>
          <w:noProof/>
          <w:lang w:val="es-419" w:eastAsia="en-IN" w:bidi="te-IN"/>
        </w:rPr>
        <w:drawing>
          <wp:inline distT="0" distB="0" distL="0" distR="0" wp14:anchorId="5B494ED4" wp14:editId="07DF9844">
            <wp:extent cx="5942712" cy="3593990"/>
            <wp:effectExtent l="0" t="0" r="1270" b="6985"/>
            <wp:docPr id="9" name="Picture 9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924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21" b="6342"/>
                    <a:stretch/>
                  </pic:blipFill>
                  <pic:spPr bwMode="auto">
                    <a:xfrm>
                      <a:off x="0" y="0"/>
                      <a:ext cx="5943600" cy="3594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F646E" w:rsidRPr="00810C5E" w:rsidSect="00D363DF">
      <w:pgSz w:w="12240" w:h="15840" w:code="1"/>
      <w:pgMar w:top="1440" w:right="1440" w:bottom="1134" w:left="1440" w:header="709" w:footer="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BD8AF2" w14:textId="77777777" w:rsidR="00891B55" w:rsidRDefault="00891B55" w:rsidP="00ED444C">
      <w:r>
        <w:separator/>
      </w:r>
    </w:p>
    <w:p w14:paraId="57885BC6" w14:textId="77777777" w:rsidR="00891B55" w:rsidRDefault="00891B55" w:rsidP="00ED444C"/>
  </w:endnote>
  <w:endnote w:type="continuationSeparator" w:id="0">
    <w:p w14:paraId="17BDCB85" w14:textId="77777777" w:rsidR="00891B55" w:rsidRDefault="00891B55" w:rsidP="00ED444C">
      <w:r>
        <w:continuationSeparator/>
      </w:r>
    </w:p>
    <w:p w14:paraId="67356E34" w14:textId="77777777" w:rsidR="00891B55" w:rsidRDefault="00891B55" w:rsidP="00ED444C"/>
  </w:endnote>
  <w:endnote w:type="continuationNotice" w:id="1">
    <w:p w14:paraId="10E475B1" w14:textId="77777777" w:rsidR="00891B55" w:rsidRDefault="00891B5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AD91E" w14:textId="77777777" w:rsidR="00597981" w:rsidRPr="005D30AB" w:rsidRDefault="005D30AB" w:rsidP="00D363DF">
    <w:pPr>
      <w:pStyle w:val="Footer"/>
      <w:jc w:val="right"/>
    </w:pPr>
    <w:r w:rsidRPr="005D30AB">
      <w:rPr>
        <w:color w:val="000000"/>
        <w14:textFill>
          <w14:solidFill>
            <w14:srgbClr w14:val="000000">
              <w14:lumMod w14:val="50000"/>
              <w14:lumOff w14:val="50000"/>
            </w14:srgbClr>
          </w14:solidFill>
        </w14:textFill>
      </w:rPr>
      <w:t>Page</w:t>
    </w:r>
    <w:r w:rsidRPr="005D30AB">
      <w:t xml:space="preserve"> </w:t>
    </w:r>
    <w:r w:rsidRPr="005D30AB">
      <w:fldChar w:fldCharType="begin"/>
    </w:r>
    <w:r w:rsidRPr="005D30AB">
      <w:instrText xml:space="preserve"> PAGE   \* MERGEFORMAT </w:instrText>
    </w:r>
    <w:r w:rsidRPr="005D30AB">
      <w:fldChar w:fldCharType="separate"/>
    </w:r>
    <w:r w:rsidR="00B379DF">
      <w:rPr>
        <w:noProof/>
      </w:rPr>
      <w:t>15</w:t>
    </w:r>
    <w:r w:rsidRPr="005D30AB">
      <w:rPr>
        <w:noProof/>
      </w:rPr>
      <w:fldChar w:fldCharType="end"/>
    </w:r>
    <w:r w:rsidR="00597981" w:rsidRPr="005D30AB">
      <w:rPr>
        <w:noProof/>
        <w:lang w:val="en-IN" w:eastAsia="en-IN" w:bidi="te-IN"/>
      </w:rPr>
      <w:drawing>
        <wp:anchor distT="0" distB="0" distL="114300" distR="114300" simplePos="0" relativeHeight="251658241" behindDoc="1" locked="0" layoutInCell="1" allowOverlap="1" wp14:anchorId="267F8FA4" wp14:editId="06B63CE8">
          <wp:simplePos x="0" y="0"/>
          <wp:positionH relativeFrom="column">
            <wp:posOffset>-914400</wp:posOffset>
          </wp:positionH>
          <wp:positionV relativeFrom="page">
            <wp:posOffset>9549765</wp:posOffset>
          </wp:positionV>
          <wp:extent cx="3087370" cy="508635"/>
          <wp:effectExtent l="0" t="0" r="0" b="5715"/>
          <wp:wrapNone/>
          <wp:docPr id="199" name="Pictur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 Desig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7370" cy="508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98470F" w14:textId="77777777" w:rsidR="00CF1F27" w:rsidRDefault="00CF1F27" w:rsidP="00ED444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8E7D16" w14:textId="77777777" w:rsidR="00891B55" w:rsidRDefault="00891B55" w:rsidP="00ED444C">
      <w:r>
        <w:separator/>
      </w:r>
    </w:p>
    <w:p w14:paraId="7C617A4C" w14:textId="77777777" w:rsidR="00891B55" w:rsidRDefault="00891B55" w:rsidP="00ED444C"/>
  </w:footnote>
  <w:footnote w:type="continuationSeparator" w:id="0">
    <w:p w14:paraId="376E9D12" w14:textId="77777777" w:rsidR="00891B55" w:rsidRDefault="00891B55" w:rsidP="00ED444C">
      <w:r>
        <w:continuationSeparator/>
      </w:r>
    </w:p>
    <w:p w14:paraId="298C9634" w14:textId="77777777" w:rsidR="00891B55" w:rsidRDefault="00891B55" w:rsidP="00ED444C"/>
  </w:footnote>
  <w:footnote w:type="continuationNotice" w:id="1">
    <w:p w14:paraId="54E3FFD5" w14:textId="77777777" w:rsidR="00891B55" w:rsidRDefault="00891B5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3BC3E2" w14:textId="77777777" w:rsidR="00597981" w:rsidRDefault="00597981" w:rsidP="00ED444C">
    <w:pPr>
      <w:pStyle w:val="Header"/>
    </w:pPr>
    <w:r>
      <w:rPr>
        <w:noProof/>
        <w:lang w:val="en-IN" w:eastAsia="en-IN" w:bidi="te-IN"/>
      </w:rPr>
      <w:drawing>
        <wp:anchor distT="0" distB="0" distL="114300" distR="114300" simplePos="0" relativeHeight="251658240" behindDoc="1" locked="0" layoutInCell="1" allowOverlap="1" wp14:anchorId="073BB84F" wp14:editId="191A7177">
          <wp:simplePos x="0" y="0"/>
          <wp:positionH relativeFrom="column">
            <wp:posOffset>3770630</wp:posOffset>
          </wp:positionH>
          <wp:positionV relativeFrom="page">
            <wp:posOffset>0</wp:posOffset>
          </wp:positionV>
          <wp:extent cx="3087370" cy="508635"/>
          <wp:effectExtent l="0" t="0" r="0" b="5715"/>
          <wp:wrapNone/>
          <wp:docPr id="198" name="Picture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 Desig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7370" cy="508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1D69E00" w14:textId="77777777" w:rsidR="00CF1F27" w:rsidRDefault="00CF1F27" w:rsidP="00ED444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D2E8C"/>
    <w:multiLevelType w:val="hybridMultilevel"/>
    <w:tmpl w:val="154671AA"/>
    <w:lvl w:ilvl="0" w:tplc="40090019">
      <w:start w:val="1"/>
      <w:numFmt w:val="low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A0F26"/>
    <w:multiLevelType w:val="hybridMultilevel"/>
    <w:tmpl w:val="A2588340"/>
    <w:lvl w:ilvl="0" w:tplc="10EEC1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275C2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2945C46"/>
    <w:multiLevelType w:val="hybridMultilevel"/>
    <w:tmpl w:val="94B0A8A8"/>
    <w:lvl w:ilvl="0" w:tplc="1B3627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89658D"/>
    <w:multiLevelType w:val="hybridMultilevel"/>
    <w:tmpl w:val="A1B4F1F0"/>
    <w:lvl w:ilvl="0" w:tplc="0526DBB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B3B96"/>
    <w:multiLevelType w:val="hybridMultilevel"/>
    <w:tmpl w:val="3DA06DF2"/>
    <w:lvl w:ilvl="0" w:tplc="580A0017">
      <w:start w:val="1"/>
      <w:numFmt w:val="lowerLetter"/>
      <w:lvlText w:val="%1)"/>
      <w:lvlJc w:val="left"/>
      <w:pPr>
        <w:ind w:left="360" w:hanging="360"/>
      </w:pPr>
    </w:lvl>
    <w:lvl w:ilvl="1" w:tplc="580A0019">
      <w:start w:val="1"/>
      <w:numFmt w:val="lowerLetter"/>
      <w:lvlText w:val="%2."/>
      <w:lvlJc w:val="left"/>
      <w:pPr>
        <w:ind w:left="1080" w:hanging="360"/>
      </w:pPr>
    </w:lvl>
    <w:lvl w:ilvl="2" w:tplc="580A001B" w:tentative="1">
      <w:start w:val="1"/>
      <w:numFmt w:val="lowerRoman"/>
      <w:lvlText w:val="%3."/>
      <w:lvlJc w:val="right"/>
      <w:pPr>
        <w:ind w:left="1800" w:hanging="180"/>
      </w:pPr>
    </w:lvl>
    <w:lvl w:ilvl="3" w:tplc="580A000F" w:tentative="1">
      <w:start w:val="1"/>
      <w:numFmt w:val="decimal"/>
      <w:lvlText w:val="%4."/>
      <w:lvlJc w:val="left"/>
      <w:pPr>
        <w:ind w:left="2520" w:hanging="360"/>
      </w:pPr>
    </w:lvl>
    <w:lvl w:ilvl="4" w:tplc="580A0019" w:tentative="1">
      <w:start w:val="1"/>
      <w:numFmt w:val="lowerLetter"/>
      <w:lvlText w:val="%5."/>
      <w:lvlJc w:val="left"/>
      <w:pPr>
        <w:ind w:left="3240" w:hanging="360"/>
      </w:pPr>
    </w:lvl>
    <w:lvl w:ilvl="5" w:tplc="580A001B" w:tentative="1">
      <w:start w:val="1"/>
      <w:numFmt w:val="lowerRoman"/>
      <w:lvlText w:val="%6."/>
      <w:lvlJc w:val="right"/>
      <w:pPr>
        <w:ind w:left="3960" w:hanging="180"/>
      </w:pPr>
    </w:lvl>
    <w:lvl w:ilvl="6" w:tplc="580A000F" w:tentative="1">
      <w:start w:val="1"/>
      <w:numFmt w:val="decimal"/>
      <w:lvlText w:val="%7."/>
      <w:lvlJc w:val="left"/>
      <w:pPr>
        <w:ind w:left="4680" w:hanging="360"/>
      </w:pPr>
    </w:lvl>
    <w:lvl w:ilvl="7" w:tplc="580A0019" w:tentative="1">
      <w:start w:val="1"/>
      <w:numFmt w:val="lowerLetter"/>
      <w:lvlText w:val="%8."/>
      <w:lvlJc w:val="left"/>
      <w:pPr>
        <w:ind w:left="5400" w:hanging="360"/>
      </w:pPr>
    </w:lvl>
    <w:lvl w:ilvl="8" w:tplc="5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53359C"/>
    <w:multiLevelType w:val="hybridMultilevel"/>
    <w:tmpl w:val="C8B2FD4E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3037F"/>
    <w:multiLevelType w:val="hybridMultilevel"/>
    <w:tmpl w:val="9C561CC4"/>
    <w:lvl w:ilvl="0" w:tplc="DC0413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EF7D3B"/>
    <w:multiLevelType w:val="hybridMultilevel"/>
    <w:tmpl w:val="AEAA5644"/>
    <w:lvl w:ilvl="0" w:tplc="40090019">
      <w:start w:val="1"/>
      <w:numFmt w:val="low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6766A2"/>
    <w:multiLevelType w:val="hybridMultilevel"/>
    <w:tmpl w:val="0C80FD52"/>
    <w:lvl w:ilvl="0" w:tplc="580A0017">
      <w:start w:val="1"/>
      <w:numFmt w:val="lowerLetter"/>
      <w:lvlText w:val="%1)"/>
      <w:lvlJc w:val="left"/>
      <w:pPr>
        <w:ind w:left="360" w:hanging="360"/>
      </w:pPr>
    </w:lvl>
    <w:lvl w:ilvl="1" w:tplc="580A0019">
      <w:start w:val="1"/>
      <w:numFmt w:val="lowerLetter"/>
      <w:lvlText w:val="%2."/>
      <w:lvlJc w:val="left"/>
      <w:pPr>
        <w:ind w:left="1080" w:hanging="360"/>
      </w:pPr>
    </w:lvl>
    <w:lvl w:ilvl="2" w:tplc="580A001B" w:tentative="1">
      <w:start w:val="1"/>
      <w:numFmt w:val="lowerRoman"/>
      <w:lvlText w:val="%3."/>
      <w:lvlJc w:val="right"/>
      <w:pPr>
        <w:ind w:left="1800" w:hanging="180"/>
      </w:pPr>
    </w:lvl>
    <w:lvl w:ilvl="3" w:tplc="580A000F" w:tentative="1">
      <w:start w:val="1"/>
      <w:numFmt w:val="decimal"/>
      <w:lvlText w:val="%4."/>
      <w:lvlJc w:val="left"/>
      <w:pPr>
        <w:ind w:left="2520" w:hanging="360"/>
      </w:pPr>
    </w:lvl>
    <w:lvl w:ilvl="4" w:tplc="580A0019" w:tentative="1">
      <w:start w:val="1"/>
      <w:numFmt w:val="lowerLetter"/>
      <w:lvlText w:val="%5."/>
      <w:lvlJc w:val="left"/>
      <w:pPr>
        <w:ind w:left="3240" w:hanging="360"/>
      </w:pPr>
    </w:lvl>
    <w:lvl w:ilvl="5" w:tplc="580A001B" w:tentative="1">
      <w:start w:val="1"/>
      <w:numFmt w:val="lowerRoman"/>
      <w:lvlText w:val="%6."/>
      <w:lvlJc w:val="right"/>
      <w:pPr>
        <w:ind w:left="3960" w:hanging="180"/>
      </w:pPr>
    </w:lvl>
    <w:lvl w:ilvl="6" w:tplc="580A000F" w:tentative="1">
      <w:start w:val="1"/>
      <w:numFmt w:val="decimal"/>
      <w:lvlText w:val="%7."/>
      <w:lvlJc w:val="left"/>
      <w:pPr>
        <w:ind w:left="4680" w:hanging="360"/>
      </w:pPr>
    </w:lvl>
    <w:lvl w:ilvl="7" w:tplc="580A0019" w:tentative="1">
      <w:start w:val="1"/>
      <w:numFmt w:val="lowerLetter"/>
      <w:lvlText w:val="%8."/>
      <w:lvlJc w:val="left"/>
      <w:pPr>
        <w:ind w:left="5400" w:hanging="360"/>
      </w:pPr>
    </w:lvl>
    <w:lvl w:ilvl="8" w:tplc="5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3E47856"/>
    <w:multiLevelType w:val="hybridMultilevel"/>
    <w:tmpl w:val="8E1EBF3A"/>
    <w:lvl w:ilvl="0" w:tplc="7A8815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C63C49"/>
    <w:multiLevelType w:val="hybridMultilevel"/>
    <w:tmpl w:val="D97E4FB2"/>
    <w:lvl w:ilvl="0" w:tplc="A1781E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3625F9"/>
    <w:multiLevelType w:val="hybridMultilevel"/>
    <w:tmpl w:val="D1A41432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1C353B"/>
    <w:multiLevelType w:val="hybridMultilevel"/>
    <w:tmpl w:val="C170999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2A5F54"/>
    <w:multiLevelType w:val="hybridMultilevel"/>
    <w:tmpl w:val="E7BA8DE2"/>
    <w:lvl w:ilvl="0" w:tplc="40090019">
      <w:start w:val="1"/>
      <w:numFmt w:val="low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DA0C1C"/>
    <w:multiLevelType w:val="hybridMultilevel"/>
    <w:tmpl w:val="13B8FB30"/>
    <w:lvl w:ilvl="0" w:tplc="0C0A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16" w15:restartNumberingAfterBreak="0">
    <w:nsid w:val="526F284E"/>
    <w:multiLevelType w:val="hybridMultilevel"/>
    <w:tmpl w:val="001EF53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2C7DBA"/>
    <w:multiLevelType w:val="hybridMultilevel"/>
    <w:tmpl w:val="6B56398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F43612"/>
    <w:multiLevelType w:val="hybridMultilevel"/>
    <w:tmpl w:val="D9E2437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3C39EF"/>
    <w:multiLevelType w:val="hybridMultilevel"/>
    <w:tmpl w:val="1722D7E2"/>
    <w:lvl w:ilvl="0" w:tplc="4A68F9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9F111C"/>
    <w:multiLevelType w:val="hybridMultilevel"/>
    <w:tmpl w:val="0B3C3DA8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B54A99"/>
    <w:multiLevelType w:val="hybridMultilevel"/>
    <w:tmpl w:val="64A20CEC"/>
    <w:lvl w:ilvl="0" w:tplc="9CBC687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467378"/>
    <w:multiLevelType w:val="hybridMultilevel"/>
    <w:tmpl w:val="1034DC32"/>
    <w:lvl w:ilvl="0" w:tplc="39CEEB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926515"/>
    <w:multiLevelType w:val="hybridMultilevel"/>
    <w:tmpl w:val="3F945A5C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64BA8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9C6BF5"/>
    <w:multiLevelType w:val="hybridMultilevel"/>
    <w:tmpl w:val="9BF445F4"/>
    <w:lvl w:ilvl="0" w:tplc="5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080" w:hanging="360"/>
      </w:pPr>
    </w:lvl>
    <w:lvl w:ilvl="2" w:tplc="580A001B" w:tentative="1">
      <w:start w:val="1"/>
      <w:numFmt w:val="lowerRoman"/>
      <w:lvlText w:val="%3."/>
      <w:lvlJc w:val="right"/>
      <w:pPr>
        <w:ind w:left="1800" w:hanging="180"/>
      </w:pPr>
    </w:lvl>
    <w:lvl w:ilvl="3" w:tplc="580A000F" w:tentative="1">
      <w:start w:val="1"/>
      <w:numFmt w:val="decimal"/>
      <w:lvlText w:val="%4."/>
      <w:lvlJc w:val="left"/>
      <w:pPr>
        <w:ind w:left="2520" w:hanging="360"/>
      </w:pPr>
    </w:lvl>
    <w:lvl w:ilvl="4" w:tplc="580A0019" w:tentative="1">
      <w:start w:val="1"/>
      <w:numFmt w:val="lowerLetter"/>
      <w:lvlText w:val="%5."/>
      <w:lvlJc w:val="left"/>
      <w:pPr>
        <w:ind w:left="3240" w:hanging="360"/>
      </w:pPr>
    </w:lvl>
    <w:lvl w:ilvl="5" w:tplc="580A001B" w:tentative="1">
      <w:start w:val="1"/>
      <w:numFmt w:val="lowerRoman"/>
      <w:lvlText w:val="%6."/>
      <w:lvlJc w:val="right"/>
      <w:pPr>
        <w:ind w:left="3960" w:hanging="180"/>
      </w:pPr>
    </w:lvl>
    <w:lvl w:ilvl="6" w:tplc="580A000F" w:tentative="1">
      <w:start w:val="1"/>
      <w:numFmt w:val="decimal"/>
      <w:lvlText w:val="%7."/>
      <w:lvlJc w:val="left"/>
      <w:pPr>
        <w:ind w:left="4680" w:hanging="360"/>
      </w:pPr>
    </w:lvl>
    <w:lvl w:ilvl="7" w:tplc="580A0019" w:tentative="1">
      <w:start w:val="1"/>
      <w:numFmt w:val="lowerLetter"/>
      <w:lvlText w:val="%8."/>
      <w:lvlJc w:val="left"/>
      <w:pPr>
        <w:ind w:left="5400" w:hanging="360"/>
      </w:pPr>
    </w:lvl>
    <w:lvl w:ilvl="8" w:tplc="5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9582FD1"/>
    <w:multiLevelType w:val="hybridMultilevel"/>
    <w:tmpl w:val="90DE1E1A"/>
    <w:lvl w:ilvl="0" w:tplc="C128C2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1748F6"/>
    <w:multiLevelType w:val="hybridMultilevel"/>
    <w:tmpl w:val="AAF63816"/>
    <w:lvl w:ilvl="0" w:tplc="40090019">
      <w:start w:val="1"/>
      <w:numFmt w:val="lowerLetter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D511D50"/>
    <w:multiLevelType w:val="hybridMultilevel"/>
    <w:tmpl w:val="B81EC6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980F60"/>
    <w:multiLevelType w:val="hybridMultilevel"/>
    <w:tmpl w:val="FD16E7E6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64BA8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FB7FC2"/>
    <w:multiLevelType w:val="hybridMultilevel"/>
    <w:tmpl w:val="67A6AA7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5F86B93"/>
    <w:multiLevelType w:val="hybridMultilevel"/>
    <w:tmpl w:val="56045132"/>
    <w:lvl w:ilvl="0" w:tplc="4B64B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0A1481"/>
    <w:multiLevelType w:val="multilevel"/>
    <w:tmpl w:val="6DA034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772B7028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7AD6D42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83A1C53"/>
    <w:multiLevelType w:val="hybridMultilevel"/>
    <w:tmpl w:val="B9F8F7D0"/>
    <w:lvl w:ilvl="0" w:tplc="702A97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4E04BC"/>
    <w:multiLevelType w:val="hybridMultilevel"/>
    <w:tmpl w:val="B1FA5FFA"/>
    <w:lvl w:ilvl="0" w:tplc="321002E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sz w:val="22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525D8"/>
    <w:multiLevelType w:val="hybridMultilevel"/>
    <w:tmpl w:val="2F3A519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31"/>
  </w:num>
  <w:num w:numId="4">
    <w:abstractNumId w:val="14"/>
  </w:num>
  <w:num w:numId="5">
    <w:abstractNumId w:val="8"/>
  </w:num>
  <w:num w:numId="6">
    <w:abstractNumId w:val="26"/>
  </w:num>
  <w:num w:numId="7">
    <w:abstractNumId w:val="0"/>
  </w:num>
  <w:num w:numId="8">
    <w:abstractNumId w:val="21"/>
  </w:num>
  <w:num w:numId="9">
    <w:abstractNumId w:val="16"/>
  </w:num>
  <w:num w:numId="10">
    <w:abstractNumId w:val="20"/>
  </w:num>
  <w:num w:numId="11">
    <w:abstractNumId w:val="5"/>
  </w:num>
  <w:num w:numId="12">
    <w:abstractNumId w:val="30"/>
  </w:num>
  <w:num w:numId="13">
    <w:abstractNumId w:val="12"/>
  </w:num>
  <w:num w:numId="14">
    <w:abstractNumId w:val="9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</w:num>
  <w:num w:numId="17">
    <w:abstractNumId w:val="28"/>
  </w:num>
  <w:num w:numId="18">
    <w:abstractNumId w:val="19"/>
  </w:num>
  <w:num w:numId="19">
    <w:abstractNumId w:val="10"/>
  </w:num>
  <w:num w:numId="20">
    <w:abstractNumId w:val="34"/>
  </w:num>
  <w:num w:numId="21">
    <w:abstractNumId w:val="11"/>
  </w:num>
  <w:num w:numId="22">
    <w:abstractNumId w:val="3"/>
  </w:num>
  <w:num w:numId="23">
    <w:abstractNumId w:val="22"/>
  </w:num>
  <w:num w:numId="24">
    <w:abstractNumId w:val="7"/>
  </w:num>
  <w:num w:numId="25">
    <w:abstractNumId w:val="25"/>
  </w:num>
  <w:num w:numId="26">
    <w:abstractNumId w:val="1"/>
  </w:num>
  <w:num w:numId="27">
    <w:abstractNumId w:val="6"/>
  </w:num>
  <w:num w:numId="2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</w:num>
  <w:num w:numId="30">
    <w:abstractNumId w:val="32"/>
  </w:num>
  <w:num w:numId="31">
    <w:abstractNumId w:val="15"/>
  </w:num>
  <w:num w:numId="32">
    <w:abstractNumId w:val="33"/>
  </w:num>
  <w:num w:numId="33">
    <w:abstractNumId w:val="18"/>
  </w:num>
  <w:num w:numId="34">
    <w:abstractNumId w:val="2"/>
  </w:num>
  <w:num w:numId="35">
    <w:abstractNumId w:val="27"/>
  </w:num>
  <w:num w:numId="36">
    <w:abstractNumId w:val="4"/>
  </w:num>
  <w:num w:numId="37">
    <w:abstractNumId w:val="36"/>
  </w:num>
  <w:num w:numId="3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0D44"/>
    <w:rsid w:val="0000029B"/>
    <w:rsid w:val="00014BFA"/>
    <w:rsid w:val="00015CE5"/>
    <w:rsid w:val="00015F8B"/>
    <w:rsid w:val="0002483A"/>
    <w:rsid w:val="00030AE7"/>
    <w:rsid w:val="00033EE0"/>
    <w:rsid w:val="00055D99"/>
    <w:rsid w:val="0005612B"/>
    <w:rsid w:val="0006202F"/>
    <w:rsid w:val="0007165D"/>
    <w:rsid w:val="00072C63"/>
    <w:rsid w:val="00074EB4"/>
    <w:rsid w:val="00077007"/>
    <w:rsid w:val="00077818"/>
    <w:rsid w:val="00091E3D"/>
    <w:rsid w:val="00096555"/>
    <w:rsid w:val="00097679"/>
    <w:rsid w:val="000A17D2"/>
    <w:rsid w:val="000A2450"/>
    <w:rsid w:val="000A3CE2"/>
    <w:rsid w:val="000A5985"/>
    <w:rsid w:val="000A7E7B"/>
    <w:rsid w:val="000B5DB0"/>
    <w:rsid w:val="000B6238"/>
    <w:rsid w:val="000C3B52"/>
    <w:rsid w:val="000D2B42"/>
    <w:rsid w:val="000D685A"/>
    <w:rsid w:val="000F0A6F"/>
    <w:rsid w:val="000F7AC7"/>
    <w:rsid w:val="001274D4"/>
    <w:rsid w:val="00144BF8"/>
    <w:rsid w:val="00153894"/>
    <w:rsid w:val="00154011"/>
    <w:rsid w:val="00164BD4"/>
    <w:rsid w:val="001654C0"/>
    <w:rsid w:val="001655C2"/>
    <w:rsid w:val="00166B48"/>
    <w:rsid w:val="00167BC3"/>
    <w:rsid w:val="0017139D"/>
    <w:rsid w:val="0017781F"/>
    <w:rsid w:val="00177D89"/>
    <w:rsid w:val="00180EEE"/>
    <w:rsid w:val="00186847"/>
    <w:rsid w:val="00192565"/>
    <w:rsid w:val="0019652D"/>
    <w:rsid w:val="001967E4"/>
    <w:rsid w:val="001A0B13"/>
    <w:rsid w:val="001A1AAD"/>
    <w:rsid w:val="001A32A3"/>
    <w:rsid w:val="001A73E8"/>
    <w:rsid w:val="001B13C1"/>
    <w:rsid w:val="001B1B72"/>
    <w:rsid w:val="001B78CC"/>
    <w:rsid w:val="001C0468"/>
    <w:rsid w:val="001C58BF"/>
    <w:rsid w:val="001D58A1"/>
    <w:rsid w:val="001E3A00"/>
    <w:rsid w:val="001E65D0"/>
    <w:rsid w:val="001E7FC3"/>
    <w:rsid w:val="001F50CC"/>
    <w:rsid w:val="00205C13"/>
    <w:rsid w:val="002156EB"/>
    <w:rsid w:val="002178AD"/>
    <w:rsid w:val="00220DD0"/>
    <w:rsid w:val="00225B4F"/>
    <w:rsid w:val="00226312"/>
    <w:rsid w:val="0023112E"/>
    <w:rsid w:val="00252096"/>
    <w:rsid w:val="00252DF8"/>
    <w:rsid w:val="002536C4"/>
    <w:rsid w:val="00253EFF"/>
    <w:rsid w:val="00254970"/>
    <w:rsid w:val="0025670A"/>
    <w:rsid w:val="002570E7"/>
    <w:rsid w:val="0026018C"/>
    <w:rsid w:val="00261180"/>
    <w:rsid w:val="002661DA"/>
    <w:rsid w:val="00283BEB"/>
    <w:rsid w:val="002858F9"/>
    <w:rsid w:val="00294686"/>
    <w:rsid w:val="002A3BDB"/>
    <w:rsid w:val="002A568E"/>
    <w:rsid w:val="002B105B"/>
    <w:rsid w:val="002B5B60"/>
    <w:rsid w:val="002B669A"/>
    <w:rsid w:val="002B7611"/>
    <w:rsid w:val="002C158C"/>
    <w:rsid w:val="002C660A"/>
    <w:rsid w:val="002E0661"/>
    <w:rsid w:val="002E426F"/>
    <w:rsid w:val="002E4F84"/>
    <w:rsid w:val="002E7907"/>
    <w:rsid w:val="002F4CE3"/>
    <w:rsid w:val="0030122D"/>
    <w:rsid w:val="00303605"/>
    <w:rsid w:val="0031558A"/>
    <w:rsid w:val="00331597"/>
    <w:rsid w:val="003430A4"/>
    <w:rsid w:val="0034338B"/>
    <w:rsid w:val="003A53AC"/>
    <w:rsid w:val="003B5AC0"/>
    <w:rsid w:val="003C0759"/>
    <w:rsid w:val="003C1DA6"/>
    <w:rsid w:val="003C41F0"/>
    <w:rsid w:val="003C4B63"/>
    <w:rsid w:val="003D6261"/>
    <w:rsid w:val="003D71C8"/>
    <w:rsid w:val="003F1101"/>
    <w:rsid w:val="003F4FBB"/>
    <w:rsid w:val="003F6C3C"/>
    <w:rsid w:val="00414791"/>
    <w:rsid w:val="00415367"/>
    <w:rsid w:val="00416D6D"/>
    <w:rsid w:val="0041741A"/>
    <w:rsid w:val="00431883"/>
    <w:rsid w:val="0046550E"/>
    <w:rsid w:val="00471DC2"/>
    <w:rsid w:val="00472C65"/>
    <w:rsid w:val="004751B0"/>
    <w:rsid w:val="00481D58"/>
    <w:rsid w:val="00494021"/>
    <w:rsid w:val="00496D77"/>
    <w:rsid w:val="004A4EE6"/>
    <w:rsid w:val="004A62EA"/>
    <w:rsid w:val="004B0910"/>
    <w:rsid w:val="004C1BC2"/>
    <w:rsid w:val="004E0191"/>
    <w:rsid w:val="004E3214"/>
    <w:rsid w:val="004E458F"/>
    <w:rsid w:val="004F383E"/>
    <w:rsid w:val="004F7991"/>
    <w:rsid w:val="00500901"/>
    <w:rsid w:val="005018C0"/>
    <w:rsid w:val="00504563"/>
    <w:rsid w:val="00513EA1"/>
    <w:rsid w:val="0051529F"/>
    <w:rsid w:val="005173C0"/>
    <w:rsid w:val="00520F35"/>
    <w:rsid w:val="00524CFF"/>
    <w:rsid w:val="00535DEF"/>
    <w:rsid w:val="00537760"/>
    <w:rsid w:val="0054601F"/>
    <w:rsid w:val="00547137"/>
    <w:rsid w:val="00552010"/>
    <w:rsid w:val="00554CD0"/>
    <w:rsid w:val="00567EE2"/>
    <w:rsid w:val="00572020"/>
    <w:rsid w:val="00572F9B"/>
    <w:rsid w:val="00573738"/>
    <w:rsid w:val="00581307"/>
    <w:rsid w:val="00583430"/>
    <w:rsid w:val="00585586"/>
    <w:rsid w:val="00591685"/>
    <w:rsid w:val="00595DDD"/>
    <w:rsid w:val="00597021"/>
    <w:rsid w:val="00597981"/>
    <w:rsid w:val="005B6F96"/>
    <w:rsid w:val="005B7D85"/>
    <w:rsid w:val="005C0ED6"/>
    <w:rsid w:val="005D095C"/>
    <w:rsid w:val="005D27D2"/>
    <w:rsid w:val="005D30AB"/>
    <w:rsid w:val="005D5D31"/>
    <w:rsid w:val="005E6CEF"/>
    <w:rsid w:val="006038DD"/>
    <w:rsid w:val="006130D4"/>
    <w:rsid w:val="00620932"/>
    <w:rsid w:val="00622532"/>
    <w:rsid w:val="00626949"/>
    <w:rsid w:val="0063103B"/>
    <w:rsid w:val="00634515"/>
    <w:rsid w:val="006363B7"/>
    <w:rsid w:val="006409BD"/>
    <w:rsid w:val="006478A8"/>
    <w:rsid w:val="0065004B"/>
    <w:rsid w:val="006663EF"/>
    <w:rsid w:val="00675B40"/>
    <w:rsid w:val="00680B5C"/>
    <w:rsid w:val="006811B3"/>
    <w:rsid w:val="00685500"/>
    <w:rsid w:val="00686DC8"/>
    <w:rsid w:val="006C0D44"/>
    <w:rsid w:val="006C3D86"/>
    <w:rsid w:val="006C4404"/>
    <w:rsid w:val="006C583F"/>
    <w:rsid w:val="006D58CE"/>
    <w:rsid w:val="006D6E70"/>
    <w:rsid w:val="006E5A24"/>
    <w:rsid w:val="006F589C"/>
    <w:rsid w:val="00705A25"/>
    <w:rsid w:val="007111F4"/>
    <w:rsid w:val="007121A7"/>
    <w:rsid w:val="00723891"/>
    <w:rsid w:val="00725D4A"/>
    <w:rsid w:val="007265EB"/>
    <w:rsid w:val="00734BA4"/>
    <w:rsid w:val="00737B0E"/>
    <w:rsid w:val="007408E8"/>
    <w:rsid w:val="00745F1B"/>
    <w:rsid w:val="007560D0"/>
    <w:rsid w:val="007577CA"/>
    <w:rsid w:val="00760CE1"/>
    <w:rsid w:val="007758CF"/>
    <w:rsid w:val="00775C24"/>
    <w:rsid w:val="00792387"/>
    <w:rsid w:val="007B552F"/>
    <w:rsid w:val="007B6907"/>
    <w:rsid w:val="007C5F6C"/>
    <w:rsid w:val="007C6D3A"/>
    <w:rsid w:val="007D124C"/>
    <w:rsid w:val="007D1C34"/>
    <w:rsid w:val="007D4BA3"/>
    <w:rsid w:val="007D5B60"/>
    <w:rsid w:val="007D6CB7"/>
    <w:rsid w:val="007E5CB7"/>
    <w:rsid w:val="007E5FAB"/>
    <w:rsid w:val="00805E20"/>
    <w:rsid w:val="00806A36"/>
    <w:rsid w:val="00810C5E"/>
    <w:rsid w:val="00816E84"/>
    <w:rsid w:val="00820705"/>
    <w:rsid w:val="00830DE9"/>
    <w:rsid w:val="008326A0"/>
    <w:rsid w:val="00844D34"/>
    <w:rsid w:val="0085071E"/>
    <w:rsid w:val="00861433"/>
    <w:rsid w:val="0086214D"/>
    <w:rsid w:val="00867F1C"/>
    <w:rsid w:val="008913DE"/>
    <w:rsid w:val="00891AFD"/>
    <w:rsid w:val="00891B55"/>
    <w:rsid w:val="008923E9"/>
    <w:rsid w:val="00895833"/>
    <w:rsid w:val="008A1460"/>
    <w:rsid w:val="008A304D"/>
    <w:rsid w:val="008B0459"/>
    <w:rsid w:val="008B1C88"/>
    <w:rsid w:val="008B4D26"/>
    <w:rsid w:val="008C16D9"/>
    <w:rsid w:val="008D3451"/>
    <w:rsid w:val="008D6BC4"/>
    <w:rsid w:val="008D7B19"/>
    <w:rsid w:val="008E0576"/>
    <w:rsid w:val="008E05E4"/>
    <w:rsid w:val="008F0C85"/>
    <w:rsid w:val="008F3F91"/>
    <w:rsid w:val="008F646E"/>
    <w:rsid w:val="008F68B4"/>
    <w:rsid w:val="009006EF"/>
    <w:rsid w:val="00912DB3"/>
    <w:rsid w:val="009167F3"/>
    <w:rsid w:val="00917884"/>
    <w:rsid w:val="00920544"/>
    <w:rsid w:val="00950D99"/>
    <w:rsid w:val="0095257F"/>
    <w:rsid w:val="00956325"/>
    <w:rsid w:val="009732A6"/>
    <w:rsid w:val="0099054D"/>
    <w:rsid w:val="0099486E"/>
    <w:rsid w:val="009A5419"/>
    <w:rsid w:val="009C6157"/>
    <w:rsid w:val="009C7B47"/>
    <w:rsid w:val="009D0993"/>
    <w:rsid w:val="009D1601"/>
    <w:rsid w:val="009D3ADF"/>
    <w:rsid w:val="009D6A64"/>
    <w:rsid w:val="009E0DB8"/>
    <w:rsid w:val="009E4B5B"/>
    <w:rsid w:val="009F29E4"/>
    <w:rsid w:val="009F4B4C"/>
    <w:rsid w:val="00A01353"/>
    <w:rsid w:val="00A02609"/>
    <w:rsid w:val="00A02C51"/>
    <w:rsid w:val="00A06B41"/>
    <w:rsid w:val="00A216C9"/>
    <w:rsid w:val="00A218F5"/>
    <w:rsid w:val="00A21F5B"/>
    <w:rsid w:val="00A30CA1"/>
    <w:rsid w:val="00A320E3"/>
    <w:rsid w:val="00A3685C"/>
    <w:rsid w:val="00A42829"/>
    <w:rsid w:val="00A51D45"/>
    <w:rsid w:val="00A5217F"/>
    <w:rsid w:val="00A55841"/>
    <w:rsid w:val="00A56525"/>
    <w:rsid w:val="00A654F4"/>
    <w:rsid w:val="00A66948"/>
    <w:rsid w:val="00A71102"/>
    <w:rsid w:val="00A72D33"/>
    <w:rsid w:val="00A74EFC"/>
    <w:rsid w:val="00A7557E"/>
    <w:rsid w:val="00A77D84"/>
    <w:rsid w:val="00A81A8D"/>
    <w:rsid w:val="00A83E47"/>
    <w:rsid w:val="00A84365"/>
    <w:rsid w:val="00A91237"/>
    <w:rsid w:val="00A9288F"/>
    <w:rsid w:val="00A93FF9"/>
    <w:rsid w:val="00AA0ACE"/>
    <w:rsid w:val="00AA37C4"/>
    <w:rsid w:val="00AA3C66"/>
    <w:rsid w:val="00AA3D25"/>
    <w:rsid w:val="00AB3430"/>
    <w:rsid w:val="00AC166B"/>
    <w:rsid w:val="00AC67EC"/>
    <w:rsid w:val="00AC7C05"/>
    <w:rsid w:val="00AD05B5"/>
    <w:rsid w:val="00AD7062"/>
    <w:rsid w:val="00AE0023"/>
    <w:rsid w:val="00AE587B"/>
    <w:rsid w:val="00AE6810"/>
    <w:rsid w:val="00AE7F81"/>
    <w:rsid w:val="00AF54C5"/>
    <w:rsid w:val="00AF666F"/>
    <w:rsid w:val="00AF6B98"/>
    <w:rsid w:val="00AF7EDE"/>
    <w:rsid w:val="00B018C8"/>
    <w:rsid w:val="00B13872"/>
    <w:rsid w:val="00B22143"/>
    <w:rsid w:val="00B26534"/>
    <w:rsid w:val="00B364E8"/>
    <w:rsid w:val="00B379DF"/>
    <w:rsid w:val="00B437DA"/>
    <w:rsid w:val="00B573DE"/>
    <w:rsid w:val="00B60527"/>
    <w:rsid w:val="00B6205D"/>
    <w:rsid w:val="00B646E7"/>
    <w:rsid w:val="00B6587B"/>
    <w:rsid w:val="00B66E7D"/>
    <w:rsid w:val="00B8235D"/>
    <w:rsid w:val="00B878E9"/>
    <w:rsid w:val="00B948F3"/>
    <w:rsid w:val="00B95F4B"/>
    <w:rsid w:val="00BA243E"/>
    <w:rsid w:val="00BA4F26"/>
    <w:rsid w:val="00BB0477"/>
    <w:rsid w:val="00BB7986"/>
    <w:rsid w:val="00BC34A6"/>
    <w:rsid w:val="00BC773C"/>
    <w:rsid w:val="00BD02A2"/>
    <w:rsid w:val="00BD19F4"/>
    <w:rsid w:val="00BD3270"/>
    <w:rsid w:val="00BE5CDB"/>
    <w:rsid w:val="00BF002E"/>
    <w:rsid w:val="00BF191C"/>
    <w:rsid w:val="00BF7B01"/>
    <w:rsid w:val="00C008B1"/>
    <w:rsid w:val="00C03C07"/>
    <w:rsid w:val="00C04661"/>
    <w:rsid w:val="00C10CF8"/>
    <w:rsid w:val="00C23AA0"/>
    <w:rsid w:val="00C32FA5"/>
    <w:rsid w:val="00C37739"/>
    <w:rsid w:val="00C41CD7"/>
    <w:rsid w:val="00C51146"/>
    <w:rsid w:val="00C5142A"/>
    <w:rsid w:val="00C57CD6"/>
    <w:rsid w:val="00C64755"/>
    <w:rsid w:val="00C7135A"/>
    <w:rsid w:val="00C74FEA"/>
    <w:rsid w:val="00C84FDA"/>
    <w:rsid w:val="00CA12DA"/>
    <w:rsid w:val="00CA1D51"/>
    <w:rsid w:val="00CA1EDD"/>
    <w:rsid w:val="00CA7C0B"/>
    <w:rsid w:val="00CB09AD"/>
    <w:rsid w:val="00CB3A34"/>
    <w:rsid w:val="00CB5EB4"/>
    <w:rsid w:val="00CC0848"/>
    <w:rsid w:val="00CC1A30"/>
    <w:rsid w:val="00CD2857"/>
    <w:rsid w:val="00CD3AD5"/>
    <w:rsid w:val="00CD64FE"/>
    <w:rsid w:val="00CF1F27"/>
    <w:rsid w:val="00CF6EED"/>
    <w:rsid w:val="00D00419"/>
    <w:rsid w:val="00D1233F"/>
    <w:rsid w:val="00D15D08"/>
    <w:rsid w:val="00D21F66"/>
    <w:rsid w:val="00D363DF"/>
    <w:rsid w:val="00D4603F"/>
    <w:rsid w:val="00D545D3"/>
    <w:rsid w:val="00D55FC8"/>
    <w:rsid w:val="00D57DA8"/>
    <w:rsid w:val="00D63E20"/>
    <w:rsid w:val="00D6575F"/>
    <w:rsid w:val="00D657A6"/>
    <w:rsid w:val="00D72F10"/>
    <w:rsid w:val="00D94F7A"/>
    <w:rsid w:val="00DB74AC"/>
    <w:rsid w:val="00DC4DB3"/>
    <w:rsid w:val="00DC5291"/>
    <w:rsid w:val="00DC7783"/>
    <w:rsid w:val="00DD3145"/>
    <w:rsid w:val="00DD67D8"/>
    <w:rsid w:val="00DF13A4"/>
    <w:rsid w:val="00DF2402"/>
    <w:rsid w:val="00E060AE"/>
    <w:rsid w:val="00E27CF0"/>
    <w:rsid w:val="00E34DE8"/>
    <w:rsid w:val="00E37B22"/>
    <w:rsid w:val="00E41806"/>
    <w:rsid w:val="00E4276D"/>
    <w:rsid w:val="00E43B2C"/>
    <w:rsid w:val="00E443AD"/>
    <w:rsid w:val="00E473D4"/>
    <w:rsid w:val="00E50D9D"/>
    <w:rsid w:val="00E53BC5"/>
    <w:rsid w:val="00E5666E"/>
    <w:rsid w:val="00E6088E"/>
    <w:rsid w:val="00E72445"/>
    <w:rsid w:val="00E90228"/>
    <w:rsid w:val="00EA0205"/>
    <w:rsid w:val="00EA3C65"/>
    <w:rsid w:val="00EC083E"/>
    <w:rsid w:val="00ED444C"/>
    <w:rsid w:val="00EE0493"/>
    <w:rsid w:val="00EE2294"/>
    <w:rsid w:val="00EE463A"/>
    <w:rsid w:val="00F02323"/>
    <w:rsid w:val="00F03BD5"/>
    <w:rsid w:val="00F072FB"/>
    <w:rsid w:val="00F135F5"/>
    <w:rsid w:val="00F165E4"/>
    <w:rsid w:val="00F16719"/>
    <w:rsid w:val="00F17E80"/>
    <w:rsid w:val="00F20630"/>
    <w:rsid w:val="00F23C89"/>
    <w:rsid w:val="00F316E9"/>
    <w:rsid w:val="00F3615F"/>
    <w:rsid w:val="00F50208"/>
    <w:rsid w:val="00F50264"/>
    <w:rsid w:val="00F51896"/>
    <w:rsid w:val="00F611B6"/>
    <w:rsid w:val="00F667BC"/>
    <w:rsid w:val="00F670F7"/>
    <w:rsid w:val="00F71985"/>
    <w:rsid w:val="00F80E0B"/>
    <w:rsid w:val="00F81AAB"/>
    <w:rsid w:val="00F93616"/>
    <w:rsid w:val="00FA23A4"/>
    <w:rsid w:val="00FA3F68"/>
    <w:rsid w:val="00FA5C0D"/>
    <w:rsid w:val="00FB4753"/>
    <w:rsid w:val="00FB7731"/>
    <w:rsid w:val="00FD2653"/>
    <w:rsid w:val="00FD657C"/>
    <w:rsid w:val="00FE7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FD6B53D"/>
  <w15:chartTrackingRefBased/>
  <w15:docId w15:val="{A8EFB840-4106-437C-8A41-1E017CFF2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te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444C"/>
    <w:rPr>
      <w:lang w:val="es-ES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63DF"/>
    <w:pPr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D363DF"/>
    <w:pPr>
      <w:outlineLvl w:val="1"/>
    </w:pPr>
    <w:rPr>
      <w:sz w:val="24"/>
      <w:szCs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A9288F"/>
    <w:pPr>
      <w:jc w:val="left"/>
      <w:outlineLvl w:val="2"/>
    </w:pPr>
  </w:style>
  <w:style w:type="paragraph" w:styleId="Heading4">
    <w:name w:val="heading 4"/>
    <w:aliases w:val="Main Heading"/>
    <w:basedOn w:val="Heading3"/>
    <w:next w:val="Normal"/>
    <w:link w:val="Heading4Char"/>
    <w:uiPriority w:val="9"/>
    <w:unhideWhenUsed/>
    <w:qFormat/>
    <w:rsid w:val="0017139D"/>
    <w:pPr>
      <w:outlineLvl w:val="3"/>
    </w:pPr>
    <w:rPr>
      <w:color w:val="3E89CE"/>
      <w:sz w:val="40"/>
      <w:szCs w:val="40"/>
    </w:rPr>
  </w:style>
  <w:style w:type="paragraph" w:styleId="Heading5">
    <w:name w:val="heading 5"/>
    <w:aliases w:val="Small Heading"/>
    <w:basedOn w:val="Normal"/>
    <w:next w:val="Normal"/>
    <w:link w:val="Heading5Char"/>
    <w:uiPriority w:val="9"/>
    <w:unhideWhenUsed/>
    <w:qFormat/>
    <w:rsid w:val="008923E9"/>
    <w:pPr>
      <w:outlineLvl w:val="4"/>
    </w:pPr>
    <w:rPr>
      <w:color w:val="5B9BD5" w:themeColor="accen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3E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3EE0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033E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3EE0"/>
    <w:rPr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5D30AB"/>
  </w:style>
  <w:style w:type="table" w:styleId="GridTable1Light-Accent1">
    <w:name w:val="Grid Table 1 Light Accent 1"/>
    <w:basedOn w:val="TableNormal"/>
    <w:uiPriority w:val="46"/>
    <w:rsid w:val="0041741A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rsid w:val="000A59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0A598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AACustomTable">
    <w:name w:val="AA Custom Table"/>
    <w:basedOn w:val="GridTable4-Accent1"/>
    <w:uiPriority w:val="99"/>
    <w:rsid w:val="000A5985"/>
    <w:tblPr/>
    <w:tblStylePr w:type="firstRow">
      <w:pPr>
        <w:jc w:val="left"/>
      </w:pPr>
      <w:rPr>
        <w:rFonts w:ascii="Calibri" w:hAnsi="Calibri"/>
        <w:b/>
        <w:bCs/>
        <w:color w:val="auto"/>
        <w:sz w:val="22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9DC6EB"/>
      </w:tcPr>
    </w:tblStylePr>
    <w:tblStylePr w:type="lastRow">
      <w:rPr>
        <w:b w:val="0"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shd w:val="clear" w:color="auto" w:fill="FFFFFF" w:themeFill="background1"/>
      </w:tcPr>
    </w:tblStylePr>
    <w:tblStylePr w:type="band1Horz">
      <w:pPr>
        <w:jc w:val="left"/>
      </w:pPr>
      <w:tblPr/>
      <w:tcPr>
        <w:tcBorders>
          <w:top w:val="single" w:sz="4" w:space="0" w:color="9DC6EB"/>
          <w:left w:val="single" w:sz="4" w:space="0" w:color="9DC6EB"/>
          <w:bottom w:val="single" w:sz="4" w:space="0" w:color="9DC6EB"/>
          <w:right w:val="single" w:sz="4" w:space="0" w:color="9DC6EB"/>
          <w:insideH w:val="single" w:sz="4" w:space="0" w:color="9DC6EB"/>
          <w:insideV w:val="single" w:sz="4" w:space="0" w:color="9DC6EB"/>
        </w:tcBorders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D363DF"/>
    <w:rPr>
      <w:b/>
      <w:bCs/>
      <w:sz w:val="28"/>
      <w:szCs w:val="28"/>
      <w:lang w:val="es-ES"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D363DF"/>
    <w:rPr>
      <w:b/>
      <w:bCs/>
      <w:sz w:val="24"/>
      <w:szCs w:val="24"/>
      <w:lang w:val="es-ES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A9288F"/>
    <w:rPr>
      <w:b/>
      <w:bCs/>
      <w:sz w:val="24"/>
      <w:szCs w:val="24"/>
      <w:lang w:val="es-ES" w:bidi="ar-SA"/>
    </w:rPr>
  </w:style>
  <w:style w:type="paragraph" w:styleId="Title">
    <w:name w:val="Title"/>
    <w:basedOn w:val="Heading1"/>
    <w:next w:val="Normal"/>
    <w:link w:val="TitleChar"/>
    <w:uiPriority w:val="10"/>
    <w:qFormat/>
    <w:rsid w:val="00583430"/>
    <w:rPr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583430"/>
    <w:rPr>
      <w:b/>
      <w:bCs/>
      <w:sz w:val="48"/>
      <w:szCs w:val="48"/>
      <w:lang w:val="es-ES" w:bidi="ar-SA"/>
    </w:rPr>
  </w:style>
  <w:style w:type="character" w:customStyle="1" w:styleId="Heading4Char">
    <w:name w:val="Heading 4 Char"/>
    <w:aliases w:val="Main Heading Char"/>
    <w:basedOn w:val="DefaultParagraphFont"/>
    <w:link w:val="Heading4"/>
    <w:uiPriority w:val="9"/>
    <w:rsid w:val="0017139D"/>
    <w:rPr>
      <w:b/>
      <w:bCs/>
      <w:color w:val="3E89CE"/>
      <w:sz w:val="40"/>
      <w:szCs w:val="40"/>
      <w:lang w:val="es-ES" w:bidi="ar-SA"/>
    </w:rPr>
  </w:style>
  <w:style w:type="paragraph" w:styleId="NoSpacing">
    <w:name w:val="No Spacing"/>
    <w:uiPriority w:val="1"/>
    <w:qFormat/>
    <w:rsid w:val="001A32A3"/>
    <w:pPr>
      <w:spacing w:after="0" w:line="240" w:lineRule="auto"/>
    </w:pPr>
    <w:rPr>
      <w:lang w:val="es-ES" w:bidi="ar-SA"/>
    </w:rPr>
  </w:style>
  <w:style w:type="character" w:customStyle="1" w:styleId="Heading5Char">
    <w:name w:val="Heading 5 Char"/>
    <w:aliases w:val="Small Heading Char"/>
    <w:basedOn w:val="DefaultParagraphFont"/>
    <w:link w:val="Heading5"/>
    <w:uiPriority w:val="9"/>
    <w:rsid w:val="008923E9"/>
    <w:rPr>
      <w:color w:val="5B9BD5" w:themeColor="accent1"/>
      <w:sz w:val="24"/>
      <w:szCs w:val="24"/>
      <w:lang w:val="es-ES" w:bidi="ar-SA"/>
    </w:rPr>
  </w:style>
  <w:style w:type="paragraph" w:styleId="Caption">
    <w:name w:val="caption"/>
    <w:basedOn w:val="Normal"/>
    <w:next w:val="Normal"/>
    <w:unhideWhenUsed/>
    <w:rsid w:val="00177D89"/>
    <w:pPr>
      <w:spacing w:after="0" w:line="240" w:lineRule="auto"/>
    </w:pPr>
    <w:rPr>
      <w:rFonts w:ascii="Times New Roman" w:eastAsia="MS Mincho" w:hAnsi="Times New Roman" w:cs="Times New Roman"/>
      <w:b/>
      <w:bCs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585586"/>
    <w:pPr>
      <w:ind w:left="720"/>
      <w:contextualSpacing/>
    </w:pPr>
  </w:style>
  <w:style w:type="character" w:styleId="SubtleEmphasis">
    <w:name w:val="Subtle Emphasis"/>
    <w:uiPriority w:val="19"/>
    <w:qFormat/>
    <w:rsid w:val="00810C5E"/>
    <w:rPr>
      <w:rFonts w:ascii="Arial" w:hAnsi="Arial"/>
      <w:i/>
      <w:iCs/>
      <w:color w:val="7F7F7F"/>
      <w:sz w:val="20"/>
    </w:rPr>
  </w:style>
  <w:style w:type="paragraph" w:styleId="BodyTextIndent3">
    <w:name w:val="Body Text Indent 3"/>
    <w:basedOn w:val="Normal"/>
    <w:link w:val="BodyTextIndent3Char"/>
    <w:rsid w:val="00096555"/>
    <w:pPr>
      <w:spacing w:after="0" w:line="240" w:lineRule="auto"/>
      <w:ind w:left="720"/>
    </w:pPr>
    <w:rPr>
      <w:rFonts w:ascii="Times New Roman" w:eastAsia="MS Mincho" w:hAnsi="Times New Roman" w:cs="Times New Roman"/>
      <w:i/>
      <w:iCs/>
      <w:sz w:val="18"/>
      <w:szCs w:val="24"/>
      <w:lang w:val="en-GB" w:eastAsia="ja-JP"/>
    </w:rPr>
  </w:style>
  <w:style w:type="character" w:customStyle="1" w:styleId="BodyTextIndent3Char">
    <w:name w:val="Body Text Indent 3 Char"/>
    <w:basedOn w:val="DefaultParagraphFont"/>
    <w:link w:val="BodyTextIndent3"/>
    <w:rsid w:val="00096555"/>
    <w:rPr>
      <w:rFonts w:ascii="Times New Roman" w:eastAsia="MS Mincho" w:hAnsi="Times New Roman" w:cs="Times New Roman"/>
      <w:i/>
      <w:iCs/>
      <w:sz w:val="18"/>
      <w:szCs w:val="24"/>
      <w:lang w:val="en-GB" w:eastAsia="ja-JP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66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60A"/>
    <w:rPr>
      <w:rFonts w:ascii="Segoe UI" w:hAnsi="Segoe UI" w:cs="Segoe UI"/>
      <w:sz w:val="18"/>
      <w:szCs w:val="18"/>
      <w:lang w:val="es-ES" w:bidi="ar-SA"/>
    </w:rPr>
  </w:style>
  <w:style w:type="character" w:styleId="Hyperlink">
    <w:name w:val="Hyperlink"/>
    <w:basedOn w:val="DefaultParagraphFont"/>
    <w:uiPriority w:val="99"/>
    <w:unhideWhenUsed/>
    <w:rsid w:val="00E9022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022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C08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08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083E"/>
    <w:rPr>
      <w:sz w:val="20"/>
      <w:szCs w:val="20"/>
      <w:lang w:val="es-ES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08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083E"/>
    <w:rPr>
      <w:b/>
      <w:bCs/>
      <w:sz w:val="20"/>
      <w:szCs w:val="20"/>
      <w:lang w:val="es-ES" w:bidi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805E20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05E2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05E20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0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7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238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6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9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87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minenergia.gov.co/en/foros?idForo=24150951&amp;idLbl=Listado+de+Foros+de+Noviembre+De+2019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1C9E8D-8679-CC4C-800E-052D38D67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10</Pages>
  <Words>2430</Words>
  <Characters>13851</Characters>
  <Application>Microsoft Office Word</Application>
  <DocSecurity>0</DocSecurity>
  <Lines>115</Lines>
  <Paragraphs>32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Personal</Company>
  <LinksUpToDate>false</LinksUpToDate>
  <CharactersWithSpaces>16249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Ramesh</dc:creator>
  <cp:keywords/>
  <dc:description/>
  <cp:lastModifiedBy>Jessica Wade Murphy</cp:lastModifiedBy>
  <cp:revision>260</cp:revision>
  <cp:lastPrinted>2018-06-25T17:30:00Z</cp:lastPrinted>
  <dcterms:created xsi:type="dcterms:W3CDTF">2019-11-25T21:00:00Z</dcterms:created>
  <dcterms:modified xsi:type="dcterms:W3CDTF">2019-11-29T02:31:00Z</dcterms:modified>
</cp:coreProperties>
</file>